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48"/>
        <w:gridCol w:w="5399"/>
      </w:tblGrid>
      <w:tr>
        <w:trPr/>
        <w:tc>
          <w:tcPr>
            <w:tcW w:w="424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399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ind w:left="-540" w:hanging="0"/>
        <w:jc w:val="center"/>
        <w:rPr>
          <w:rFonts w:ascii="Liberation Serif" w:hAnsi="Liberation Serif" w:cs="Liberation Serif"/>
          <w:sz w:val="24"/>
          <w:szCs w:val="24"/>
        </w:rPr>
      </w:pPr>
      <w:r>
        <w:rPr/>
        <w:drawing>
          <wp:inline distT="0" distB="0" distL="0" distR="0">
            <wp:extent cx="457200" cy="574040"/>
            <wp:effectExtent l="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 КУРГАНСКОЙ ОБЛАСТИ</w:t>
      </w:r>
    </w:p>
    <w:p>
      <w:pPr>
        <w:pStyle w:val="5"/>
        <w:rPr>
          <w:rFonts w:ascii="Liberation Serif" w:hAnsi="Liberation Serif" w:cs="Liberation Serif"/>
          <w:b/>
          <w:b/>
          <w:szCs w:val="24"/>
        </w:rPr>
      </w:pPr>
      <w:r>
        <w:rPr>
          <w:rFonts w:cs="Liberation Serif" w:ascii="Liberation Serif" w:hAnsi="Liberation Serif"/>
          <w:b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  <w:szCs w:val="24"/>
        </w:rPr>
      </w:pPr>
      <w:r>
        <w:rPr>
          <w:rFonts w:cs="Liberation Serif" w:ascii="Liberation Serif" w:hAnsi="Liberation Serif"/>
          <w:b/>
          <w:szCs w:val="24"/>
        </w:rPr>
        <w:t>ПОСТАНОВЛЕНИЕ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От  « </w:t>
      </w:r>
      <w:r>
        <w:rPr>
          <w:rFonts w:cs="Liberation Serif" w:ascii="Liberation Serif" w:hAnsi="Liberation Serif"/>
          <w:sz w:val="23"/>
          <w:szCs w:val="23"/>
        </w:rPr>
        <w:t xml:space="preserve">01 </w:t>
      </w:r>
      <w:r>
        <w:rPr>
          <w:rFonts w:cs="Liberation Serif" w:ascii="Liberation Serif" w:hAnsi="Liberation Serif"/>
          <w:sz w:val="23"/>
          <w:szCs w:val="23"/>
        </w:rPr>
        <w:t xml:space="preserve">» июля 2024 года № </w:t>
      </w:r>
      <w:r>
        <w:rPr>
          <w:rFonts w:cs="Liberation Serif" w:ascii="Liberation Serif" w:hAnsi="Liberation Serif"/>
          <w:sz w:val="23"/>
          <w:szCs w:val="23"/>
        </w:rPr>
        <w:t>553</w:t>
      </w:r>
    </w:p>
    <w:p>
      <w:pPr>
        <w:pStyle w:val="Normal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       </w:t>
      </w:r>
      <w:r>
        <w:rPr>
          <w:rFonts w:cs="Liberation Serif" w:ascii="Liberation Serif" w:hAnsi="Liberation Serif"/>
          <w:sz w:val="23"/>
          <w:szCs w:val="23"/>
        </w:rPr>
        <w:t>п. Юргамыш</w:t>
      </w:r>
    </w:p>
    <w:p>
      <w:pPr>
        <w:pStyle w:val="Normal"/>
        <w:ind w:left="0" w:firstLine="709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firstLine="709"/>
        <w:jc w:val="center"/>
        <w:rPr>
          <w:b/>
          <w:b/>
          <w:sz w:val="23"/>
          <w:szCs w:val="23"/>
        </w:rPr>
      </w:pPr>
      <w:r>
        <w:rPr>
          <w:b/>
          <w:sz w:val="23"/>
          <w:szCs w:val="23"/>
        </w:rPr>
        <w:t xml:space="preserve">Об утверждении номенклатуры, норм и порядка хранения запасов средств оповещения населения на территории </w:t>
      </w:r>
      <w:r>
        <w:rPr>
          <w:rFonts w:cs="Liberation Serif" w:ascii="Liberation Serif" w:hAnsi="Liberation Serif"/>
          <w:b/>
          <w:sz w:val="23"/>
          <w:szCs w:val="23"/>
        </w:rPr>
        <w:t>территории Юргамышского муниципального округа Курганской области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color w:val="000000"/>
          <w:sz w:val="23"/>
          <w:szCs w:val="23"/>
        </w:rPr>
      </w:pPr>
      <w:r>
        <w:rPr>
          <w:rFonts w:cs="Liberation Serif" w:ascii="Liberation Serif" w:hAnsi="Liberation Serif"/>
          <w:color w:val="000000"/>
          <w:sz w:val="23"/>
          <w:szCs w:val="23"/>
        </w:rPr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color w:val="000000"/>
          <w:sz w:val="23"/>
          <w:szCs w:val="23"/>
        </w:rPr>
        <w:t xml:space="preserve">В соответствии с Федеральным законом от 21.12.1994 г. № 68-ФЗ «О защите населения и территорий от чрезвычайных ситуаций природного и техногенного характера», Федеральным законом от 12.02.1998 г. № 28-ФЗ «О гражданской обороне», Федеральным законом от 06.10.2003 г. № 131-ФЗ «Об общих принципах организации местного самоуправления в Российской Федерации», Федеральным законом от 07.07.2003 г. № 126-ФЗ «О связи», Постановлением Правительства Российской Федерации от 30.12.2003 г. № 794 «О единой государственной системе предупреждения и ликвидации чрезвычайных ситуаций», Распоряжением Правительства Российской Федерации от 25.10.2003 г. № 1544-р, Приказом МЧС России и Министерства цифрового развития, связи и массовых коммуникаций РФ от 31.07.2020 гю. № 578/365 «Об утверждении Положения о системах оповещения населения», Приказом МЧС России и Министерства цифрового развития, связи и массовых РФ от 31.07.2020 г. № 579/366 «Об утверждении Положения по организации эксплуатационно – технического обслуживания систем оповещения населения» и в целях организации своевременного оповещения и информирования населения </w:t>
      </w:r>
      <w:r>
        <w:rPr>
          <w:rFonts w:cs="Liberation Serif" w:ascii="Liberation Serif" w:hAnsi="Liberation Serif"/>
          <w:sz w:val="23"/>
          <w:szCs w:val="23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  <w:color w:val="000000"/>
          <w:sz w:val="23"/>
          <w:szCs w:val="23"/>
        </w:rPr>
        <w:t xml:space="preserve"> об угрозах возникновения или возникновении чрезвычайных ситуаций природного и техногенного характера, </w:t>
      </w:r>
      <w:r>
        <w:rPr>
          <w:rFonts w:cs="Liberation Serif" w:ascii="Liberation Serif" w:hAnsi="Liberation Serif"/>
          <w:sz w:val="23"/>
          <w:szCs w:val="23"/>
        </w:rPr>
        <w:t>Администрация Юргамышского муниципального округа Курганской области ПОСТАНОВЛЯЕТ: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1.Утвердить: 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1.1.Порядок создания, хранения и использования резерва технических средств оповещения населения на территории Юргамышского муниципального округа Курганской области согласно приложению 1 к настоящему постановлению.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1.2.Номенклатура резерва технических средств оповещения Юргамышского муниципального округа Курганской области согласно приложению 2 к настоящему постановлению.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3. Контроль за исполнением настоящего постановления возложить на руководителя Управления по гражданской обороне и защите населения от чрезвычайных ситуаций Юргамышского муниципального округа Курганской области.</w:t>
      </w:r>
    </w:p>
    <w:p>
      <w:pPr>
        <w:pStyle w:val="Normal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Глава Юргамышского муниципального округа </w:t>
      </w:r>
    </w:p>
    <w:p>
      <w:pPr>
        <w:pStyle w:val="Normal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Курганской области </w:t>
        <w:tab/>
        <w:tab/>
        <w:tab/>
        <w:tab/>
        <w:t xml:space="preserve">                                                              А.Ю. Чесноков</w:t>
      </w:r>
    </w:p>
    <w:p>
      <w:pPr>
        <w:pStyle w:val="Normal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jc w:val="both"/>
        <w:rPr>
          <w:rFonts w:ascii="Liberation Serif" w:hAnsi="Liberation Serif" w:cs="Liberation Serif"/>
          <w:szCs w:val="24"/>
        </w:rPr>
      </w:pPr>
      <w:r>
        <w:rPr>
          <w:rFonts w:cs="Liberation Serif" w:ascii="Liberation Serif" w:hAnsi="Liberation Serif"/>
          <w:szCs w:val="24"/>
        </w:rPr>
        <w:t>Кужилина Е.Г.</w:t>
      </w:r>
    </w:p>
    <w:p>
      <w:pPr>
        <w:pStyle w:val="Normal"/>
        <w:jc w:val="both"/>
        <w:rPr>
          <w:rFonts w:ascii="Liberation Serif" w:hAnsi="Liberation Serif" w:cs="Liberation Serif"/>
          <w:szCs w:val="24"/>
        </w:rPr>
      </w:pPr>
      <w:r>
        <w:rPr>
          <w:rFonts w:cs="Liberation Serif" w:ascii="Liberation Serif" w:hAnsi="Liberation Serif"/>
          <w:szCs w:val="24"/>
        </w:rPr>
        <w:t xml:space="preserve">тел. 8(35248)92188 </w:t>
      </w:r>
    </w:p>
    <w:tbl>
      <w:tblPr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62"/>
        <w:gridCol w:w="915"/>
        <w:gridCol w:w="5387"/>
      </w:tblGrid>
      <w:tr>
        <w:trPr/>
        <w:tc>
          <w:tcPr>
            <w:tcW w:w="316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</w:r>
          </w:p>
        </w:tc>
        <w:tc>
          <w:tcPr>
            <w:tcW w:w="915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</w:r>
          </w:p>
        </w:tc>
        <w:tc>
          <w:tcPr>
            <w:tcW w:w="5387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  <w:t>Приложение 1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к постановлению Администрации Юргамышского муниципального округа Курганской области от «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01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»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>июля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 2024 г. №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>553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 «</w:t>
            </w:r>
            <w:r>
              <w:rPr>
                <w:sz w:val="23"/>
                <w:szCs w:val="23"/>
              </w:rPr>
              <w:t>Об утверждении номенклатуры, норм и порядка хранения запасов средств оповещения населения на территории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 Юргамышского муниципального округа Курганской области»</w:t>
            </w:r>
          </w:p>
        </w:tc>
      </w:tr>
    </w:tbl>
    <w:p>
      <w:pPr>
        <w:pStyle w:val="Normal"/>
        <w:jc w:val="center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jc w:val="center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suppressAutoHyphens w:val="true"/>
        <w:ind w:left="0" w:firstLine="851"/>
        <w:jc w:val="center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Порядок</w:t>
      </w:r>
    </w:p>
    <w:p>
      <w:pPr>
        <w:pStyle w:val="Normal"/>
        <w:ind w:left="0" w:firstLine="709"/>
        <w:jc w:val="center"/>
        <w:rPr>
          <w:rFonts w:ascii="Liberation Serif" w:hAnsi="Liberation Serif" w:cs="Liberation Serif"/>
          <w:b/>
          <w:b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создания, хранения, и использования резерва технических средств оповещения населения на территории Юргамышского муниципального округа Курганской области</w:t>
      </w:r>
    </w:p>
    <w:p>
      <w:pPr>
        <w:pStyle w:val="Normal"/>
        <w:suppressAutoHyphens w:val="true"/>
        <w:ind w:left="0" w:firstLine="851"/>
        <w:jc w:val="center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1. Настоящий порядок создания и использования резерва технических средств оповещения населения Юргамышского муниципального округа Курганской области (далее-Порядок) разработан в соответствии с Федеральным законом от 21.12.1994 г. № 68-ФЗ «О защите населения и территорий от чрезвычайных ситуаций природного и техногенного характера», Федеральным законом от 12.02.1998 г. № 28-ФЗ «О гражданской обороне», Постановлениями Правительства Российской Федерации от 27.04.2000 № 379 «О накоплении, хранении и использовании в целях гражданской обороны запасов материально – технических, продовольственных, медицинских и иных средств», от 10.11.1996г. № 1340 «О порядке создания и использования резервов материальных ресурсов для ликвидации чрезвычайных ситуаций природного и техногенного характера», Методическими рекомендациями МЧС России от 19.02.2021 г. по созданию и реконструкции систем оповещения населения.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2. Технические средства оповещения населения (далее-ТСО), предназначены для обеспечения своевременного доведения сигналов оповещения и информирования в системе оповещения об опасностях, возникающих при ведении военных действий или вследствие этих действий, а также об угрозе возникновения или возникновении чрезвычайных ситуаций природного и техногенного характера. Резерв ТСО предназначен для обеспечения устойчивого функционирования систем оповещения населения об опасностях, возникающих при военных конфликтах или вследствие этих конфликтах, а также при угрозах возникновения чрезвычайных ситуаций или при возникновении чрезвычайных ситуаций природного и техногенного характера на территории Юргамышского муниципального округа Курганской области и обеспечения максимально возможного охвата населения в зонах чрезвычайных ситуаций (далее-ЧС), а также на территориях, неохваченных автоматизированными системами оповещения.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3. Резерв ТСО создается заблаговременно за счет средств бюджета Юргамышского муниципального округа Курганской области.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4. Номенклатура резерва ТСО устанавливается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5. Объемы финансовых средств, необходимые на организацию создания, размещения, хранения, использования и восполнения резерва технических средств оповещения определяются с учетом возможного изменения рыночных цен на товары.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6. Координация деятельности по обеспечению создания, хранения,  использования и восполнения резерва ТСО осуществляет Управление по гражданской обороне и защите населения от чрезвычайных ситуаций Юргамышского муниципального округа Курганской области (далее-Управление). Координацию деятельности по управлению резервами ТСО осуществляет комиссия по предупреждению и ликвидации чрезвычайных ситуаций и обеспечению пожарной безопасности (далее-КЧС и ПБ). Комиссия вносит предложения: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по номенклатуре и объему резерва ТСО, местам их размещения;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7. Функции по организации создания, размещения , хранения использованию ТСО возлагается на Управление.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8. Управление в пределах своих полномочий: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разрабатывает предложения по номенклатуре и объемам ТСО и выносит их для обсуждения на заседания КЧС и ПБ;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установленным порядком определяет размеры расходов по пополнению (закупке), хранению и содержанию резерва ТСО и представляет соответствующее финансово - экономическое обоснование;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определяет места хранения резерва ТСО, отвечающее требованиям условий хранения и возможность доставки технических средств оповещения в зоны чрезвычайных ситуаций;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установленным порядком осуществляет отбор поставщиков резерва ТСО;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согласно утвержденной номенклатуре, приобретает оборудование для пополнения (освежения) резерва ТСО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организует хранение, освежение, замену, обслуживание резерва ТСО;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организует доставку резерва ТСО в району чрезвычайных ситуаций для оповещения населения;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ведет учет и отчетность по операциям (использования, пополнения, освежения) с оборудованием, входящим в состав резерва ТСО;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обеспечивает поддержание резерва ТСО в постоянной готовности к использованию;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осуществляет контроль за наличием, качественным состоянием, соблюдением условий хранения и выполнением мероприятий по содержанию резерва ТСО;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- подготавливает проекты правовых актов по вопросам закладки, хранения, учета, обслуживания, освежения, замены, реализации, списания и выдачи резерва ТСО;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>9. В повседневном режиме, для  обеспечения устойчивого функционирования систем оповещения населения, выдача резерва ТСО осуществляется по решению руководителя Управления в связи с их освежением (при достижении установленных сроков хранения) или при замене вышедшего их строя оборудования из состава (местной) системы оповещения Юргамышского муниципального округа Курганской области или вышедших из строя оконечных средств оповещения.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 </w:t>
      </w:r>
      <w:r>
        <w:rPr>
          <w:rFonts w:cs="Liberation Serif" w:ascii="Liberation Serif" w:hAnsi="Liberation Serif"/>
          <w:sz w:val="23"/>
          <w:szCs w:val="23"/>
        </w:rPr>
        <w:t xml:space="preserve">10. В режимах угрозы возникновения ЧС или при возникновении ЧС использование резерва ТСО осуществляется на оснований КЧС и ПБ или по указанию Главы администрации Юргамышского муниципального округа Курганской области для обеспечения оперативного гарантированного оповещения населения на территориях, неохваченных стационарными автоматизированными средствами оповещения, в предполагаемых зонах чрезвычайных ситуаций, в районах проведения аварийно – спасательных и аварийно – восстановительных работ, а также для организации оповещения населения об опасностях, возникающих при военных конфликтах или вследствие этих конфликтов.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11. Предложения по выдаче резерва технических средств оповещения готовит Управление.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12. Организация всех организационно – правовых форм, обратившиеся за помощью и получившие ТСО из состава резерва, организуют прием, хранение и целевое использование доставленных в зону ЧС технических средств оповещения.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  <w:t xml:space="preserve">13. В случае задействования резерва технических средств оповещения, Управление готовит отчет о целевом использовании резерва технических средств оповещения. Документы, подтверждающие целевое использование резервов ТСО, хранятся в течение 5 лет. </w:t>
      </w:r>
    </w:p>
    <w:p>
      <w:pPr>
        <w:pStyle w:val="Normal"/>
        <w:suppressAutoHyphens w:val="true"/>
        <w:ind w:left="0" w:firstLine="851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suppressAutoHyphens w:val="true"/>
        <w:ind w:left="0" w:firstLine="851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sectPr>
          <w:type w:val="continuous"/>
          <w:pgSz w:w="11906" w:h="16838"/>
          <w:pgMar w:left="1701" w:right="851" w:gutter="0" w:header="0" w:top="851" w:footer="0" w:bottom="851"/>
          <w:formProt w:val="false"/>
          <w:textDirection w:val="lrTb"/>
          <w:docGrid w:type="default" w:linePitch="312" w:charSpace="2047"/>
        </w:sectPr>
      </w:pPr>
    </w:p>
    <w:tbl>
      <w:tblPr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50"/>
        <w:gridCol w:w="1327"/>
        <w:gridCol w:w="5387"/>
      </w:tblGrid>
      <w:tr>
        <w:trPr/>
        <w:tc>
          <w:tcPr>
            <w:tcW w:w="2750" w:type="dxa"/>
            <w:tcBorders/>
          </w:tcPr>
          <w:p>
            <w:pPr>
              <w:pStyle w:val="ConsPlusNonformat"/>
              <w:widowControl w:val="false"/>
              <w:jc w:val="right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</w:r>
          </w:p>
        </w:tc>
        <w:tc>
          <w:tcPr>
            <w:tcW w:w="1327" w:type="dxa"/>
            <w:tcBorders/>
          </w:tcPr>
          <w:p>
            <w:pPr>
              <w:pStyle w:val="ConsPlusNonformat"/>
              <w:widowControl w:val="false"/>
              <w:jc w:val="right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</w:r>
          </w:p>
        </w:tc>
        <w:tc>
          <w:tcPr>
            <w:tcW w:w="5387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  <w:t>Приложение 2</w:t>
            </w:r>
          </w:p>
          <w:p>
            <w:pPr>
              <w:pStyle w:val="ConsPlusNonformat"/>
              <w:widowControl w:val="false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к постановлению Администрации Юргамышского муниципального округа Курганской области от «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01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»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>июля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 2024 г. № 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>553</w:t>
            </w:r>
            <w:r>
              <w:rPr>
                <w:rFonts w:cs="Liberation Serif" w:ascii="Liberation Serif" w:hAnsi="Liberation Serif"/>
                <w:sz w:val="23"/>
                <w:szCs w:val="23"/>
              </w:rPr>
              <w:t xml:space="preserve"> «Об утверждении номенклатуры, норм и порядка хранения запасов средств оповещения населения на территории Юргамышского муниципального округа Курганской области»</w:t>
            </w:r>
          </w:p>
        </w:tc>
      </w:tr>
    </w:tbl>
    <w:p>
      <w:pPr>
        <w:pStyle w:val="Normal"/>
        <w:rPr>
          <w:rFonts w:ascii="Liberation Serif" w:hAnsi="Liberation Serif" w:cs="Liberation Serif"/>
          <w:b/>
          <w:b/>
          <w:bCs/>
          <w:sz w:val="23"/>
          <w:szCs w:val="23"/>
        </w:rPr>
      </w:pPr>
      <w:r>
        <w:rPr>
          <w:rFonts w:cs="Liberation Serif" w:ascii="Liberation Serif" w:hAnsi="Liberation Serif"/>
          <w:b/>
          <w:bCs/>
          <w:sz w:val="23"/>
          <w:szCs w:val="23"/>
        </w:rPr>
      </w:r>
    </w:p>
    <w:p>
      <w:pPr>
        <w:pStyle w:val="Normal"/>
        <w:widowControl w:val="false"/>
        <w:ind w:left="0" w:firstLine="540"/>
        <w:jc w:val="both"/>
        <w:rPr>
          <w:rFonts w:ascii="Liberation Serif" w:hAnsi="Liberation Serif" w:cs="Liberation Serif"/>
          <w:sz w:val="23"/>
          <w:szCs w:val="23"/>
        </w:rPr>
      </w:pPr>
      <w:r>
        <w:rPr>
          <w:rFonts w:cs="Liberation Serif" w:ascii="Liberation Serif" w:hAnsi="Liberation Serif"/>
          <w:sz w:val="23"/>
          <w:szCs w:val="23"/>
        </w:rPr>
      </w:r>
    </w:p>
    <w:p>
      <w:pPr>
        <w:pStyle w:val="Normal"/>
        <w:suppressAutoHyphens w:val="true"/>
        <w:ind w:left="0" w:firstLine="851"/>
        <w:jc w:val="center"/>
        <w:rPr>
          <w:sz w:val="23"/>
          <w:szCs w:val="23"/>
        </w:rPr>
      </w:pPr>
      <w:r>
        <w:rPr>
          <w:sz w:val="23"/>
          <w:szCs w:val="23"/>
        </w:rPr>
        <w:t>Номенклатура</w:t>
      </w:r>
    </w:p>
    <w:p>
      <w:pPr>
        <w:pStyle w:val="Normal"/>
        <w:suppressAutoHyphens w:val="true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резерва технических средств оповещения Юргамышского муниципального округа Курганской области </w:t>
      </w:r>
    </w:p>
    <w:p>
      <w:pPr>
        <w:pStyle w:val="Normal"/>
        <w:suppressAutoHyphens w:val="true"/>
        <w:ind w:left="0" w:firstLine="851"/>
        <w:jc w:val="center"/>
        <w:rPr>
          <w:sz w:val="23"/>
          <w:szCs w:val="23"/>
        </w:rPr>
      </w:pPr>
      <w:r>
        <w:rPr>
          <w:sz w:val="23"/>
          <w:szCs w:val="23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ind w:left="0" w:firstLine="851"/>
        <w:jc w:val="center"/>
        <w:rPr>
          <w:sz w:val="23"/>
          <w:szCs w:val="23"/>
        </w:rPr>
      </w:pPr>
      <w:r>
        <w:rPr>
          <w:sz w:val="23"/>
          <w:szCs w:val="23"/>
        </w:rPr>
      </w:r>
    </w:p>
    <w:tbl>
      <w:tblPr>
        <w:tblStyle w:val="1"/>
        <w:tblW w:w="94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6"/>
        <w:gridCol w:w="1559"/>
        <w:gridCol w:w="991"/>
        <w:gridCol w:w="1346"/>
        <w:gridCol w:w="3823"/>
        <w:gridCol w:w="1280"/>
      </w:tblGrid>
      <w:tr>
        <w:trPr/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№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Номенклатура резерва (наименование) ТСО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Ед. изм.</w:t>
            </w:r>
          </w:p>
        </w:tc>
        <w:tc>
          <w:tcPr>
            <w:tcW w:w="134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Объем резерва (количество)</w:t>
            </w:r>
          </w:p>
        </w:tc>
        <w:tc>
          <w:tcPr>
            <w:tcW w:w="3823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Предназначение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Примечание</w:t>
            </w:r>
          </w:p>
        </w:tc>
      </w:tr>
      <w:tr>
        <w:trPr/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2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3</w:t>
            </w:r>
          </w:p>
        </w:tc>
        <w:tc>
          <w:tcPr>
            <w:tcW w:w="134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4</w:t>
            </w:r>
          </w:p>
        </w:tc>
        <w:tc>
          <w:tcPr>
            <w:tcW w:w="3823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5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6</w:t>
            </w:r>
          </w:p>
        </w:tc>
      </w:tr>
      <w:tr>
        <w:trPr>
          <w:trHeight w:val="322" w:hRule="atLeast"/>
        </w:trPr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Электросирены С-40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шт.</w:t>
            </w:r>
          </w:p>
        </w:tc>
        <w:tc>
          <w:tcPr>
            <w:tcW w:w="134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1</w:t>
            </w:r>
          </w:p>
        </w:tc>
        <w:tc>
          <w:tcPr>
            <w:tcW w:w="3823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Резервирование специальных оконечных средств оповещения.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-</w:t>
            </w:r>
          </w:p>
        </w:tc>
      </w:tr>
      <w:tr>
        <w:trPr>
          <w:trHeight w:val="140" w:hRule="atLeast"/>
        </w:trPr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2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Электросирены С-28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шт.</w:t>
            </w:r>
          </w:p>
        </w:tc>
        <w:tc>
          <w:tcPr>
            <w:tcW w:w="134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1</w:t>
            </w:r>
          </w:p>
        </w:tc>
        <w:tc>
          <w:tcPr>
            <w:tcW w:w="3823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Резервирование специальных оконечных средств оповещения.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</w:r>
          </w:p>
        </w:tc>
      </w:tr>
      <w:tr>
        <w:trPr/>
        <w:tc>
          <w:tcPr>
            <w:tcW w:w="42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3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Ручной громкоговоритель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компл.</w:t>
            </w:r>
          </w:p>
        </w:tc>
        <w:tc>
          <w:tcPr>
            <w:tcW w:w="1346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2</w:t>
            </w:r>
          </w:p>
        </w:tc>
        <w:tc>
          <w:tcPr>
            <w:tcW w:w="3823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Обеспечение гарантированного оповещения населения на территориях, неохваченных стационарными автоматизированными средствами оповещения, в предполагаемых зонах ЧС, в районах проведения аварийно – спасательных м аварийно – восстановительных работ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uppressAutoHyphens w:val="true"/>
              <w:jc w:val="center"/>
              <w:rPr>
                <w:sz w:val="23"/>
                <w:szCs w:val="23"/>
              </w:rPr>
            </w:pPr>
            <w:r>
              <w:rPr>
                <w:kern w:val="0"/>
                <w:sz w:val="23"/>
                <w:szCs w:val="23"/>
                <w:lang w:val="ru-RU" w:bidi="ar-SA"/>
              </w:rPr>
              <w:t>-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235" w:leader="none"/>
        </w:tabs>
        <w:spacing w:lineRule="atLeast" w:line="24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/>
      </w:r>
    </w:p>
    <w:sectPr>
      <w:type w:val="continuous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31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5825"/>
    <w:pPr>
      <w:widowControl/>
      <w:bidi w:val="0"/>
      <w:spacing w:before="0" w:after="0"/>
      <w:ind w:left="0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5">
    <w:name w:val="Heading 5"/>
    <w:basedOn w:val="Normal"/>
    <w:next w:val="Normal"/>
    <w:link w:val="51"/>
    <w:qFormat/>
    <w:rsid w:val="00625825"/>
    <w:pPr>
      <w:keepNext w:val="true"/>
      <w:jc w:val="center"/>
      <w:outlineLvl w:val="4"/>
    </w:pPr>
    <w:rPr>
      <w:sz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qFormat/>
    <w:rsid w:val="00625825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625825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Основной текст Знак"/>
    <w:basedOn w:val="DefaultParagraphFont"/>
    <w:qFormat/>
    <w:rsid w:val="00625825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15">
    <w:name w:val="Hyperlink"/>
    <w:uiPriority w:val="99"/>
    <w:semiHidden/>
    <w:unhideWhenUsed/>
    <w:rsid w:val="00af18c6"/>
    <w:rPr>
      <w:color w:val="0000FF"/>
      <w:u w:val="single"/>
    </w:rPr>
  </w:style>
  <w:style w:type="character" w:styleId="Style16" w:customStyle="1">
    <w:name w:val="Основной текст_"/>
    <w:link w:val="7"/>
    <w:semiHidden/>
    <w:qFormat/>
    <w:locked/>
    <w:rsid w:val="00af18c6"/>
    <w:rPr>
      <w:rFonts w:ascii="Arial" w:hAnsi="Arial" w:eastAsia="Arial" w:cs="Arial"/>
      <w:sz w:val="23"/>
      <w:szCs w:val="23"/>
      <w:shd w:fill="FFFFFF" w:val="clear"/>
    </w:rPr>
  </w:style>
  <w:style w:type="character" w:styleId="2" w:customStyle="1">
    <w:name w:val="Основной текст (2)"/>
    <w:qFormat/>
    <w:rsid w:val="00af18c6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styleId="Docdata" w:customStyle="1">
    <w:name w:val="docdata"/>
    <w:basedOn w:val="DefaultParagraphFont"/>
    <w:qFormat/>
    <w:rsid w:val="00d236cc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link w:val="Style14"/>
    <w:rsid w:val="00625825"/>
    <w:pPr>
      <w:spacing w:before="0" w:after="120"/>
      <w:ind w:left="0" w:firstLine="720"/>
      <w:jc w:val="both"/>
    </w:pPr>
    <w:rPr>
      <w:sz w:val="26"/>
    </w:rPr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625825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bc1bb3"/>
    <w:pPr>
      <w:widowControl w:val="false"/>
      <w:suppressAutoHyphens w:val="true"/>
      <w:bidi w:val="0"/>
      <w:spacing w:before="0" w:after="0"/>
      <w:ind w:left="0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zh-CN" w:val="ru-RU" w:bidi="ar-SA"/>
    </w:rPr>
  </w:style>
  <w:style w:type="paragraph" w:styleId="NormalWeb">
    <w:name w:val="Normal (Web)"/>
    <w:basedOn w:val="Normal"/>
    <w:unhideWhenUsed/>
    <w:qFormat/>
    <w:rsid w:val="00af18c6"/>
    <w:pPr>
      <w:spacing w:beforeAutospacing="1" w:after="119"/>
    </w:pPr>
    <w:rPr>
      <w:sz w:val="24"/>
      <w:szCs w:val="24"/>
    </w:rPr>
  </w:style>
  <w:style w:type="paragraph" w:styleId="ConsPlusNormal" w:customStyle="1">
    <w:name w:val="ConsPlusNormal"/>
    <w:semiHidden/>
    <w:qFormat/>
    <w:rsid w:val="00af18c6"/>
    <w:pPr>
      <w:widowControl w:val="false"/>
      <w:bidi w:val="0"/>
      <w:spacing w:before="0" w:after="0"/>
      <w:ind w:lef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2" w:customStyle="1">
    <w:name w:val="Прижатый влево"/>
    <w:basedOn w:val="Normal"/>
    <w:next w:val="Normal"/>
    <w:semiHidden/>
    <w:qFormat/>
    <w:rsid w:val="00af18c6"/>
    <w:pPr>
      <w:widowControl w:val="false"/>
    </w:pPr>
    <w:rPr>
      <w:rFonts w:ascii="Arial" w:hAnsi="Arial" w:cs="Arial"/>
      <w:sz w:val="24"/>
      <w:szCs w:val="24"/>
    </w:rPr>
  </w:style>
  <w:style w:type="paragraph" w:styleId="ConsPlusNonformat" w:customStyle="1">
    <w:name w:val="ConsPlusNonformat"/>
    <w:semiHidden/>
    <w:qFormat/>
    <w:rsid w:val="00af18c6"/>
    <w:pPr>
      <w:widowControl w:val="false"/>
      <w:bidi w:val="0"/>
      <w:spacing w:before="0" w:after="0"/>
      <w:ind w:left="0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Cell" w:customStyle="1">
    <w:name w:val="ConsPlusCell"/>
    <w:semiHidden/>
    <w:qFormat/>
    <w:rsid w:val="00af18c6"/>
    <w:pPr>
      <w:widowControl w:val="false"/>
      <w:bidi w:val="0"/>
      <w:spacing w:before="0" w:after="0"/>
      <w:ind w:left="0"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Textbodyindent" w:customStyle="1">
    <w:name w:val="Text body indent"/>
    <w:basedOn w:val="Normal"/>
    <w:semiHidden/>
    <w:qFormat/>
    <w:rsid w:val="00af18c6"/>
    <w:pPr>
      <w:widowControl w:val="false"/>
      <w:suppressAutoHyphens w:val="true"/>
      <w:spacing w:before="0" w:after="120"/>
      <w:ind w:left="283" w:hanging="0"/>
    </w:pPr>
    <w:rPr>
      <w:rFonts w:eastAsia="SimSun"/>
      <w:kern w:val="2"/>
      <w:sz w:val="28"/>
      <w:szCs w:val="28"/>
      <w:lang w:eastAsia="ar-SA"/>
    </w:rPr>
  </w:style>
  <w:style w:type="paragraph" w:styleId="7" w:customStyle="1">
    <w:name w:val="Основной текст7"/>
    <w:basedOn w:val="Normal"/>
    <w:link w:val="Style16"/>
    <w:semiHidden/>
    <w:qFormat/>
    <w:rsid w:val="00af18c6"/>
    <w:pPr>
      <w:shd w:val="clear" w:color="auto" w:fill="FFFFFF"/>
      <w:spacing w:lineRule="atLeast" w:line="0" w:before="120" w:after="0"/>
      <w:ind w:left="0" w:hanging="1700"/>
    </w:pPr>
    <w:rPr>
      <w:rFonts w:ascii="Arial" w:hAnsi="Arial" w:eastAsia="Arial" w:cs="Arial"/>
      <w:sz w:val="23"/>
      <w:szCs w:val="23"/>
      <w:lang w:eastAsia="en-US"/>
    </w:rPr>
  </w:style>
  <w:style w:type="paragraph" w:styleId="Western" w:customStyle="1">
    <w:name w:val="western"/>
    <w:basedOn w:val="Normal"/>
    <w:qFormat/>
    <w:rsid w:val="002e227e"/>
    <w:pPr>
      <w:spacing w:beforeAutospacing="1" w:after="119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002021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17875"/>
    <w:pPr>
      <w:spacing w:before="0"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c55bd3"/>
    <w:pPr>
      <w:spacing w:before="0" w:after="0"/>
      <w:jc w:val="left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D5CBC-D48F-4469-81FC-84C2A282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LibreOffice/7.4.0.3$Windows_X86_64 LibreOffice_project/f85e47c08ddd19c015c0114a68350214f7066f5a</Application>
  <AppVersion>15.0000</AppVersion>
  <Pages>5</Pages>
  <Words>1210</Words>
  <Characters>8922</Characters>
  <CharactersWithSpaces>10172</CharactersWithSpaces>
  <Paragraphs>79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2023-10-26T06:36:00Z</dcterms:created>
  <dc:creator>Adm</dc:creator>
  <dc:description/>
  <dc:language>ru-RU</dc:language>
  <cp:lastModifiedBy>2 3 1</cp:lastModifiedBy>
  <cp:lastPrinted>2024-03-27T08:36:00Z</cp:lastPrinted>
  <dcterms:modified xsi:type="dcterms:W3CDTF">2024-08-06T08:12:02Z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