
<file path=[Content_Types].xml><?xml version="1.0" encoding="utf-8"?>
<Types xmlns="http://schemas.openxmlformats.org/package/2006/content-types">
  <Default Extension="svg" ContentType="image/svg+xml"/>
  <Default Extension="wmf" ContentType="image/x-wmf"/>
  <Default Extension="png" ContentType="image/png"/>
  <Default Extension="jpg" ContentType="image/jpeg"/>
  <Default Extension="jpeg" ContentType="image/jpeg"/>
  <Default Extension="xml" ContentType="application/xml"/>
  <Default Extension="rels" ContentType="application/vnd.openxmlformats-package.relationships+xml"/>
  <Default Extension="bin" ContentType="application/vnd.openxmlformats-officedocument.oleObject"/>
  <Override PartName="/docProps/core.xml" ContentType="application/vnd.openxmlformats-package.core-properties+xml"/>
  <Override PartName="/docProps/app.xml" ContentType="application/vnd.openxmlformats-officedocument.extended-properties+xml"/>
  <Override PartName="/word/footer9.xml" ContentType="application/vnd.openxmlformats-officedocument.wordprocessingml.footer+xml"/>
  <Override PartName="/docProps/custom.xml" ContentType="application/vnd.openxmlformats-officedocument.custom-properties+xml"/>
  <Override PartName="/word/footer8.xml" ContentType="application/vnd.openxmlformats-officedocument.wordprocessingml.footer+xml"/>
  <Override PartName="/word/footer7.xml" ContentType="application/vnd.openxmlformats-officedocument.wordprocessingml.footer+xml"/>
  <Override PartName="/word/footer6.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oter5.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endnotes.xml" ContentType="application/vnd.openxmlformats-officedocument.wordprocessingml.endnote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footnotes.xml" ContentType="application/vnd.openxmlformats-officedocument.wordprocessingml.footnotes+xml"/>
  <Override PartName="/word/footer4.xml" ContentType="application/vnd.openxmlformats-officedocument.wordprocessingml.footer+xml"/>
  <Override PartName="/word/styles.xml" ContentType="application/vnd.openxmlformats-officedocument.wordprocessingml.styles+xml"/>
  <Override PartName="/word/document.xml" ContentType="application/vnd.openxmlformats-officedocument.wordprocessingml.document.main+xml"/>
  <Override PartName="/customXml/itemProps1.xml" ContentType="application/vnd.openxmlformats-officedocument.customXmlProperties+xml"/>
</Types>
</file>

<file path=_rels/.rels><?xml version="1.0" encoding="UTF-8" standalone="yes"?> <Relationships xmlns="http://schemas.openxmlformats.org/package/2006/relationships"> <Relationship Id="rId1" Type="http://schemas.openxmlformats.org/officeDocument/2006/relationships/officeDocument" Target="word/document.xml"/> <Relationship Id="rId2" Type="http://schemas.openxmlformats.org/package/2006/relationships/metadata/core-properties" Target="docProps/core.xml"/> <Relationship Id="rId3" Type="http://schemas.openxmlformats.org/officeDocument/2006/relationships/extended-properties" Target="docProps/app.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a="http://schemas.openxmlformats.org/drawingml/2006/main" xmlns:wne="http://schemas.microsoft.com/office/word/2006/wordml" xmlns:wps="http://schemas.microsoft.com/office/word/2010/wordprocessingShape" mc:Ignorable="w14 w15 wp14">
  <w:body>
    <w:p>
      <w:pPr>
        <w:jc w:val="right"/>
        <w:rPr>
          <w:b/>
          <w:bCs/>
        </w:rPr>
      </w:pPr>
      <w:r>
        <w:rPr>
          <w:b/>
        </w:rPr>
        <w:t xml:space="preserve"> </w:t>
      </w:r>
      <w:r>
        <w:rPr>
          <w:b/>
        </w:rPr>
      </w:r>
    </w:p>
    <w:p>
      <w:pPr>
        <w:jc w:val="right"/>
        <w:rPr>
          <w:b/>
          <w:bCs/>
        </w:rPr>
      </w:pPr>
      <w:r>
        <w:rPr>
          <w:b/>
          <w:highlight w:val="none"/>
        </w:rPr>
      </w:r>
      <w:r>
        <w:rPr>
          <w:b/>
          <w:highlight w:val="none"/>
        </w:rPr>
      </w:r>
    </w:p>
    <w:p>
      <w:pPr>
        <w:jc w:val="right"/>
        <w:rPr>
          <w:b/>
          <w:bCs/>
          <w:highlight w:val="none"/>
        </w:rPr>
      </w:pPr>
      <w:r>
        <w:rPr>
          <w:b/>
        </w:rPr>
        <w:t xml:space="preserve"> СОГЛАСОВАНО:</w:t>
      </w:r>
      <w:r>
        <w:rPr>
          <w:b/>
        </w:rPr>
      </w:r>
      <w:r/>
    </w:p>
    <w:p>
      <w:pPr>
        <w:jc w:val="right"/>
      </w:pPr>
      <w:r>
        <w:rPr>
          <w:b/>
        </w:rPr>
        <w:t xml:space="preserve">                                       Глава Юргамышского муниципального округа Курганской области</w:t>
      </w:r>
      <w:r>
        <w:rPr>
          <w:b/>
        </w:rPr>
      </w:r>
    </w:p>
    <w:p>
      <w:pPr>
        <w:jc w:val="right"/>
      </w:pPr>
      <w:r>
        <w:rPr>
          <w:b/>
        </w:rPr>
      </w:r>
      <w:r>
        <w:rPr>
          <w:b/>
        </w:rPr>
      </w:r>
    </w:p>
    <w:p>
      <w:pPr>
        <w:jc w:val="right"/>
      </w:pPr>
      <w:r>
        <w:rPr>
          <w:b/>
        </w:rPr>
        <w:t xml:space="preserve">                 _________________ А.Ю.Чесноков</w:t>
      </w:r>
      <w:r>
        <w:rPr>
          <w:b/>
        </w:rPr>
      </w:r>
    </w:p>
    <w:p>
      <w:pPr>
        <w:jc w:val="right"/>
      </w:pPr>
      <w:r>
        <w:rPr>
          <w:b/>
        </w:rPr>
      </w:r>
      <w:r>
        <w:rPr>
          <w:b/>
        </w:rPr>
      </w:r>
    </w:p>
    <w:p>
      <w:pPr>
        <w:jc w:val="right"/>
      </w:pPr>
      <w:r>
        <w:rPr>
          <w:b/>
        </w:rPr>
        <w:t xml:space="preserve">                                                             19.06.2025г</w:t>
      </w:r>
      <w:r>
        <w:rPr>
          <w:b/>
        </w:rPr>
      </w:r>
    </w:p>
    <w:p>
      <w:pPr>
        <w:jc w:val="center"/>
        <w:rPr>
          <w:b/>
          <w:bCs/>
        </w:rPr>
      </w:pPr>
      <w:r>
        <w:rPr>
          <w:b/>
        </w:rPr>
        <w:t xml:space="preserve">                               </w:t>
      </w:r>
      <w:r>
        <w:rPr>
          <w:b/>
        </w:rPr>
      </w:r>
    </w:p>
    <w:p>
      <w:pPr>
        <w:jc w:val="center"/>
        <w:rPr>
          <w:b/>
          <w:bCs/>
          <w:sz w:val="36"/>
          <w:szCs w:val="36"/>
        </w:rPr>
      </w:pPr>
      <w:r>
        <w:rPr>
          <w:b/>
          <w:sz w:val="36"/>
          <w:szCs w:val="36"/>
          <w:highlight w:val="none"/>
        </w:rPr>
      </w:r>
      <w:r>
        <w:rPr>
          <w:b/>
          <w:sz w:val="36"/>
          <w:szCs w:val="36"/>
          <w:highlight w:val="none"/>
        </w:rPr>
      </w:r>
    </w:p>
    <w:p>
      <w:pPr>
        <w:jc w:val="center"/>
        <w:rPr>
          <w:b/>
          <w:bCs/>
          <w:sz w:val="36"/>
          <w:szCs w:val="36"/>
          <w:highlight w:val="none"/>
        </w:rPr>
      </w:pPr>
      <w:r>
        <w:rPr>
          <w:b/>
          <w:sz w:val="36"/>
          <w:szCs w:val="36"/>
          <w:highlight w:val="none"/>
        </w:rPr>
      </w:r>
      <w:r>
        <w:rPr>
          <w:b/>
          <w:sz w:val="36"/>
          <w:szCs w:val="36"/>
          <w:highlight w:val="none"/>
        </w:rPr>
      </w:r>
    </w:p>
    <w:p>
      <w:pPr>
        <w:jc w:val="center"/>
        <w:rPr>
          <w:b/>
          <w:bCs/>
          <w:sz w:val="36"/>
          <w:szCs w:val="36"/>
          <w:highlight w:val="none"/>
        </w:rPr>
      </w:pPr>
      <w:r>
        <w:rPr>
          <w:b/>
          <w:sz w:val="36"/>
          <w:szCs w:val="36"/>
          <w:highlight w:val="none"/>
        </w:rPr>
      </w:r>
      <w:r>
        <w:rPr>
          <w:b/>
          <w:sz w:val="36"/>
          <w:szCs w:val="36"/>
          <w:highlight w:val="none"/>
        </w:rPr>
      </w:r>
    </w:p>
    <w:p>
      <w:pPr>
        <w:jc w:val="center"/>
        <w:rPr>
          <w:b/>
          <w:bCs/>
          <w:sz w:val="36"/>
          <w:szCs w:val="36"/>
          <w:highlight w:val="none"/>
        </w:rPr>
      </w:pPr>
      <w:r>
        <w:rPr>
          <w:b/>
          <w:sz w:val="36"/>
          <w:szCs w:val="36"/>
          <w:highlight w:val="none"/>
        </w:rPr>
      </w:r>
      <w:r>
        <w:rPr>
          <w:b/>
          <w:sz w:val="36"/>
          <w:szCs w:val="36"/>
          <w:highlight w:val="none"/>
        </w:rPr>
      </w:r>
    </w:p>
    <w:p>
      <w:pPr>
        <w:jc w:val="center"/>
        <w:rPr>
          <w:b/>
          <w:bCs/>
          <w:sz w:val="36"/>
          <w:szCs w:val="36"/>
          <w:highlight w:val="none"/>
        </w:rPr>
      </w:pPr>
      <w:r>
        <w:rPr>
          <w:b/>
          <w:sz w:val="36"/>
          <w:szCs w:val="36"/>
          <w:highlight w:val="none"/>
        </w:rPr>
      </w:r>
      <w:r>
        <w:rPr>
          <w:b/>
          <w:sz w:val="36"/>
          <w:szCs w:val="36"/>
          <w:highlight w:val="none"/>
        </w:rPr>
      </w:r>
    </w:p>
    <w:p>
      <w:pPr>
        <w:jc w:val="center"/>
        <w:rPr>
          <w:b/>
          <w:bCs/>
          <w:sz w:val="36"/>
          <w:szCs w:val="36"/>
          <w:highlight w:val="none"/>
        </w:rPr>
      </w:pPr>
      <w:r>
        <w:rPr>
          <w:b/>
          <w:sz w:val="36"/>
          <w:szCs w:val="36"/>
          <w:highlight w:val="none"/>
        </w:rPr>
      </w:r>
      <w:r>
        <w:rPr>
          <w:b/>
          <w:sz w:val="36"/>
          <w:szCs w:val="36"/>
          <w:highlight w:val="none"/>
        </w:rPr>
      </w:r>
    </w:p>
    <w:p>
      <w:pPr>
        <w:jc w:val="center"/>
        <w:rPr>
          <w:b/>
          <w:bCs/>
          <w:sz w:val="36"/>
          <w:szCs w:val="36"/>
          <w:highlight w:val="none"/>
        </w:rPr>
      </w:pPr>
      <w:r>
        <w:rPr>
          <w:b/>
          <w:sz w:val="36"/>
          <w:szCs w:val="36"/>
          <w:highlight w:val="none"/>
        </w:rPr>
      </w:r>
      <w:r>
        <w:rPr>
          <w:b/>
          <w:sz w:val="36"/>
          <w:szCs w:val="36"/>
          <w:highlight w:val="none"/>
        </w:rPr>
      </w:r>
    </w:p>
    <w:p>
      <w:pPr>
        <w:jc w:val="center"/>
        <w:rPr>
          <w:b/>
          <w:bCs/>
          <w:sz w:val="36"/>
          <w:szCs w:val="36"/>
          <w:highlight w:val="none"/>
        </w:rPr>
      </w:pPr>
      <w:r>
        <w:rPr>
          <w:b/>
        </w:rPr>
      </w:r>
      <w:r>
        <w:rPr>
          <w:b/>
          <w:sz w:val="36"/>
          <w:szCs w:val="36"/>
        </w:rPr>
        <w:t xml:space="preserve">Пояснительная записка</w:t>
      </w:r>
      <w:r>
        <w:rPr>
          <w:b/>
          <w:bCs/>
          <w:sz w:val="36"/>
          <w:szCs w:val="36"/>
          <w:highlight w:val="none"/>
        </w:rPr>
      </w:r>
    </w:p>
    <w:p>
      <w:pPr>
        <w:jc w:val="center"/>
        <w:rPr>
          <w:b/>
          <w:bCs/>
          <w:sz w:val="36"/>
          <w:szCs w:val="36"/>
        </w:rPr>
      </w:pPr>
      <w:r>
        <w:rPr>
          <w:b/>
          <w:sz w:val="36"/>
          <w:szCs w:val="36"/>
        </w:rPr>
      </w:r>
      <w:r>
        <w:rPr>
          <w:b/>
          <w:sz w:val="36"/>
          <w:szCs w:val="36"/>
        </w:rPr>
        <w:t xml:space="preserve">к схеме теплоснабжения</w:t>
      </w:r>
      <w:r>
        <w:rPr>
          <w:b/>
          <w:bCs/>
          <w:sz w:val="36"/>
          <w:szCs w:val="36"/>
          <w:highlight w:val="none"/>
        </w:rPr>
      </w:r>
    </w:p>
    <w:p>
      <w:pPr>
        <w:jc w:val="center"/>
        <w:rPr>
          <w:b/>
          <w:bCs/>
          <w:sz w:val="36"/>
          <w:szCs w:val="36"/>
        </w:rPr>
      </w:pPr>
      <w:r>
        <w:rPr>
          <w:b/>
          <w:sz w:val="36"/>
          <w:szCs w:val="36"/>
        </w:rPr>
      </w:r>
      <w:r>
        <w:rPr>
          <w:b/>
          <w:sz w:val="36"/>
          <w:szCs w:val="36"/>
        </w:rPr>
        <w:t xml:space="preserve">Юргамышского муниципального округа</w:t>
      </w:r>
      <w:r>
        <w:rPr>
          <w:b/>
          <w:bCs/>
          <w:sz w:val="36"/>
          <w:szCs w:val="36"/>
          <w:highlight w:val="none"/>
        </w:rPr>
      </w:r>
    </w:p>
    <w:p>
      <w:pPr>
        <w:jc w:val="center"/>
        <w:rPr>
          <w:b/>
          <w:bCs/>
          <w:sz w:val="36"/>
          <w:szCs w:val="36"/>
        </w:rPr>
      </w:pPr>
      <w:r>
        <w:rPr>
          <w:b/>
          <w:sz w:val="36"/>
          <w:szCs w:val="36"/>
        </w:rPr>
      </w:r>
      <w:r>
        <w:rPr>
          <w:b/>
          <w:sz w:val="36"/>
          <w:szCs w:val="36"/>
        </w:rPr>
        <w:t xml:space="preserve">Курганской области</w:t>
      </w:r>
      <w:r>
        <w:rPr>
          <w:b/>
          <w:bCs/>
          <w:sz w:val="36"/>
          <w:szCs w:val="36"/>
          <w:highlight w:val="none"/>
        </w:rPr>
      </w:r>
    </w:p>
    <w:p>
      <w:pPr>
        <w:jc w:val="center"/>
        <w:rPr>
          <w:b/>
          <w:bCs/>
          <w:sz w:val="36"/>
          <w:szCs w:val="36"/>
          <w:highlight w:val="none"/>
        </w:rPr>
      </w:pPr>
      <w:r>
        <w:rPr>
          <w:b/>
          <w:sz w:val="36"/>
          <w:szCs w:val="36"/>
        </w:rPr>
      </w:r>
      <w:r>
        <w:rPr>
          <w:b/>
          <w:sz w:val="36"/>
          <w:szCs w:val="36"/>
        </w:rPr>
        <w:t xml:space="preserve">до 2039 года</w:t>
      </w:r>
      <w:r>
        <w:rPr>
          <w:b/>
          <w:bCs/>
          <w:sz w:val="36"/>
          <w:szCs w:val="36"/>
          <w:highlight w:val="none"/>
        </w:rPr>
      </w:r>
      <w:r/>
    </w:p>
    <w:p>
      <w:pPr>
        <w:jc w:val="center"/>
        <w:rPr>
          <w:b/>
          <w:sz w:val="20"/>
          <w:szCs w:val="20"/>
        </w:rPr>
      </w:pPr>
      <w:r>
        <w:rPr>
          <w:b/>
          <w:sz w:val="20"/>
          <w:szCs w:val="20"/>
        </w:rPr>
      </w:r>
      <w:r>
        <w:rPr>
          <w:b/>
          <w:sz w:val="20"/>
          <w:szCs w:val="20"/>
        </w:rPr>
      </w:r>
      <w:r>
        <w:rPr>
          <w:b/>
          <w:sz w:val="20"/>
          <w:szCs w:val="20"/>
        </w:rPr>
      </w:r>
    </w:p>
    <w:p>
      <w:pPr>
        <w:jc w:val="center"/>
        <w:rPr>
          <w:sz w:val="20"/>
          <w:szCs w:val="20"/>
        </w:rPr>
      </w:pPr>
      <w:r>
        <w:rPr>
          <w:sz w:val="20"/>
          <w:szCs w:val="20"/>
        </w:rPr>
      </w:r>
      <w:r>
        <w:rPr>
          <w:sz w:val="20"/>
          <w:szCs w:val="20"/>
        </w:rPr>
      </w:r>
      <w:r>
        <w:rPr>
          <w:sz w:val="20"/>
          <w:szCs w:val="20"/>
        </w:rPr>
      </w:r>
    </w:p>
    <w:p>
      <w:pPr>
        <w:jc w:val="center"/>
        <w:rPr>
          <w:sz w:val="20"/>
          <w:szCs w:val="20"/>
        </w:rPr>
      </w:pPr>
      <w:r>
        <w:rPr>
          <w:sz w:val="20"/>
          <w:szCs w:val="20"/>
        </w:rPr>
      </w:r>
      <w:r>
        <w:rPr>
          <w:sz w:val="20"/>
          <w:szCs w:val="20"/>
        </w:rPr>
      </w:r>
      <w:r>
        <w:rPr>
          <w:sz w:val="20"/>
          <w:szCs w:val="20"/>
        </w:rPr>
      </w:r>
    </w:p>
    <w:p>
      <w:pPr>
        <w:jc w:val="center"/>
        <w:rPr>
          <w:sz w:val="20"/>
          <w:szCs w:val="20"/>
        </w:rPr>
      </w:pPr>
      <w:r>
        <w:rPr>
          <w:sz w:val="20"/>
          <w:szCs w:val="20"/>
        </w:rPr>
      </w:r>
      <w:r>
        <w:rPr>
          <w:sz w:val="20"/>
          <w:szCs w:val="20"/>
        </w:rPr>
      </w:r>
      <w:r>
        <w:rPr>
          <w:sz w:val="20"/>
          <w:szCs w:val="20"/>
        </w:rPr>
      </w:r>
    </w:p>
    <w:p>
      <w:pPr>
        <w:jc w:val="center"/>
        <w:rPr>
          <w:sz w:val="20"/>
          <w:szCs w:val="20"/>
        </w:rPr>
      </w:pPr>
      <w:r>
        <w:rPr>
          <w:sz w:val="20"/>
          <w:szCs w:val="20"/>
        </w:rPr>
      </w:r>
      <w:r>
        <w:rPr>
          <w:sz w:val="20"/>
          <w:szCs w:val="20"/>
        </w:rPr>
      </w:r>
      <w:r>
        <w:rPr>
          <w:sz w:val="20"/>
          <w:szCs w:val="20"/>
        </w:rPr>
      </w:r>
    </w:p>
    <w:p>
      <w:pPr>
        <w:jc w:val="center"/>
        <w:rPr>
          <w:sz w:val="20"/>
          <w:szCs w:val="20"/>
        </w:rPr>
      </w:pPr>
      <w:r>
        <w:rPr>
          <w:sz w:val="20"/>
          <w:szCs w:val="20"/>
        </w:rPr>
      </w:r>
      <w:r>
        <w:rPr>
          <w:sz w:val="20"/>
          <w:szCs w:val="20"/>
        </w:rPr>
      </w:r>
      <w:r>
        <w:rPr>
          <w:sz w:val="20"/>
          <w:szCs w:val="20"/>
        </w:rPr>
      </w:r>
    </w:p>
    <w:p>
      <w:pPr>
        <w:jc w:val="center"/>
        <w:rPr>
          <w:sz w:val="20"/>
          <w:szCs w:val="20"/>
        </w:rPr>
      </w:pPr>
      <w:r>
        <w:rPr>
          <w:sz w:val="20"/>
          <w:szCs w:val="20"/>
        </w:rPr>
      </w:r>
      <w:r>
        <w:rPr>
          <w:sz w:val="20"/>
          <w:szCs w:val="20"/>
        </w:rPr>
      </w:r>
      <w:r>
        <w:rPr>
          <w:sz w:val="20"/>
          <w:szCs w:val="20"/>
        </w:rPr>
      </w:r>
    </w:p>
    <w:p>
      <w:pPr>
        <w:jc w:val="center"/>
        <w:rPr>
          <w:sz w:val="20"/>
          <w:szCs w:val="20"/>
        </w:rPr>
      </w:pPr>
      <w:r>
        <w:rPr>
          <w:sz w:val="20"/>
          <w:szCs w:val="20"/>
        </w:rPr>
      </w:r>
      <w:r>
        <w:rPr>
          <w:sz w:val="20"/>
          <w:szCs w:val="20"/>
        </w:rPr>
      </w:r>
      <w:r>
        <w:rPr>
          <w:sz w:val="20"/>
          <w:szCs w:val="20"/>
        </w:rPr>
      </w:r>
    </w:p>
    <w:p>
      <w:pPr>
        <w:jc w:val="center"/>
        <w:rPr>
          <w:sz w:val="20"/>
          <w:szCs w:val="20"/>
        </w:rPr>
      </w:pPr>
      <w:r>
        <w:rPr>
          <w:sz w:val="20"/>
          <w:szCs w:val="20"/>
        </w:rPr>
      </w:r>
      <w:r>
        <w:rPr>
          <w:sz w:val="20"/>
          <w:szCs w:val="20"/>
        </w:rPr>
      </w:r>
      <w:r>
        <w:rPr>
          <w:sz w:val="20"/>
          <w:szCs w:val="20"/>
        </w:rPr>
      </w:r>
    </w:p>
    <w:p>
      <w:pPr>
        <w:jc w:val="center"/>
        <w:rPr>
          <w:sz w:val="20"/>
          <w:szCs w:val="20"/>
        </w:rPr>
      </w:pPr>
      <w:r>
        <w:rPr>
          <w:sz w:val="20"/>
          <w:szCs w:val="20"/>
        </w:rPr>
      </w:r>
      <w:r>
        <w:rPr>
          <w:sz w:val="20"/>
          <w:szCs w:val="20"/>
        </w:rPr>
      </w:r>
    </w:p>
    <w:p>
      <w:pPr>
        <w:jc w:val="center"/>
        <w:rPr>
          <w:sz w:val="20"/>
          <w:szCs w:val="20"/>
        </w:rPr>
      </w:pPr>
      <w:r>
        <w:rPr>
          <w:sz w:val="20"/>
          <w:szCs w:val="20"/>
        </w:rPr>
      </w:r>
      <w:r>
        <w:rPr>
          <w:sz w:val="20"/>
          <w:szCs w:val="20"/>
        </w:rPr>
      </w:r>
    </w:p>
    <w:p>
      <w:pPr>
        <w:jc w:val="center"/>
        <w:rPr>
          <w:sz w:val="20"/>
          <w:szCs w:val="20"/>
        </w:rPr>
      </w:pPr>
      <w:r>
        <w:rPr>
          <w:sz w:val="20"/>
          <w:szCs w:val="20"/>
        </w:rPr>
      </w:r>
      <w:r>
        <w:rPr>
          <w:sz w:val="20"/>
          <w:szCs w:val="20"/>
        </w:rPr>
      </w:r>
    </w:p>
    <w:p>
      <w:pPr>
        <w:jc w:val="center"/>
        <w:rPr>
          <w:sz w:val="20"/>
          <w:szCs w:val="20"/>
        </w:rPr>
      </w:pPr>
      <w:r>
        <w:rPr>
          <w:sz w:val="20"/>
          <w:szCs w:val="20"/>
        </w:rPr>
      </w:r>
      <w:r>
        <w:rPr>
          <w:sz w:val="20"/>
          <w:szCs w:val="20"/>
        </w:rPr>
      </w:r>
    </w:p>
    <w:p>
      <w:pPr>
        <w:jc w:val="center"/>
        <w:rPr>
          <w:sz w:val="20"/>
          <w:szCs w:val="20"/>
        </w:rPr>
      </w:pPr>
      <w:r>
        <w:rPr>
          <w:sz w:val="20"/>
          <w:szCs w:val="20"/>
        </w:rPr>
      </w:r>
      <w:r>
        <w:rPr>
          <w:sz w:val="20"/>
          <w:szCs w:val="20"/>
        </w:rPr>
      </w:r>
    </w:p>
    <w:p>
      <w:pPr>
        <w:jc w:val="center"/>
        <w:rPr>
          <w:sz w:val="20"/>
          <w:szCs w:val="20"/>
        </w:rPr>
      </w:pPr>
      <w:r>
        <w:rPr>
          <w:sz w:val="20"/>
          <w:szCs w:val="20"/>
        </w:rPr>
      </w:r>
      <w:r>
        <w:rPr>
          <w:sz w:val="20"/>
          <w:szCs w:val="20"/>
        </w:rPr>
      </w:r>
    </w:p>
    <w:p>
      <w:pPr>
        <w:jc w:val="center"/>
        <w:rPr>
          <w:sz w:val="20"/>
          <w:szCs w:val="20"/>
        </w:rPr>
      </w:pPr>
      <w:r>
        <w:rPr>
          <w:sz w:val="20"/>
          <w:szCs w:val="20"/>
        </w:rPr>
      </w:r>
      <w:r>
        <w:rPr>
          <w:sz w:val="20"/>
          <w:szCs w:val="20"/>
        </w:rPr>
      </w:r>
    </w:p>
    <w:p>
      <w:pPr>
        <w:jc w:val="center"/>
        <w:rPr>
          <w:sz w:val="20"/>
          <w:szCs w:val="20"/>
        </w:rPr>
      </w:pPr>
      <w:r>
        <w:rPr>
          <w:sz w:val="20"/>
          <w:szCs w:val="20"/>
        </w:rPr>
      </w:r>
      <w:r>
        <w:rPr>
          <w:sz w:val="20"/>
          <w:szCs w:val="20"/>
        </w:rPr>
      </w:r>
    </w:p>
    <w:p>
      <w:pPr>
        <w:jc w:val="center"/>
        <w:rPr>
          <w:sz w:val="20"/>
          <w:szCs w:val="20"/>
        </w:rPr>
      </w:pPr>
      <w:r>
        <w:rPr>
          <w:sz w:val="20"/>
          <w:szCs w:val="20"/>
        </w:rPr>
      </w:r>
      <w:r>
        <w:rPr>
          <w:sz w:val="20"/>
          <w:szCs w:val="20"/>
        </w:rPr>
      </w:r>
    </w:p>
    <w:p>
      <w:pPr>
        <w:jc w:val="center"/>
        <w:rPr>
          <w:sz w:val="20"/>
          <w:szCs w:val="20"/>
        </w:rPr>
      </w:pPr>
      <w:r>
        <w:rPr>
          <w:sz w:val="20"/>
          <w:szCs w:val="20"/>
        </w:rPr>
      </w:r>
      <w:r>
        <w:rPr>
          <w:sz w:val="20"/>
          <w:szCs w:val="20"/>
        </w:rPr>
      </w:r>
    </w:p>
    <w:p>
      <w:pPr>
        <w:jc w:val="center"/>
        <w:rPr>
          <w:sz w:val="20"/>
          <w:szCs w:val="20"/>
        </w:rPr>
      </w:pPr>
      <w:r>
        <w:rPr>
          <w:sz w:val="20"/>
          <w:szCs w:val="20"/>
        </w:rPr>
      </w:r>
      <w:r>
        <w:rPr>
          <w:sz w:val="20"/>
          <w:szCs w:val="20"/>
        </w:rPr>
      </w:r>
      <w:r>
        <w:rPr>
          <w:sz w:val="20"/>
          <w:szCs w:val="20"/>
        </w:rPr>
      </w:r>
    </w:p>
    <w:p>
      <w:pPr>
        <w:jc w:val="center"/>
        <w:rPr>
          <w:sz w:val="20"/>
          <w:szCs w:val="20"/>
        </w:rPr>
      </w:pPr>
      <w:r>
        <w:rPr>
          <w:sz w:val="20"/>
          <w:szCs w:val="20"/>
        </w:rPr>
      </w:r>
      <w:r>
        <w:rPr>
          <w:sz w:val="20"/>
          <w:szCs w:val="20"/>
        </w:rPr>
      </w:r>
      <w:r>
        <w:rPr>
          <w:sz w:val="20"/>
          <w:szCs w:val="20"/>
        </w:rPr>
      </w:r>
    </w:p>
    <w:p>
      <w:pPr>
        <w:rPr>
          <w:b/>
          <w:bCs/>
          <w:spacing w:val="-2"/>
          <w:sz w:val="24"/>
          <w:szCs w:val="24"/>
        </w:rPr>
      </w:pPr>
      <w:r/>
      <w:bookmarkEnd w:id="0"/>
      <w:r/>
      <w:bookmarkEnd w:id="1"/>
      <w:r>
        <w:rPr>
          <w:b/>
          <w:bCs/>
          <w:spacing w:val="-2"/>
          <w:sz w:val="24"/>
          <w:szCs w:val="24"/>
        </w:rPr>
      </w:r>
      <w:r>
        <w:rPr>
          <w:b/>
          <w:bCs/>
          <w:spacing w:val="-2"/>
          <w:sz w:val="24"/>
          <w:szCs w:val="24"/>
        </w:rPr>
      </w:r>
      <w:r>
        <w:rPr>
          <w:spacing w:val="-2"/>
        </w:rPr>
        <w:br w:type="page" w:clear="all"/>
      </w:r>
      <w:r>
        <w:rPr>
          <w:b/>
          <w:bCs/>
          <w:spacing w:val="-2"/>
          <w:sz w:val="24"/>
          <w:szCs w:val="24"/>
        </w:rPr>
      </w:r>
      <w:r>
        <w:rPr>
          <w:b/>
          <w:bCs/>
          <w:spacing w:val="-2"/>
          <w:sz w:val="24"/>
          <w:szCs w:val="24"/>
        </w:rPr>
      </w:r>
      <w:r>
        <w:rPr>
          <w:b/>
          <w:bCs/>
          <w:spacing w:val="-2"/>
          <w:sz w:val="24"/>
          <w:szCs w:val="24"/>
        </w:rPr>
      </w:r>
    </w:p>
    <w:p>
      <w:pPr>
        <w:pStyle w:val="1248"/>
        <w:ind w:left="164" w:right="153"/>
        <w:jc w:val="center"/>
        <w:spacing w:before="71"/>
        <w:rPr>
          <w:b w:val="0"/>
          <w:sz w:val="22"/>
          <w:szCs w:val="22"/>
        </w:rPr>
      </w:pPr>
      <w:r/>
      <w:bookmarkStart w:id="2" w:name="_Toc165540650"/>
      <w:r>
        <w:rPr>
          <w:b w:val="0"/>
          <w:spacing w:val="-2"/>
          <w:sz w:val="22"/>
          <w:szCs w:val="22"/>
        </w:rPr>
        <w:t xml:space="preserve">СОДЕРЖАНИЕ</w:t>
      </w:r>
      <w:bookmarkEnd w:id="2"/>
      <w:r>
        <w:rPr>
          <w:b w:val="0"/>
          <w:sz w:val="22"/>
          <w:szCs w:val="22"/>
        </w:rPr>
      </w:r>
      <w:r>
        <w:rPr>
          <w:b w:val="0"/>
          <w:sz w:val="22"/>
          <w:szCs w:val="22"/>
        </w:rPr>
      </w:r>
    </w:p>
    <w:p>
      <w:r/>
      <w:r/>
    </w:p>
    <w:p>
      <w:pPr>
        <w:pStyle w:val="1265"/>
        <w:tabs>
          <w:tab w:val="right" w:pos="9860" w:leader="dot"/>
        </w:tabs>
        <w:rPr>
          <w:rFonts w:asciiTheme="minorHAnsi" w:hAnsiTheme="minorHAnsi" w:eastAsiaTheme="minorEastAsia"/>
          <w:sz w:val="22"/>
          <w:lang w:eastAsia="ru-RU"/>
        </w:rPr>
      </w:pPr>
      <w:r>
        <w:fldChar w:fldCharType="begin"/>
      </w:r>
      <w:r>
        <w:instrText xml:space="preserve"> TOC \o "1-3" \h \z \u </w:instrText>
      </w:r>
      <w:r>
        <w:fldChar w:fldCharType="separate"/>
      </w:r>
      <w:hyperlink w:tooltip="#_Toc165540651" w:anchor="_Toc165540651" w:history="1">
        <w:r>
          <w:rPr>
            <w:rStyle w:val="1267"/>
          </w:rPr>
          <w:t xml:space="preserve">Глава</w:t>
        </w:r>
        <w:r>
          <w:rPr>
            <w:rStyle w:val="1267"/>
            <w:spacing w:val="-5"/>
          </w:rPr>
          <w:t xml:space="preserve"> </w:t>
        </w:r>
        <w:r>
          <w:rPr>
            <w:rStyle w:val="1267"/>
          </w:rPr>
          <w:t xml:space="preserve">1 Существующее</w:t>
        </w:r>
        <w:r>
          <w:rPr>
            <w:rStyle w:val="1267"/>
            <w:spacing w:val="-10"/>
          </w:rPr>
          <w:t xml:space="preserve"> </w:t>
        </w:r>
        <w:r>
          <w:rPr>
            <w:rStyle w:val="1267"/>
          </w:rPr>
          <w:t xml:space="preserve">положение</w:t>
        </w:r>
        <w:r>
          <w:rPr>
            <w:rStyle w:val="1267"/>
            <w:spacing w:val="-12"/>
          </w:rPr>
          <w:t xml:space="preserve"> </w:t>
        </w:r>
        <w:r>
          <w:rPr>
            <w:rStyle w:val="1267"/>
          </w:rPr>
          <w:t xml:space="preserve">в</w:t>
        </w:r>
        <w:r>
          <w:rPr>
            <w:rStyle w:val="1267"/>
            <w:spacing w:val="-11"/>
          </w:rPr>
          <w:t xml:space="preserve"> </w:t>
        </w:r>
        <w:r>
          <w:rPr>
            <w:rStyle w:val="1267"/>
          </w:rPr>
          <w:t xml:space="preserve">сфере</w:t>
        </w:r>
        <w:r>
          <w:rPr>
            <w:rStyle w:val="1267"/>
            <w:spacing w:val="-12"/>
          </w:rPr>
          <w:t xml:space="preserve"> </w:t>
        </w:r>
        <w:r>
          <w:rPr>
            <w:rStyle w:val="1267"/>
          </w:rPr>
          <w:t xml:space="preserve">производства,</w:t>
        </w:r>
        <w:r>
          <w:rPr>
            <w:rStyle w:val="1267"/>
            <w:spacing w:val="-11"/>
          </w:rPr>
          <w:t xml:space="preserve"> </w:t>
        </w:r>
        <w:r>
          <w:rPr>
            <w:rStyle w:val="1267"/>
          </w:rPr>
          <w:t xml:space="preserve">передачи</w:t>
        </w:r>
        <w:r>
          <w:rPr>
            <w:rStyle w:val="1267"/>
            <w:spacing w:val="-10"/>
          </w:rPr>
          <w:t xml:space="preserve"> </w:t>
        </w:r>
        <w:r>
          <w:rPr>
            <w:rStyle w:val="1267"/>
          </w:rPr>
          <w:t xml:space="preserve">и</w:t>
        </w:r>
        <w:r>
          <w:rPr>
            <w:rStyle w:val="1267"/>
            <w:spacing w:val="-10"/>
          </w:rPr>
          <w:t xml:space="preserve"> </w:t>
        </w:r>
        <w:r>
          <w:rPr>
            <w:rStyle w:val="1267"/>
          </w:rPr>
          <w:t xml:space="preserve">потребления тепловой энергии для целей теплоснабжения</w:t>
        </w:r>
        <w:r>
          <w:tab/>
        </w:r>
        <w:r>
          <w:fldChar w:fldCharType="begin"/>
        </w:r>
        <w:r>
          <w:instrText xml:space="preserve"> PAGEREF _Toc165540651 \h </w:instrText>
        </w:r>
        <w:r>
          <w:fldChar w:fldCharType="separate"/>
        </w:r>
        <w:r>
          <w:t xml:space="preserve">12</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652" w:anchor="_Toc165540652" w:history="1">
        <w:r>
          <w:rPr>
            <w:rStyle w:val="1267"/>
            <w:lang w:eastAsia="ru-RU"/>
          </w:rPr>
          <w:t xml:space="preserve">1.1 </w:t>
        </w:r>
        <w:r>
          <w:rPr>
            <w:rStyle w:val="1267"/>
          </w:rPr>
          <w:t xml:space="preserve">Функциональная</w:t>
        </w:r>
        <w:r>
          <w:rPr>
            <w:rStyle w:val="1267"/>
            <w:spacing w:val="-5"/>
          </w:rPr>
          <w:t xml:space="preserve"> </w:t>
        </w:r>
        <w:r>
          <w:rPr>
            <w:rStyle w:val="1267"/>
          </w:rPr>
          <w:t xml:space="preserve">структура</w:t>
        </w:r>
        <w:r>
          <w:rPr>
            <w:rStyle w:val="1267"/>
            <w:spacing w:val="-5"/>
          </w:rPr>
          <w:t xml:space="preserve"> </w:t>
        </w:r>
        <w:r>
          <w:rPr>
            <w:rStyle w:val="1267"/>
            <w:spacing w:val="-2"/>
          </w:rPr>
          <w:t xml:space="preserve">теплоснабжения</w:t>
        </w:r>
        <w:r>
          <w:tab/>
        </w:r>
        <w:r>
          <w:fldChar w:fldCharType="begin"/>
        </w:r>
        <w:r>
          <w:instrText xml:space="preserve"> PAGEREF _Toc165540652 \h </w:instrText>
        </w:r>
        <w:r>
          <w:fldChar w:fldCharType="separate"/>
        </w:r>
        <w:r>
          <w:t xml:space="preserve">12</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653" w:anchor="_Toc165540653" w:history="1">
        <w:r>
          <w:rPr>
            <w:rStyle w:val="1267"/>
            <w:lang w:eastAsia="ru-RU"/>
          </w:rPr>
          <w:t xml:space="preserve">1.1.1 </w:t>
        </w:r>
        <w:r>
          <w:rPr>
            <w:rStyle w:val="1267"/>
          </w:rPr>
          <w:t xml:space="preserve">Описание зон деятельности (эксплуатационной ответственности) теплоснабжающих и теплосетевых организаций и описание структуры договорных отношений между ними</w:t>
        </w:r>
        <w:r>
          <w:tab/>
        </w:r>
        <w:r>
          <w:fldChar w:fldCharType="begin"/>
        </w:r>
        <w:r>
          <w:instrText xml:space="preserve"> PAGEREF _Toc165540653 \h </w:instrText>
        </w:r>
        <w:r>
          <w:fldChar w:fldCharType="separate"/>
        </w:r>
        <w:r>
          <w:t xml:space="preserve">12</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654" w:anchor="_Toc165540654" w:history="1">
        <w:r>
          <w:rPr>
            <w:rStyle w:val="1267"/>
            <w:lang w:eastAsia="ru-RU"/>
          </w:rPr>
          <w:t xml:space="preserve">1.1.2 </w:t>
        </w:r>
        <w:r>
          <w:rPr>
            <w:rStyle w:val="1267"/>
          </w:rPr>
          <w:t xml:space="preserve">Описание</w:t>
        </w:r>
        <w:r>
          <w:rPr>
            <w:rStyle w:val="1267"/>
            <w:spacing w:val="-3"/>
          </w:rPr>
          <w:t xml:space="preserve"> </w:t>
        </w:r>
        <w:r>
          <w:rPr>
            <w:rStyle w:val="1267"/>
          </w:rPr>
          <w:t xml:space="preserve">зон</w:t>
        </w:r>
        <w:r>
          <w:rPr>
            <w:rStyle w:val="1267"/>
            <w:spacing w:val="-2"/>
          </w:rPr>
          <w:t xml:space="preserve"> </w:t>
        </w:r>
        <w:r>
          <w:rPr>
            <w:rStyle w:val="1267"/>
          </w:rPr>
          <w:t xml:space="preserve">действия</w:t>
        </w:r>
        <w:r>
          <w:rPr>
            <w:rStyle w:val="1267"/>
            <w:spacing w:val="-2"/>
          </w:rPr>
          <w:t xml:space="preserve"> </w:t>
        </w:r>
        <w:r>
          <w:rPr>
            <w:rStyle w:val="1267"/>
          </w:rPr>
          <w:t xml:space="preserve">производственных</w:t>
        </w:r>
        <w:r>
          <w:rPr>
            <w:rStyle w:val="1267"/>
            <w:spacing w:val="-1"/>
          </w:rPr>
          <w:t xml:space="preserve"> </w:t>
        </w:r>
        <w:r>
          <w:rPr>
            <w:rStyle w:val="1267"/>
            <w:spacing w:val="-2"/>
          </w:rPr>
          <w:t xml:space="preserve">котельных</w:t>
        </w:r>
        <w:r>
          <w:tab/>
        </w:r>
        <w:r>
          <w:fldChar w:fldCharType="begin"/>
        </w:r>
        <w:r>
          <w:instrText xml:space="preserve"> PAGEREF _Toc165540654 \h </w:instrText>
        </w:r>
        <w:r>
          <w:fldChar w:fldCharType="separate"/>
        </w:r>
        <w:r>
          <w:t xml:space="preserve">12</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655" w:anchor="_Toc165540655" w:history="1">
        <w:r>
          <w:rPr>
            <w:rStyle w:val="1267"/>
            <w:lang w:eastAsia="ru-RU"/>
          </w:rPr>
          <w:t xml:space="preserve">1.1.3 </w:t>
        </w:r>
        <w:r>
          <w:rPr>
            <w:rStyle w:val="1267"/>
          </w:rPr>
          <w:t xml:space="preserve">Описание</w:t>
        </w:r>
        <w:r>
          <w:rPr>
            <w:rStyle w:val="1267"/>
            <w:spacing w:val="-6"/>
          </w:rPr>
          <w:t xml:space="preserve"> </w:t>
        </w:r>
        <w:r>
          <w:rPr>
            <w:rStyle w:val="1267"/>
          </w:rPr>
          <w:t xml:space="preserve">зон</w:t>
        </w:r>
        <w:r>
          <w:rPr>
            <w:rStyle w:val="1267"/>
            <w:spacing w:val="-4"/>
          </w:rPr>
          <w:t xml:space="preserve"> </w:t>
        </w:r>
        <w:r>
          <w:rPr>
            <w:rStyle w:val="1267"/>
          </w:rPr>
          <w:t xml:space="preserve">действия</w:t>
        </w:r>
        <w:r>
          <w:rPr>
            <w:rStyle w:val="1267"/>
            <w:spacing w:val="-2"/>
          </w:rPr>
          <w:t xml:space="preserve"> </w:t>
        </w:r>
        <w:r>
          <w:rPr>
            <w:rStyle w:val="1267"/>
          </w:rPr>
          <w:t xml:space="preserve">индивидуального</w:t>
        </w:r>
        <w:r>
          <w:rPr>
            <w:rStyle w:val="1267"/>
            <w:spacing w:val="-2"/>
          </w:rPr>
          <w:t xml:space="preserve"> теплоснабжения</w:t>
        </w:r>
        <w:r>
          <w:tab/>
        </w:r>
        <w:r>
          <w:fldChar w:fldCharType="begin"/>
        </w:r>
        <w:r>
          <w:instrText xml:space="preserve"> PAGEREF _Toc165540655 \h </w:instrText>
        </w:r>
        <w:r>
          <w:fldChar w:fldCharType="separate"/>
        </w:r>
        <w:r>
          <w:t xml:space="preserve">12</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656" w:anchor="_Toc165540656" w:history="1">
        <w:r>
          <w:rPr>
            <w:rStyle w:val="1267"/>
            <w:lang w:eastAsia="ru-RU"/>
          </w:rPr>
          <w:t xml:space="preserve">1.1.4 </w:t>
        </w:r>
        <w:r>
          <w:rPr>
            <w:rStyle w:val="1267"/>
          </w:rPr>
          <w:t xml:space="preserve">Описание изменений, произошедших в функциональной структуре теплоснабжения</w:t>
        </w:r>
        <w:r>
          <w:rPr>
            <w:rStyle w:val="1267"/>
            <w:spacing w:val="-14"/>
          </w:rPr>
          <w:t xml:space="preserve"> </w:t>
        </w:r>
        <w:r>
          <w:rPr>
            <w:rStyle w:val="1267"/>
          </w:rPr>
          <w:t xml:space="preserve">поселения,</w:t>
        </w:r>
        <w:r>
          <w:rPr>
            <w:rStyle w:val="1267"/>
            <w:spacing w:val="-14"/>
          </w:rPr>
          <w:t xml:space="preserve"> </w:t>
        </w:r>
        <w:r>
          <w:rPr>
            <w:rStyle w:val="1267"/>
          </w:rPr>
          <w:t xml:space="preserve">городского</w:t>
        </w:r>
        <w:r>
          <w:rPr>
            <w:rStyle w:val="1267"/>
            <w:spacing w:val="-14"/>
          </w:rPr>
          <w:t xml:space="preserve"> </w:t>
        </w:r>
        <w:r>
          <w:rPr>
            <w:rStyle w:val="1267"/>
          </w:rPr>
          <w:t xml:space="preserve">округа,</w:t>
        </w:r>
        <w:r>
          <w:rPr>
            <w:rStyle w:val="1267"/>
            <w:spacing w:val="-14"/>
          </w:rPr>
          <w:t xml:space="preserve"> </w:t>
        </w:r>
        <w:r>
          <w:rPr>
            <w:rStyle w:val="1267"/>
          </w:rPr>
          <w:t xml:space="preserve">города</w:t>
        </w:r>
        <w:r>
          <w:rPr>
            <w:rStyle w:val="1267"/>
            <w:spacing w:val="-12"/>
          </w:rPr>
          <w:t xml:space="preserve"> </w:t>
        </w:r>
        <w:r>
          <w:rPr>
            <w:rStyle w:val="1267"/>
          </w:rPr>
          <w:t xml:space="preserve">федерального</w:t>
        </w:r>
        <w:r>
          <w:rPr>
            <w:rStyle w:val="1267"/>
            <w:spacing w:val="-14"/>
          </w:rPr>
          <w:t xml:space="preserve"> </w:t>
        </w:r>
        <w:r>
          <w:rPr>
            <w:rStyle w:val="1267"/>
          </w:rPr>
          <w:t xml:space="preserve">значения</w:t>
        </w:r>
        <w:r>
          <w:rPr>
            <w:rStyle w:val="1267"/>
            <w:spacing w:val="-14"/>
          </w:rPr>
          <w:t xml:space="preserve"> </w:t>
        </w:r>
        <w:r>
          <w:rPr>
            <w:rStyle w:val="1267"/>
          </w:rPr>
          <w:t xml:space="preserve">за</w:t>
        </w:r>
        <w:r>
          <w:rPr>
            <w:rStyle w:val="1267"/>
            <w:spacing w:val="-15"/>
          </w:rPr>
          <w:t xml:space="preserve"> </w:t>
        </w:r>
        <w:r>
          <w:rPr>
            <w:rStyle w:val="1267"/>
          </w:rPr>
          <w:t xml:space="preserve">период, предшествующий актуализации схемы теплоснабжения</w:t>
        </w:r>
        <w:r>
          <w:tab/>
        </w:r>
        <w:r>
          <w:fldChar w:fldCharType="begin"/>
        </w:r>
        <w:r>
          <w:instrText xml:space="preserve"> PAGEREF _Toc165540656 \h </w:instrText>
        </w:r>
        <w:r>
          <w:fldChar w:fldCharType="separate"/>
        </w:r>
        <w:r>
          <w:t xml:space="preserve">13</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657" w:anchor="_Toc165540657" w:history="1">
        <w:r>
          <w:rPr>
            <w:rStyle w:val="1267"/>
            <w:lang w:eastAsia="ru-RU"/>
          </w:rPr>
          <w:t xml:space="preserve">1.2 </w:t>
        </w:r>
        <w:r>
          <w:rPr>
            <w:rStyle w:val="1267"/>
          </w:rPr>
          <w:t xml:space="preserve">Источники</w:t>
        </w:r>
        <w:r>
          <w:rPr>
            <w:rStyle w:val="1267"/>
            <w:spacing w:val="-5"/>
          </w:rPr>
          <w:t xml:space="preserve"> </w:t>
        </w:r>
        <w:r>
          <w:rPr>
            <w:rStyle w:val="1267"/>
          </w:rPr>
          <w:t xml:space="preserve">тепловой</w:t>
        </w:r>
        <w:r>
          <w:rPr>
            <w:rStyle w:val="1267"/>
            <w:spacing w:val="-4"/>
          </w:rPr>
          <w:t xml:space="preserve"> </w:t>
        </w:r>
        <w:r>
          <w:rPr>
            <w:rStyle w:val="1267"/>
            <w:spacing w:val="-2"/>
          </w:rPr>
          <w:t xml:space="preserve">энергии</w:t>
        </w:r>
        <w:r>
          <w:tab/>
        </w:r>
        <w:r>
          <w:fldChar w:fldCharType="begin"/>
        </w:r>
        <w:r>
          <w:instrText xml:space="preserve"> PAGEREF _Toc165540657 \h </w:instrText>
        </w:r>
        <w:r>
          <w:fldChar w:fldCharType="separate"/>
        </w:r>
        <w:r>
          <w:t xml:space="preserve">13</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658" w:anchor="_Toc165540658" w:history="1">
        <w:r>
          <w:rPr>
            <w:rStyle w:val="1267"/>
            <w:lang w:eastAsia="ru-RU"/>
          </w:rPr>
          <w:t xml:space="preserve">1.2.1 </w:t>
        </w:r>
        <w:r>
          <w:rPr>
            <w:rStyle w:val="1267"/>
          </w:rPr>
          <w:t xml:space="preserve">Структура</w:t>
        </w:r>
        <w:r>
          <w:rPr>
            <w:rStyle w:val="1267"/>
            <w:spacing w:val="-6"/>
          </w:rPr>
          <w:t xml:space="preserve"> </w:t>
        </w:r>
        <w:r>
          <w:rPr>
            <w:rStyle w:val="1267"/>
          </w:rPr>
          <w:t xml:space="preserve">и</w:t>
        </w:r>
        <w:r>
          <w:rPr>
            <w:rStyle w:val="1267"/>
            <w:spacing w:val="-6"/>
          </w:rPr>
          <w:t xml:space="preserve"> </w:t>
        </w:r>
        <w:r>
          <w:rPr>
            <w:rStyle w:val="1267"/>
          </w:rPr>
          <w:t xml:space="preserve">технические</w:t>
        </w:r>
        <w:r>
          <w:rPr>
            <w:rStyle w:val="1267"/>
            <w:spacing w:val="-5"/>
          </w:rPr>
          <w:t xml:space="preserve"> </w:t>
        </w:r>
        <w:r>
          <w:rPr>
            <w:rStyle w:val="1267"/>
          </w:rPr>
          <w:t xml:space="preserve">характеристики</w:t>
        </w:r>
        <w:r>
          <w:rPr>
            <w:rStyle w:val="1267"/>
            <w:spacing w:val="-4"/>
          </w:rPr>
          <w:t xml:space="preserve"> </w:t>
        </w:r>
        <w:r>
          <w:rPr>
            <w:rStyle w:val="1267"/>
          </w:rPr>
          <w:t xml:space="preserve">основного</w:t>
        </w:r>
        <w:r>
          <w:rPr>
            <w:rStyle w:val="1267"/>
            <w:spacing w:val="-3"/>
          </w:rPr>
          <w:t xml:space="preserve"> </w:t>
        </w:r>
        <w:r>
          <w:rPr>
            <w:rStyle w:val="1267"/>
            <w:spacing w:val="-2"/>
          </w:rPr>
          <w:t xml:space="preserve">оборудования</w:t>
        </w:r>
        <w:r>
          <w:tab/>
        </w:r>
        <w:r>
          <w:fldChar w:fldCharType="begin"/>
        </w:r>
        <w:r>
          <w:instrText xml:space="preserve"> PAGEREF _Toc165540658 \h </w:instrText>
        </w:r>
        <w:r>
          <w:fldChar w:fldCharType="separate"/>
        </w:r>
        <w:r>
          <w:t xml:space="preserve">13</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659" w:anchor="_Toc165540659" w:history="1">
        <w:r>
          <w:rPr>
            <w:rStyle w:val="1267"/>
            <w:lang w:eastAsia="ru-RU"/>
          </w:rPr>
          <w:t xml:space="preserve">1.2.2 </w:t>
        </w:r>
        <w:r>
          <w:rPr>
            <w:rStyle w:val="1267"/>
          </w:rPr>
          <w:t xml:space="preserve">Параметры</w:t>
        </w:r>
        <w:r>
          <w:rPr>
            <w:rStyle w:val="1267"/>
            <w:spacing w:val="-15"/>
          </w:rPr>
          <w:t xml:space="preserve"> </w:t>
        </w:r>
        <w:r>
          <w:rPr>
            <w:rStyle w:val="1267"/>
          </w:rPr>
          <w:t xml:space="preserve">установленной</w:t>
        </w:r>
        <w:r>
          <w:rPr>
            <w:rStyle w:val="1267"/>
            <w:spacing w:val="-15"/>
          </w:rPr>
          <w:t xml:space="preserve"> </w:t>
        </w:r>
        <w:r>
          <w:rPr>
            <w:rStyle w:val="1267"/>
          </w:rPr>
          <w:t xml:space="preserve">тепловой</w:t>
        </w:r>
        <w:r>
          <w:rPr>
            <w:rStyle w:val="1267"/>
            <w:spacing w:val="-15"/>
          </w:rPr>
          <w:t xml:space="preserve"> </w:t>
        </w:r>
        <w:r>
          <w:rPr>
            <w:rStyle w:val="1267"/>
          </w:rPr>
          <w:t xml:space="preserve">мощности</w:t>
        </w:r>
        <w:r>
          <w:rPr>
            <w:rStyle w:val="1267"/>
            <w:spacing w:val="-15"/>
          </w:rPr>
          <w:t xml:space="preserve"> </w:t>
        </w:r>
        <w:r>
          <w:rPr>
            <w:rStyle w:val="1267"/>
          </w:rPr>
          <w:t xml:space="preserve">источника</w:t>
        </w:r>
        <w:r>
          <w:rPr>
            <w:rStyle w:val="1267"/>
            <w:spacing w:val="-15"/>
          </w:rPr>
          <w:t xml:space="preserve"> </w:t>
        </w:r>
        <w:r>
          <w:rPr>
            <w:rStyle w:val="1267"/>
          </w:rPr>
          <w:t xml:space="preserve">тепловой</w:t>
        </w:r>
        <w:r>
          <w:rPr>
            <w:rStyle w:val="1267"/>
            <w:spacing w:val="-15"/>
          </w:rPr>
          <w:t xml:space="preserve"> </w:t>
        </w:r>
        <w:r>
          <w:rPr>
            <w:rStyle w:val="1267"/>
          </w:rPr>
          <w:t xml:space="preserve">энергии, в том числе теплофикационного оборудования и теплофикационной установки</w:t>
        </w:r>
        <w:r>
          <w:tab/>
        </w:r>
        <w:r>
          <w:fldChar w:fldCharType="begin"/>
        </w:r>
        <w:r>
          <w:instrText xml:space="preserve"> PAGEREF _Toc165540659 \h </w:instrText>
        </w:r>
        <w:r>
          <w:fldChar w:fldCharType="separate"/>
        </w:r>
        <w:r>
          <w:t xml:space="preserve">23</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660" w:anchor="_Toc165540660" w:history="1">
        <w:r>
          <w:rPr>
            <w:rStyle w:val="1267"/>
            <w:lang w:eastAsia="ru-RU"/>
          </w:rPr>
          <w:t xml:space="preserve">1.2.3 </w:t>
        </w:r>
        <w:r>
          <w:rPr>
            <w:rStyle w:val="1267"/>
          </w:rPr>
          <w:t xml:space="preserve">Ограничения</w:t>
        </w:r>
        <w:r>
          <w:rPr>
            <w:rStyle w:val="1267"/>
            <w:spacing w:val="57"/>
          </w:rPr>
          <w:t xml:space="preserve"> </w:t>
        </w:r>
        <w:r>
          <w:rPr>
            <w:rStyle w:val="1267"/>
          </w:rPr>
          <w:t xml:space="preserve">тепловой</w:t>
        </w:r>
        <w:r>
          <w:rPr>
            <w:rStyle w:val="1267"/>
            <w:spacing w:val="59"/>
          </w:rPr>
          <w:t xml:space="preserve"> </w:t>
        </w:r>
        <w:r>
          <w:rPr>
            <w:rStyle w:val="1267"/>
          </w:rPr>
          <w:t xml:space="preserve">мощности</w:t>
        </w:r>
        <w:r>
          <w:rPr>
            <w:rStyle w:val="1267"/>
            <w:spacing w:val="59"/>
          </w:rPr>
          <w:t xml:space="preserve"> </w:t>
        </w:r>
        <w:r>
          <w:rPr>
            <w:rStyle w:val="1267"/>
          </w:rPr>
          <w:t xml:space="preserve">и</w:t>
        </w:r>
        <w:r>
          <w:rPr>
            <w:rStyle w:val="1267"/>
            <w:spacing w:val="64"/>
          </w:rPr>
          <w:t xml:space="preserve"> </w:t>
        </w:r>
        <w:r>
          <w:rPr>
            <w:rStyle w:val="1267"/>
          </w:rPr>
          <w:t xml:space="preserve">параметров</w:t>
        </w:r>
        <w:r>
          <w:rPr>
            <w:rStyle w:val="1267"/>
            <w:spacing w:val="59"/>
          </w:rPr>
          <w:t xml:space="preserve"> </w:t>
        </w:r>
        <w:r>
          <w:rPr>
            <w:rStyle w:val="1267"/>
          </w:rPr>
          <w:t xml:space="preserve">располагаемой</w:t>
        </w:r>
        <w:r>
          <w:rPr>
            <w:rStyle w:val="1267"/>
            <w:spacing w:val="59"/>
          </w:rPr>
          <w:t xml:space="preserve"> </w:t>
        </w:r>
        <w:r>
          <w:rPr>
            <w:rStyle w:val="1267"/>
            <w:spacing w:val="-2"/>
          </w:rPr>
          <w:t xml:space="preserve">тепловой</w:t>
        </w:r>
        <w:r>
          <w:tab/>
        </w:r>
        <w:r>
          <w:fldChar w:fldCharType="begin"/>
        </w:r>
        <w:r>
          <w:instrText xml:space="preserve"> PAGEREF _Toc165540660 \h </w:instrText>
        </w:r>
        <w:r>
          <w:fldChar w:fldCharType="separate"/>
        </w:r>
        <w:r>
          <w:t xml:space="preserve">23</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661" w:anchor="_Toc165540661" w:history="1">
        <w:r>
          <w:rPr>
            <w:rStyle w:val="1267"/>
            <w:lang w:eastAsia="ru-RU"/>
          </w:rPr>
          <w:t xml:space="preserve">1.2.4 </w:t>
        </w:r>
        <w:r>
          <w:rPr>
            <w:rStyle w:val="1267"/>
          </w:rPr>
          <w:t xml:space="preserve">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tab/>
        </w:r>
        <w:r>
          <w:fldChar w:fldCharType="begin"/>
        </w:r>
        <w:r>
          <w:instrText xml:space="preserve"> PAGEREF _Toc165540661 \h </w:instrText>
        </w:r>
        <w:r>
          <w:fldChar w:fldCharType="separate"/>
        </w:r>
        <w:r>
          <w:t xml:space="preserve">23</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662" w:anchor="_Toc165540662" w:history="1">
        <w:r>
          <w:rPr>
            <w:rStyle w:val="1267"/>
            <w:lang w:eastAsia="ru-RU"/>
          </w:rPr>
          <w:t xml:space="preserve">1.2.5 </w:t>
        </w:r>
        <w:r>
          <w:rPr>
            <w:rStyle w:val="1267"/>
          </w:rPr>
          <w:t xml:space="preserve">Сроки ввода в эксплуатацию основного оборудования, год последнего освидетельствования</w:t>
        </w:r>
        <w:r>
          <w:rPr>
            <w:rStyle w:val="1267"/>
            <w:spacing w:val="-11"/>
          </w:rPr>
          <w:t xml:space="preserve"> </w:t>
        </w:r>
        <w:r>
          <w:rPr>
            <w:rStyle w:val="1267"/>
          </w:rPr>
          <w:t xml:space="preserve">при</w:t>
        </w:r>
        <w:r>
          <w:rPr>
            <w:rStyle w:val="1267"/>
            <w:spacing w:val="-10"/>
          </w:rPr>
          <w:t xml:space="preserve"> </w:t>
        </w:r>
        <w:r>
          <w:rPr>
            <w:rStyle w:val="1267"/>
          </w:rPr>
          <w:t xml:space="preserve">допуске</w:t>
        </w:r>
        <w:r>
          <w:rPr>
            <w:rStyle w:val="1267"/>
            <w:spacing w:val="-12"/>
          </w:rPr>
          <w:t xml:space="preserve"> </w:t>
        </w:r>
        <w:r>
          <w:rPr>
            <w:rStyle w:val="1267"/>
          </w:rPr>
          <w:t xml:space="preserve">к</w:t>
        </w:r>
        <w:r>
          <w:rPr>
            <w:rStyle w:val="1267"/>
            <w:spacing w:val="-10"/>
          </w:rPr>
          <w:t xml:space="preserve"> </w:t>
        </w:r>
        <w:r>
          <w:rPr>
            <w:rStyle w:val="1267"/>
          </w:rPr>
          <w:t xml:space="preserve">эксплуатации</w:t>
        </w:r>
        <w:r>
          <w:rPr>
            <w:rStyle w:val="1267"/>
            <w:spacing w:val="-10"/>
          </w:rPr>
          <w:t xml:space="preserve"> </w:t>
        </w:r>
        <w:r>
          <w:rPr>
            <w:rStyle w:val="1267"/>
          </w:rPr>
          <w:t xml:space="preserve">после</w:t>
        </w:r>
        <w:r>
          <w:rPr>
            <w:rStyle w:val="1267"/>
            <w:spacing w:val="-12"/>
          </w:rPr>
          <w:t xml:space="preserve"> </w:t>
        </w:r>
        <w:r>
          <w:rPr>
            <w:rStyle w:val="1267"/>
          </w:rPr>
          <w:t xml:space="preserve">ремонта,</w:t>
        </w:r>
        <w:r>
          <w:rPr>
            <w:rStyle w:val="1267"/>
            <w:spacing w:val="-13"/>
          </w:rPr>
          <w:t xml:space="preserve"> </w:t>
        </w:r>
        <w:r>
          <w:rPr>
            <w:rStyle w:val="1267"/>
          </w:rPr>
          <w:t xml:space="preserve">год</w:t>
        </w:r>
        <w:r>
          <w:rPr>
            <w:rStyle w:val="1267"/>
            <w:spacing w:val="-10"/>
          </w:rPr>
          <w:t xml:space="preserve"> </w:t>
        </w:r>
        <w:r>
          <w:rPr>
            <w:rStyle w:val="1267"/>
          </w:rPr>
          <w:t xml:space="preserve">продления</w:t>
        </w:r>
        <w:r>
          <w:rPr>
            <w:rStyle w:val="1267"/>
            <w:spacing w:val="-11"/>
          </w:rPr>
          <w:t xml:space="preserve"> </w:t>
        </w:r>
        <w:r>
          <w:rPr>
            <w:rStyle w:val="1267"/>
          </w:rPr>
          <w:t xml:space="preserve">ресурса и мероприятия по продлению ресурса</w:t>
        </w:r>
        <w:r>
          <w:tab/>
        </w:r>
        <w:r>
          <w:fldChar w:fldCharType="begin"/>
        </w:r>
        <w:r>
          <w:instrText xml:space="preserve"> PAGEREF _Toc165540662 \h </w:instrText>
        </w:r>
        <w:r>
          <w:fldChar w:fldCharType="separate"/>
        </w:r>
        <w:r>
          <w:t xml:space="preserve">23</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663" w:anchor="_Toc165540663" w:history="1">
        <w:r>
          <w:rPr>
            <w:rStyle w:val="1267"/>
            <w:lang w:eastAsia="ru-RU"/>
          </w:rPr>
          <w:t xml:space="preserve">1.2.6 </w:t>
        </w:r>
        <w:r>
          <w:rPr>
            <w:rStyle w:val="1267"/>
          </w:rPr>
          <w:t xml:space="preserve">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r>
          <w:tab/>
        </w:r>
        <w:r>
          <w:fldChar w:fldCharType="begin"/>
        </w:r>
        <w:r>
          <w:instrText xml:space="preserve"> PAGEREF _Toc165540663 \h </w:instrText>
        </w:r>
        <w:r>
          <w:fldChar w:fldCharType="separate"/>
        </w:r>
        <w:r>
          <w:t xml:space="preserve">24</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664" w:anchor="_Toc165540664" w:history="1">
        <w:r>
          <w:rPr>
            <w:rStyle w:val="1267"/>
            <w:lang w:eastAsia="ru-RU"/>
          </w:rPr>
          <w:t xml:space="preserve">1.2.7 </w:t>
        </w:r>
        <w:r>
          <w:rPr>
            <w:rStyle w:val="1267"/>
          </w:rPr>
          <w:t xml:space="preserve">Способы регулирования отпуска тепловой энергии от источников тепловой энергии с обоснованием выбора графика изменения температур и расхода теплоно</w:t>
        </w:r>
        <w:r>
          <w:rPr>
            <w:rStyle w:val="1267"/>
          </w:rPr>
          <w:t xml:space="preserve">с</w:t>
        </w:r>
        <w:r>
          <w:rPr>
            <w:rStyle w:val="1267"/>
          </w:rPr>
          <w:t xml:space="preserve">ителя в зависимости от температуры наружного воздуха</w:t>
        </w:r>
        <w:r>
          <w:tab/>
        </w:r>
        <w:r>
          <w:fldChar w:fldCharType="begin"/>
        </w:r>
        <w:r>
          <w:instrText xml:space="preserve"> PAGEREF _Toc165540664 \h </w:instrText>
        </w:r>
        <w:r>
          <w:fldChar w:fldCharType="separate"/>
        </w:r>
        <w:r>
          <w:t xml:space="preserve">24</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665" w:anchor="_Toc165540665" w:history="1">
        <w:r>
          <w:rPr>
            <w:rStyle w:val="1267"/>
            <w:lang w:eastAsia="ru-RU"/>
          </w:rPr>
          <w:t xml:space="preserve">1.2.8 </w:t>
        </w:r>
        <w:r>
          <w:rPr>
            <w:rStyle w:val="1267"/>
          </w:rPr>
          <w:t xml:space="preserve">Среднегодовая</w:t>
        </w:r>
        <w:r>
          <w:rPr>
            <w:rStyle w:val="1267"/>
            <w:spacing w:val="-4"/>
          </w:rPr>
          <w:t xml:space="preserve"> </w:t>
        </w:r>
        <w:r>
          <w:rPr>
            <w:rStyle w:val="1267"/>
          </w:rPr>
          <w:t xml:space="preserve">загрузка</w:t>
        </w:r>
        <w:r>
          <w:rPr>
            <w:rStyle w:val="1267"/>
            <w:spacing w:val="-3"/>
          </w:rPr>
          <w:t xml:space="preserve"> </w:t>
        </w:r>
        <w:r>
          <w:rPr>
            <w:rStyle w:val="1267"/>
            <w:spacing w:val="-2"/>
          </w:rPr>
          <w:t xml:space="preserve">оборудования</w:t>
        </w:r>
        <w:r>
          <w:tab/>
        </w:r>
        <w:r>
          <w:fldChar w:fldCharType="begin"/>
        </w:r>
        <w:r>
          <w:instrText xml:space="preserve"> PAGEREF _Toc165540665 \h </w:instrText>
        </w:r>
        <w:r>
          <w:fldChar w:fldCharType="separate"/>
        </w:r>
        <w:r>
          <w:t xml:space="preserve">24</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666" w:anchor="_Toc165540666" w:history="1">
        <w:r>
          <w:rPr>
            <w:rStyle w:val="1267"/>
            <w:lang w:eastAsia="ru-RU"/>
          </w:rPr>
          <w:t xml:space="preserve">1.2.9 </w:t>
        </w:r>
        <w:r>
          <w:rPr>
            <w:rStyle w:val="1267"/>
          </w:rPr>
          <w:t xml:space="preserve">Способы</w:t>
        </w:r>
        <w:r>
          <w:rPr>
            <w:rStyle w:val="1267"/>
            <w:spacing w:val="-4"/>
          </w:rPr>
          <w:t xml:space="preserve"> </w:t>
        </w:r>
        <w:r>
          <w:rPr>
            <w:rStyle w:val="1267"/>
          </w:rPr>
          <w:t xml:space="preserve">учёта</w:t>
        </w:r>
        <w:r>
          <w:rPr>
            <w:rStyle w:val="1267"/>
            <w:spacing w:val="-2"/>
          </w:rPr>
          <w:t xml:space="preserve"> </w:t>
        </w:r>
        <w:r>
          <w:rPr>
            <w:rStyle w:val="1267"/>
          </w:rPr>
          <w:t xml:space="preserve">тепла,</w:t>
        </w:r>
        <w:r>
          <w:rPr>
            <w:rStyle w:val="1267"/>
            <w:spacing w:val="-4"/>
          </w:rPr>
          <w:t xml:space="preserve"> </w:t>
        </w:r>
        <w:r>
          <w:rPr>
            <w:rStyle w:val="1267"/>
          </w:rPr>
          <w:t xml:space="preserve">отпущенного</w:t>
        </w:r>
        <w:r>
          <w:rPr>
            <w:rStyle w:val="1267"/>
            <w:spacing w:val="-2"/>
          </w:rPr>
          <w:t xml:space="preserve"> </w:t>
        </w:r>
        <w:r>
          <w:rPr>
            <w:rStyle w:val="1267"/>
          </w:rPr>
          <w:t xml:space="preserve">в</w:t>
        </w:r>
        <w:r>
          <w:rPr>
            <w:rStyle w:val="1267"/>
            <w:spacing w:val="-3"/>
          </w:rPr>
          <w:t xml:space="preserve"> </w:t>
        </w:r>
        <w:r>
          <w:rPr>
            <w:rStyle w:val="1267"/>
          </w:rPr>
          <w:t xml:space="preserve">тепловые</w:t>
        </w:r>
        <w:r>
          <w:rPr>
            <w:rStyle w:val="1267"/>
            <w:spacing w:val="-4"/>
          </w:rPr>
          <w:t xml:space="preserve"> сети</w:t>
        </w:r>
        <w:r>
          <w:tab/>
        </w:r>
        <w:r>
          <w:fldChar w:fldCharType="begin"/>
        </w:r>
        <w:r>
          <w:instrText xml:space="preserve"> PAGEREF _Toc165540666 \h </w:instrText>
        </w:r>
        <w:r>
          <w:fldChar w:fldCharType="separate"/>
        </w:r>
        <w:r>
          <w:t xml:space="preserve">25</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667" w:anchor="_Toc165540667" w:history="1">
        <w:r>
          <w:rPr>
            <w:rStyle w:val="1267"/>
            <w:lang w:eastAsia="ru-RU"/>
          </w:rPr>
          <w:t xml:space="preserve">1.2.10 </w:t>
        </w:r>
        <w:r>
          <w:rPr>
            <w:rStyle w:val="1267"/>
          </w:rPr>
          <w:t xml:space="preserve">Статистика</w:t>
        </w:r>
        <w:r>
          <w:rPr>
            <w:rStyle w:val="1267"/>
            <w:spacing w:val="9"/>
          </w:rPr>
          <w:t xml:space="preserve"> </w:t>
        </w:r>
        <w:r>
          <w:rPr>
            <w:rStyle w:val="1267"/>
          </w:rPr>
          <w:t xml:space="preserve">отказов</w:t>
        </w:r>
        <w:r>
          <w:rPr>
            <w:rStyle w:val="1267"/>
            <w:spacing w:val="10"/>
          </w:rPr>
          <w:t xml:space="preserve"> </w:t>
        </w:r>
        <w:r>
          <w:rPr>
            <w:rStyle w:val="1267"/>
          </w:rPr>
          <w:t xml:space="preserve">и</w:t>
        </w:r>
        <w:r>
          <w:rPr>
            <w:rStyle w:val="1267"/>
            <w:spacing w:val="10"/>
          </w:rPr>
          <w:t xml:space="preserve"> </w:t>
        </w:r>
        <w:r>
          <w:rPr>
            <w:rStyle w:val="1267"/>
          </w:rPr>
          <w:t xml:space="preserve">восстановлений</w:t>
        </w:r>
        <w:r>
          <w:rPr>
            <w:rStyle w:val="1267"/>
            <w:spacing w:val="11"/>
          </w:rPr>
          <w:t xml:space="preserve"> </w:t>
        </w:r>
        <w:r>
          <w:rPr>
            <w:rStyle w:val="1267"/>
          </w:rPr>
          <w:t xml:space="preserve">оборудования</w:t>
        </w:r>
        <w:r>
          <w:rPr>
            <w:rStyle w:val="1267"/>
            <w:spacing w:val="11"/>
          </w:rPr>
          <w:t xml:space="preserve"> </w:t>
        </w:r>
        <w:r>
          <w:rPr>
            <w:rStyle w:val="1267"/>
          </w:rPr>
          <w:t xml:space="preserve">источников</w:t>
        </w:r>
        <w:r>
          <w:rPr>
            <w:rStyle w:val="1267"/>
            <w:spacing w:val="9"/>
          </w:rPr>
          <w:t xml:space="preserve"> </w:t>
        </w:r>
        <w:r>
          <w:rPr>
            <w:rStyle w:val="1267"/>
            <w:spacing w:val="-2"/>
          </w:rPr>
          <w:t xml:space="preserve">тепловой</w:t>
        </w:r>
        <w:r>
          <w:tab/>
        </w:r>
        <w:r>
          <w:fldChar w:fldCharType="begin"/>
        </w:r>
        <w:r>
          <w:instrText xml:space="preserve"> PAGEREF _Toc165540667 \h </w:instrText>
        </w:r>
        <w:r>
          <w:fldChar w:fldCharType="separate"/>
        </w:r>
        <w:r>
          <w:t xml:space="preserve">25</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668" w:anchor="_Toc165540668" w:history="1">
        <w:r>
          <w:rPr>
            <w:rStyle w:val="1267"/>
            <w:lang w:eastAsia="ru-RU"/>
          </w:rPr>
          <w:t xml:space="preserve">1.2. 11 </w:t>
        </w:r>
        <w:r>
          <w:rPr>
            <w:rStyle w:val="1267"/>
          </w:rPr>
          <w:t xml:space="preserve">Предписания</w:t>
        </w:r>
        <w:r>
          <w:rPr>
            <w:rStyle w:val="1267"/>
            <w:spacing w:val="-15"/>
          </w:rPr>
          <w:t xml:space="preserve"> </w:t>
        </w:r>
        <w:r>
          <w:rPr>
            <w:rStyle w:val="1267"/>
          </w:rPr>
          <w:t xml:space="preserve">надзорных</w:t>
        </w:r>
        <w:r>
          <w:rPr>
            <w:rStyle w:val="1267"/>
            <w:spacing w:val="-15"/>
          </w:rPr>
          <w:t xml:space="preserve"> </w:t>
        </w:r>
        <w:r>
          <w:rPr>
            <w:rStyle w:val="1267"/>
          </w:rPr>
          <w:t xml:space="preserve">органов</w:t>
        </w:r>
        <w:r>
          <w:rPr>
            <w:rStyle w:val="1267"/>
            <w:spacing w:val="-15"/>
          </w:rPr>
          <w:t xml:space="preserve"> </w:t>
        </w:r>
        <w:r>
          <w:rPr>
            <w:rStyle w:val="1267"/>
          </w:rPr>
          <w:t xml:space="preserve">по</w:t>
        </w:r>
        <w:r>
          <w:rPr>
            <w:rStyle w:val="1267"/>
            <w:spacing w:val="-15"/>
          </w:rPr>
          <w:t xml:space="preserve"> </w:t>
        </w:r>
        <w:r>
          <w:rPr>
            <w:rStyle w:val="1267"/>
          </w:rPr>
          <w:t xml:space="preserve">запрещению</w:t>
        </w:r>
        <w:r>
          <w:rPr>
            <w:rStyle w:val="1267"/>
            <w:spacing w:val="-15"/>
          </w:rPr>
          <w:t xml:space="preserve"> </w:t>
        </w:r>
        <w:r>
          <w:rPr>
            <w:rStyle w:val="1267"/>
          </w:rPr>
          <w:t xml:space="preserve">дальнейшей</w:t>
        </w:r>
        <w:r>
          <w:rPr>
            <w:rStyle w:val="1267"/>
            <w:spacing w:val="-15"/>
          </w:rPr>
          <w:t xml:space="preserve"> </w:t>
        </w:r>
        <w:r>
          <w:rPr>
            <w:rStyle w:val="1267"/>
          </w:rPr>
          <w:t xml:space="preserve">эксплуатации источников тепловой энергии</w:t>
        </w:r>
        <w:r>
          <w:tab/>
        </w:r>
        <w:r>
          <w:fldChar w:fldCharType="begin"/>
        </w:r>
        <w:r>
          <w:instrText xml:space="preserve"> PAGEREF _Toc165540668 \h </w:instrText>
        </w:r>
        <w:r>
          <w:fldChar w:fldCharType="separate"/>
        </w:r>
        <w:r>
          <w:t xml:space="preserve">25</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669" w:anchor="_Toc165540669" w:history="1">
        <w:r>
          <w:rPr>
            <w:rStyle w:val="1267"/>
            <w:lang w:eastAsia="ru-RU"/>
          </w:rPr>
          <w:t xml:space="preserve">1.2.12 </w:t>
        </w:r>
        <w:r>
          <w:rPr>
            <w:rStyle w:val="1267"/>
          </w:rPr>
          <w:t xml:space="preserve">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w:t>
        </w:r>
        <w:r>
          <w:rPr>
            <w:rStyle w:val="1267"/>
            <w:spacing w:val="-2"/>
          </w:rPr>
          <w:t xml:space="preserve">энергии), которые отнесены к объектам, электрическая мощность которых поставляется </w:t>
        </w:r>
        <w:r>
          <w:rPr>
            <w:rStyle w:val="1267"/>
          </w:rPr>
          <w:t xml:space="preserve">в вынужденном режиме в целях обеспечения надёжного теплоснабжения потребителей</w:t>
        </w:r>
        <w:r>
          <w:tab/>
        </w:r>
        <w:r>
          <w:fldChar w:fldCharType="begin"/>
        </w:r>
        <w:r>
          <w:instrText xml:space="preserve"> PAGEREF _Toc165540669 \h </w:instrText>
        </w:r>
        <w:r>
          <w:fldChar w:fldCharType="separate"/>
        </w:r>
        <w:r>
          <w:t xml:space="preserve">25</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670" w:anchor="_Toc165540670" w:history="1">
        <w:r>
          <w:rPr>
            <w:rStyle w:val="1267"/>
            <w:lang w:eastAsia="ru-RU"/>
          </w:rPr>
          <w:t xml:space="preserve">1.2.13 </w:t>
        </w:r>
        <w:r>
          <w:rPr>
            <w:rStyle w:val="1267"/>
          </w:rPr>
          <w:t xml:space="preserve">Описание изменений технических характеристик основного оборудования источников тепловой энергии, зафиксированных за период, предшествующий актуализации схемы теплоснабжения</w:t>
        </w:r>
        <w:r>
          <w:tab/>
        </w:r>
        <w:r>
          <w:fldChar w:fldCharType="begin"/>
        </w:r>
        <w:r>
          <w:instrText xml:space="preserve"> PAGEREF _Toc165540670 \h </w:instrText>
        </w:r>
        <w:r>
          <w:fldChar w:fldCharType="separate"/>
        </w:r>
        <w:r>
          <w:t xml:space="preserve">25</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671" w:anchor="_Toc165540671" w:history="1">
        <w:r>
          <w:rPr>
            <w:rStyle w:val="1267"/>
            <w:lang w:eastAsia="ru-RU"/>
          </w:rPr>
          <w:t xml:space="preserve">1.3 </w:t>
        </w:r>
        <w:r>
          <w:rPr>
            <w:rStyle w:val="1267"/>
          </w:rPr>
          <w:t xml:space="preserve">Тепловые</w:t>
        </w:r>
        <w:r>
          <w:rPr>
            <w:rStyle w:val="1267"/>
            <w:spacing w:val="-4"/>
          </w:rPr>
          <w:t xml:space="preserve"> </w:t>
        </w:r>
        <w:r>
          <w:rPr>
            <w:rStyle w:val="1267"/>
          </w:rPr>
          <w:t xml:space="preserve">сети,</w:t>
        </w:r>
        <w:r>
          <w:rPr>
            <w:rStyle w:val="1267"/>
            <w:spacing w:val="-1"/>
          </w:rPr>
          <w:t xml:space="preserve"> </w:t>
        </w:r>
        <w:r>
          <w:rPr>
            <w:rStyle w:val="1267"/>
          </w:rPr>
          <w:t xml:space="preserve">сооружения</w:t>
        </w:r>
        <w:r>
          <w:rPr>
            <w:rStyle w:val="1267"/>
            <w:spacing w:val="-2"/>
          </w:rPr>
          <w:t xml:space="preserve"> </w:t>
        </w:r>
        <w:r>
          <w:rPr>
            <w:rStyle w:val="1267"/>
          </w:rPr>
          <w:t xml:space="preserve">на</w:t>
        </w:r>
        <w:r>
          <w:rPr>
            <w:rStyle w:val="1267"/>
            <w:spacing w:val="-1"/>
          </w:rPr>
          <w:t xml:space="preserve"> </w:t>
        </w:r>
        <w:r>
          <w:rPr>
            <w:rStyle w:val="1267"/>
            <w:spacing w:val="-5"/>
          </w:rPr>
          <w:t xml:space="preserve">них</w:t>
        </w:r>
        <w:r>
          <w:tab/>
        </w:r>
        <w:r>
          <w:fldChar w:fldCharType="begin"/>
        </w:r>
        <w:r>
          <w:instrText xml:space="preserve"> PAGEREF _Toc165540671 \h </w:instrText>
        </w:r>
        <w:r>
          <w:fldChar w:fldCharType="separate"/>
        </w:r>
        <w:r>
          <w:t xml:space="preserve">26</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672" w:anchor="_Toc165540672" w:history="1">
        <w:r>
          <w:rPr>
            <w:rStyle w:val="1267"/>
            <w:lang w:eastAsia="ru-RU"/>
          </w:rPr>
          <w:t xml:space="preserve">1.3.1 </w:t>
        </w:r>
        <w:r>
          <w:rPr>
            <w:rStyle w:val="1267"/>
          </w:rPr>
          <w:t xml:space="preserve">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w:t>
        </w:r>
        <w:r>
          <w:rPr>
            <w:rStyle w:val="1267"/>
            <w:spacing w:val="-10"/>
          </w:rPr>
          <w:t xml:space="preserve"> </w:t>
        </w:r>
        <w:r>
          <w:rPr>
            <w:rStyle w:val="1267"/>
          </w:rPr>
          <w:t xml:space="preserve">или</w:t>
        </w:r>
        <w:r>
          <w:rPr>
            <w:rStyle w:val="1267"/>
            <w:spacing w:val="-9"/>
          </w:rPr>
          <w:t xml:space="preserve"> </w:t>
        </w:r>
        <w:r>
          <w:rPr>
            <w:rStyle w:val="1267"/>
          </w:rPr>
          <w:t xml:space="preserve">до</w:t>
        </w:r>
        <w:r>
          <w:rPr>
            <w:rStyle w:val="1267"/>
            <w:spacing w:val="-12"/>
          </w:rPr>
          <w:t xml:space="preserve"> </w:t>
        </w:r>
        <w:r>
          <w:rPr>
            <w:rStyle w:val="1267"/>
          </w:rPr>
          <w:t xml:space="preserve">ввода</w:t>
        </w:r>
        <w:r>
          <w:rPr>
            <w:rStyle w:val="1267"/>
            <w:spacing w:val="-9"/>
          </w:rPr>
          <w:t xml:space="preserve"> </w:t>
        </w:r>
        <w:r>
          <w:rPr>
            <w:rStyle w:val="1267"/>
          </w:rPr>
          <w:t xml:space="preserve">в</w:t>
        </w:r>
        <w:r>
          <w:rPr>
            <w:rStyle w:val="1267"/>
            <w:spacing w:val="-9"/>
          </w:rPr>
          <w:t xml:space="preserve"> </w:t>
        </w:r>
        <w:r>
          <w:rPr>
            <w:rStyle w:val="1267"/>
          </w:rPr>
          <w:t xml:space="preserve">жилой</w:t>
        </w:r>
        <w:r>
          <w:rPr>
            <w:rStyle w:val="1267"/>
            <w:spacing w:val="-9"/>
          </w:rPr>
          <w:t xml:space="preserve"> </w:t>
        </w:r>
        <w:r>
          <w:rPr>
            <w:rStyle w:val="1267"/>
          </w:rPr>
          <w:t xml:space="preserve">квартал</w:t>
        </w:r>
        <w:r>
          <w:rPr>
            <w:rStyle w:val="1267"/>
            <w:spacing w:val="-10"/>
          </w:rPr>
          <w:t xml:space="preserve"> </w:t>
        </w:r>
        <w:r>
          <w:rPr>
            <w:rStyle w:val="1267"/>
          </w:rPr>
          <w:t xml:space="preserve">или</w:t>
        </w:r>
        <w:r>
          <w:rPr>
            <w:rStyle w:val="1267"/>
            <w:spacing w:val="-9"/>
          </w:rPr>
          <w:t xml:space="preserve"> </w:t>
        </w:r>
        <w:r>
          <w:rPr>
            <w:rStyle w:val="1267"/>
          </w:rPr>
          <w:t xml:space="preserve">промышленный</w:t>
        </w:r>
        <w:r>
          <w:rPr>
            <w:rStyle w:val="1267"/>
            <w:spacing w:val="-8"/>
          </w:rPr>
          <w:t xml:space="preserve"> </w:t>
        </w:r>
        <w:r>
          <w:rPr>
            <w:rStyle w:val="1267"/>
          </w:rPr>
          <w:t xml:space="preserve">объект</w:t>
        </w:r>
        <w:r>
          <w:rPr>
            <w:rStyle w:val="1267"/>
            <w:spacing w:val="-7"/>
          </w:rPr>
          <w:t xml:space="preserve"> </w:t>
        </w:r>
        <w:r>
          <w:rPr>
            <w:rStyle w:val="1267"/>
          </w:rPr>
          <w:t xml:space="preserve">с</w:t>
        </w:r>
        <w:r>
          <w:rPr>
            <w:rStyle w:val="1267"/>
            <w:spacing w:val="-10"/>
          </w:rPr>
          <w:t xml:space="preserve"> </w:t>
        </w:r>
        <w:r>
          <w:rPr>
            <w:rStyle w:val="1267"/>
          </w:rPr>
          <w:t xml:space="preserve">выделением</w:t>
        </w:r>
        <w:r>
          <w:rPr>
            <w:rStyle w:val="1267"/>
            <w:spacing w:val="-10"/>
          </w:rPr>
          <w:t xml:space="preserve"> </w:t>
        </w:r>
        <w:r>
          <w:rPr>
            <w:rStyle w:val="1267"/>
          </w:rPr>
          <w:t xml:space="preserve">сетей горячего водоснабжения</w:t>
        </w:r>
        <w:r>
          <w:tab/>
        </w:r>
        <w:r>
          <w:fldChar w:fldCharType="begin"/>
        </w:r>
        <w:r>
          <w:instrText xml:space="preserve"> PAGEREF _Toc165540672 \h </w:instrText>
        </w:r>
        <w:r>
          <w:fldChar w:fldCharType="separate"/>
        </w:r>
        <w:r>
          <w:t xml:space="preserve">26</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673" w:anchor="_Toc165540673" w:history="1">
        <w:r>
          <w:rPr>
            <w:rStyle w:val="1267"/>
            <w:lang w:eastAsia="ru-RU"/>
          </w:rPr>
          <w:t xml:space="preserve">1.3.2 </w:t>
        </w:r>
        <w:r>
          <w:rPr>
            <w:rStyle w:val="1267"/>
          </w:rPr>
          <w:t xml:space="preserve">Карты (схемы) тепловых сетей в зонах действия источников тепловой энергии в электронной форме и (или) на бумажном н</w:t>
        </w:r>
        <w:r>
          <w:rPr>
            <w:rStyle w:val="1267"/>
          </w:rPr>
          <w:t xml:space="preserve">о</w:t>
        </w:r>
        <w:r>
          <w:rPr>
            <w:rStyle w:val="1267"/>
          </w:rPr>
          <w:t xml:space="preserve">сителе</w:t>
        </w:r>
        <w:r>
          <w:tab/>
        </w:r>
        <w:r>
          <w:fldChar w:fldCharType="begin"/>
        </w:r>
        <w:r>
          <w:instrText xml:space="preserve"> PAGEREF _Toc165540673 \h </w:instrText>
        </w:r>
        <w:r>
          <w:fldChar w:fldCharType="separate"/>
        </w:r>
        <w:r>
          <w:t xml:space="preserve">26</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674" w:anchor="_Toc165540674" w:history="1">
        <w:r>
          <w:rPr>
            <w:rStyle w:val="1267"/>
            <w:lang w:eastAsia="ru-RU"/>
          </w:rPr>
          <w:t xml:space="preserve">1.3.3 </w:t>
        </w:r>
        <w:r>
          <w:rPr>
            <w:rStyle w:val="1267"/>
          </w:rPr>
          <w:t xml:space="preserve">Параметры тепловых сетей, включая год начала эксплуатации, т</w:t>
        </w:r>
        <w:r>
          <w:rPr>
            <w:rStyle w:val="1267"/>
          </w:rPr>
          <w:t xml:space="preserve">ип изоляции, тип компенсирующих устройств, тип прокладки, краткую характеристику грунтов в местах прокладки с выделением наименее надёжных участков, определением их материальной характеристики и тепловой нагрузки потребителей, подключённых к таким участкам</w:t>
        </w:r>
        <w:r>
          <w:tab/>
        </w:r>
        <w:r>
          <w:fldChar w:fldCharType="begin"/>
        </w:r>
        <w:r>
          <w:instrText xml:space="preserve"> PAGEREF _Toc165540674 \h </w:instrText>
        </w:r>
        <w:r>
          <w:fldChar w:fldCharType="separate"/>
        </w:r>
        <w:r>
          <w:t xml:space="preserve">26</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675" w:anchor="_Toc165540675" w:history="1">
        <w:r>
          <w:rPr>
            <w:rStyle w:val="1267"/>
            <w:lang w:eastAsia="ru-RU"/>
          </w:rPr>
          <w:t xml:space="preserve">1.3.4 </w:t>
        </w:r>
        <w:r>
          <w:rPr>
            <w:rStyle w:val="1267"/>
          </w:rPr>
          <w:t xml:space="preserve">Описание типов и количества секционирующей и регулирующей арматуры на тепловых сетях</w:t>
        </w:r>
        <w:r>
          <w:tab/>
        </w:r>
        <w:r>
          <w:fldChar w:fldCharType="begin"/>
        </w:r>
        <w:r>
          <w:instrText xml:space="preserve"> PAGEREF _Toc165540675 \h </w:instrText>
        </w:r>
        <w:r>
          <w:fldChar w:fldCharType="separate"/>
        </w:r>
        <w:r>
          <w:t xml:space="preserve">28</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676" w:anchor="_Toc165540676" w:history="1">
        <w:r>
          <w:rPr>
            <w:rStyle w:val="1267"/>
            <w:lang w:eastAsia="ru-RU"/>
          </w:rPr>
          <w:t xml:space="preserve">1.3.5 </w:t>
        </w:r>
        <w:r>
          <w:rPr>
            <w:rStyle w:val="1267"/>
          </w:rPr>
          <w:t xml:space="preserve">Описание</w:t>
        </w:r>
        <w:r>
          <w:rPr>
            <w:rStyle w:val="1267"/>
            <w:spacing w:val="-1"/>
          </w:rPr>
          <w:t xml:space="preserve"> </w:t>
        </w:r>
        <w:r>
          <w:rPr>
            <w:rStyle w:val="1267"/>
          </w:rPr>
          <w:t xml:space="preserve">типов и строительных особенностей тепловых пунктов, тепловых камер и павильонов</w:t>
        </w:r>
        <w:r>
          <w:tab/>
        </w:r>
        <w:r>
          <w:fldChar w:fldCharType="begin"/>
        </w:r>
        <w:r>
          <w:instrText xml:space="preserve"> PAGEREF _Toc165540676 \h </w:instrText>
        </w:r>
        <w:r>
          <w:fldChar w:fldCharType="separate"/>
        </w:r>
        <w:r>
          <w:t xml:space="preserve">28</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677" w:anchor="_Toc165540677" w:history="1">
        <w:r>
          <w:rPr>
            <w:rStyle w:val="1267"/>
            <w:lang w:eastAsia="ru-RU"/>
          </w:rPr>
          <w:t xml:space="preserve">1.3.6 </w:t>
        </w:r>
        <w:r>
          <w:rPr>
            <w:rStyle w:val="1267"/>
          </w:rPr>
          <w:t xml:space="preserve">Описание графиков регулирования отпуска тепла в тепловые сети с анализом их обоснованности</w:t>
        </w:r>
        <w:r>
          <w:tab/>
        </w:r>
        <w:r>
          <w:fldChar w:fldCharType="begin"/>
        </w:r>
        <w:r>
          <w:instrText xml:space="preserve"> PAGEREF _Toc165540677 \h </w:instrText>
        </w:r>
        <w:r>
          <w:fldChar w:fldCharType="separate"/>
        </w:r>
        <w:r>
          <w:t xml:space="preserve">29</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678" w:anchor="_Toc165540678" w:history="1">
        <w:r>
          <w:rPr>
            <w:rStyle w:val="1267"/>
            <w:lang w:eastAsia="ru-RU"/>
          </w:rPr>
          <w:t xml:space="preserve">1.3.7 </w:t>
        </w:r>
        <w:r>
          <w:rPr>
            <w:rStyle w:val="1267"/>
          </w:rPr>
          <w:t xml:space="preserve">Фактические температурные режимы отпуска тепла в тепловые сети и их соответствие утверждённым графикам регулирования отпуска тепла в тепловые сети</w:t>
        </w:r>
        <w:r>
          <w:tab/>
        </w:r>
        <w:r>
          <w:fldChar w:fldCharType="begin"/>
        </w:r>
        <w:r>
          <w:instrText xml:space="preserve"> PAGEREF _Toc165540678 \h </w:instrText>
        </w:r>
        <w:r>
          <w:fldChar w:fldCharType="separate"/>
        </w:r>
        <w:r>
          <w:t xml:space="preserve">29</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679" w:anchor="_Toc165540679" w:history="1">
        <w:r>
          <w:rPr>
            <w:rStyle w:val="1267"/>
            <w:lang w:eastAsia="ru-RU"/>
          </w:rPr>
          <w:t xml:space="preserve">1.3.8 </w:t>
        </w:r>
        <w:r>
          <w:rPr>
            <w:rStyle w:val="1267"/>
          </w:rPr>
          <w:t xml:space="preserve">Гидравлические</w:t>
        </w:r>
        <w:r>
          <w:rPr>
            <w:rStyle w:val="1267"/>
            <w:spacing w:val="-7"/>
          </w:rPr>
          <w:t xml:space="preserve"> </w:t>
        </w:r>
        <w:r>
          <w:rPr>
            <w:rStyle w:val="1267"/>
          </w:rPr>
          <w:t xml:space="preserve">режимы</w:t>
        </w:r>
        <w:r>
          <w:rPr>
            <w:rStyle w:val="1267"/>
            <w:spacing w:val="-5"/>
          </w:rPr>
          <w:t xml:space="preserve"> </w:t>
        </w:r>
        <w:r>
          <w:rPr>
            <w:rStyle w:val="1267"/>
          </w:rPr>
          <w:t xml:space="preserve">и</w:t>
        </w:r>
        <w:r>
          <w:rPr>
            <w:rStyle w:val="1267"/>
            <w:spacing w:val="-4"/>
          </w:rPr>
          <w:t xml:space="preserve"> </w:t>
        </w:r>
        <w:r>
          <w:rPr>
            <w:rStyle w:val="1267"/>
          </w:rPr>
          <w:t xml:space="preserve">пьезометрические</w:t>
        </w:r>
        <w:r>
          <w:rPr>
            <w:rStyle w:val="1267"/>
            <w:spacing w:val="-5"/>
          </w:rPr>
          <w:t xml:space="preserve"> </w:t>
        </w:r>
        <w:r>
          <w:rPr>
            <w:rStyle w:val="1267"/>
          </w:rPr>
          <w:t xml:space="preserve">графики</w:t>
        </w:r>
        <w:r>
          <w:rPr>
            <w:rStyle w:val="1267"/>
            <w:spacing w:val="-3"/>
          </w:rPr>
          <w:t xml:space="preserve"> </w:t>
        </w:r>
        <w:r>
          <w:rPr>
            <w:rStyle w:val="1267"/>
          </w:rPr>
          <w:t xml:space="preserve">тепловых</w:t>
        </w:r>
        <w:r>
          <w:rPr>
            <w:rStyle w:val="1267"/>
            <w:spacing w:val="-6"/>
          </w:rPr>
          <w:t xml:space="preserve"> </w:t>
        </w:r>
        <w:r>
          <w:rPr>
            <w:rStyle w:val="1267"/>
            <w:spacing w:val="-2"/>
          </w:rPr>
          <w:t xml:space="preserve">сетей</w:t>
        </w:r>
        <w:r>
          <w:tab/>
        </w:r>
        <w:r>
          <w:fldChar w:fldCharType="begin"/>
        </w:r>
        <w:r>
          <w:instrText xml:space="preserve"> PAGEREF _Toc165540679 \h </w:instrText>
        </w:r>
        <w:r>
          <w:fldChar w:fldCharType="separate"/>
        </w:r>
        <w:r>
          <w:t xml:space="preserve">29</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680" w:anchor="_Toc165540680" w:history="1">
        <w:r>
          <w:rPr>
            <w:rStyle w:val="1267"/>
            <w:lang w:eastAsia="ru-RU"/>
          </w:rPr>
          <w:t xml:space="preserve">1.3.9 </w:t>
        </w:r>
        <w:r>
          <w:rPr>
            <w:rStyle w:val="1267"/>
            <w:spacing w:val="-2"/>
          </w:rPr>
          <w:t xml:space="preserve">Статистика</w:t>
        </w:r>
        <w:r>
          <w:rPr>
            <w:rStyle w:val="1267"/>
            <w:spacing w:val="-5"/>
          </w:rPr>
          <w:t xml:space="preserve"> </w:t>
        </w:r>
        <w:r>
          <w:rPr>
            <w:rStyle w:val="1267"/>
            <w:spacing w:val="-2"/>
          </w:rPr>
          <w:t xml:space="preserve">отказов</w:t>
        </w:r>
        <w:r>
          <w:rPr>
            <w:rStyle w:val="1267"/>
            <w:spacing w:val="-7"/>
          </w:rPr>
          <w:t xml:space="preserve"> </w:t>
        </w:r>
        <w:r>
          <w:rPr>
            <w:rStyle w:val="1267"/>
            <w:spacing w:val="-2"/>
          </w:rPr>
          <w:t xml:space="preserve">тепловых</w:t>
        </w:r>
        <w:r>
          <w:rPr>
            <w:rStyle w:val="1267"/>
            <w:spacing w:val="-3"/>
          </w:rPr>
          <w:t xml:space="preserve"> </w:t>
        </w:r>
        <w:r>
          <w:rPr>
            <w:rStyle w:val="1267"/>
            <w:spacing w:val="-2"/>
          </w:rPr>
          <w:t xml:space="preserve">сетей (аварийных</w:t>
        </w:r>
        <w:r>
          <w:rPr>
            <w:rStyle w:val="1267"/>
            <w:spacing w:val="-3"/>
          </w:rPr>
          <w:t xml:space="preserve"> </w:t>
        </w:r>
        <w:r>
          <w:rPr>
            <w:rStyle w:val="1267"/>
            <w:spacing w:val="-2"/>
          </w:rPr>
          <w:t xml:space="preserve">ситуаций)</w:t>
        </w:r>
        <w:r>
          <w:rPr>
            <w:rStyle w:val="1267"/>
            <w:spacing w:val="-4"/>
          </w:rPr>
          <w:t xml:space="preserve"> </w:t>
        </w:r>
        <w:r>
          <w:rPr>
            <w:rStyle w:val="1267"/>
            <w:spacing w:val="-2"/>
          </w:rPr>
          <w:t xml:space="preserve">за</w:t>
        </w:r>
        <w:r>
          <w:rPr>
            <w:rStyle w:val="1267"/>
            <w:spacing w:val="-3"/>
          </w:rPr>
          <w:t xml:space="preserve"> </w:t>
        </w:r>
        <w:r>
          <w:rPr>
            <w:rStyle w:val="1267"/>
            <w:spacing w:val="-2"/>
          </w:rPr>
          <w:t xml:space="preserve">последние</w:t>
        </w:r>
        <w:r>
          <w:rPr>
            <w:rStyle w:val="1267"/>
            <w:spacing w:val="-4"/>
          </w:rPr>
          <w:t xml:space="preserve"> </w:t>
        </w:r>
        <w:r>
          <w:rPr>
            <w:rStyle w:val="1267"/>
            <w:spacing w:val="-2"/>
          </w:rPr>
          <w:t xml:space="preserve">5</w:t>
        </w:r>
        <w:r>
          <w:rPr>
            <w:rStyle w:val="1267"/>
            <w:spacing w:val="-3"/>
          </w:rPr>
          <w:t xml:space="preserve"> </w:t>
        </w:r>
        <w:r>
          <w:rPr>
            <w:rStyle w:val="1267"/>
            <w:spacing w:val="-5"/>
          </w:rPr>
          <w:t xml:space="preserve">лет</w:t>
        </w:r>
        <w:r>
          <w:tab/>
        </w:r>
        <w:r>
          <w:fldChar w:fldCharType="begin"/>
        </w:r>
        <w:r>
          <w:instrText xml:space="preserve"> PAGEREF _Toc165540680 \h </w:instrText>
        </w:r>
        <w:r>
          <w:fldChar w:fldCharType="separate"/>
        </w:r>
        <w:r>
          <w:t xml:space="preserve">29</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681" w:anchor="_Toc165540681" w:history="1">
        <w:r>
          <w:rPr>
            <w:rStyle w:val="1267"/>
            <w:lang w:eastAsia="ru-RU"/>
          </w:rPr>
          <w:t xml:space="preserve">1.3.10 </w:t>
        </w:r>
        <w:r>
          <w:rPr>
            <w:rStyle w:val="1267"/>
          </w:rPr>
          <w:t xml:space="preserve">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tab/>
        </w:r>
        <w:r>
          <w:fldChar w:fldCharType="begin"/>
        </w:r>
        <w:r>
          <w:instrText xml:space="preserve"> PAGEREF _Toc165540681 \h </w:instrText>
        </w:r>
        <w:r>
          <w:fldChar w:fldCharType="separate"/>
        </w:r>
        <w:r>
          <w:t xml:space="preserve">29</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682" w:anchor="_Toc165540682" w:history="1">
        <w:r>
          <w:rPr>
            <w:rStyle w:val="1267"/>
            <w:lang w:eastAsia="ru-RU"/>
          </w:rPr>
          <w:t xml:space="preserve">1.3.11 </w:t>
        </w:r>
        <w:r>
          <w:rPr>
            <w:rStyle w:val="1267"/>
          </w:rPr>
          <w:t xml:space="preserve">Описание</w:t>
        </w:r>
        <w:r>
          <w:rPr>
            <w:rStyle w:val="1267"/>
            <w:spacing w:val="-15"/>
          </w:rPr>
          <w:t xml:space="preserve"> </w:t>
        </w:r>
        <w:r>
          <w:rPr>
            <w:rStyle w:val="1267"/>
          </w:rPr>
          <w:t xml:space="preserve">процедур</w:t>
        </w:r>
        <w:r>
          <w:rPr>
            <w:rStyle w:val="1267"/>
            <w:spacing w:val="-15"/>
          </w:rPr>
          <w:t xml:space="preserve"> </w:t>
        </w:r>
        <w:r>
          <w:rPr>
            <w:rStyle w:val="1267"/>
          </w:rPr>
          <w:t xml:space="preserve">диагностики</w:t>
        </w:r>
        <w:r>
          <w:rPr>
            <w:rStyle w:val="1267"/>
            <w:spacing w:val="-15"/>
          </w:rPr>
          <w:t xml:space="preserve"> </w:t>
        </w:r>
        <w:r>
          <w:rPr>
            <w:rStyle w:val="1267"/>
          </w:rPr>
          <w:t xml:space="preserve">состояния</w:t>
        </w:r>
        <w:r>
          <w:rPr>
            <w:rStyle w:val="1267"/>
            <w:spacing w:val="-15"/>
          </w:rPr>
          <w:t xml:space="preserve"> </w:t>
        </w:r>
        <w:r>
          <w:rPr>
            <w:rStyle w:val="1267"/>
          </w:rPr>
          <w:t xml:space="preserve">тепловых</w:t>
        </w:r>
        <w:r>
          <w:rPr>
            <w:rStyle w:val="1267"/>
            <w:spacing w:val="-15"/>
          </w:rPr>
          <w:t xml:space="preserve"> </w:t>
        </w:r>
        <w:r>
          <w:rPr>
            <w:rStyle w:val="1267"/>
          </w:rPr>
          <w:t xml:space="preserve">сетей</w:t>
        </w:r>
        <w:r>
          <w:rPr>
            <w:rStyle w:val="1267"/>
            <w:spacing w:val="-15"/>
          </w:rPr>
          <w:t xml:space="preserve"> </w:t>
        </w:r>
        <w:r>
          <w:rPr>
            <w:rStyle w:val="1267"/>
          </w:rPr>
          <w:t xml:space="preserve">и</w:t>
        </w:r>
        <w:r>
          <w:rPr>
            <w:rStyle w:val="1267"/>
            <w:spacing w:val="-15"/>
          </w:rPr>
          <w:t xml:space="preserve"> </w:t>
        </w:r>
        <w:r>
          <w:rPr>
            <w:rStyle w:val="1267"/>
          </w:rPr>
          <w:t xml:space="preserve">планирования капитальных (текущих) ремонтов</w:t>
        </w:r>
        <w:r>
          <w:tab/>
        </w:r>
        <w:r>
          <w:fldChar w:fldCharType="begin"/>
        </w:r>
        <w:r>
          <w:instrText xml:space="preserve"> PAGEREF _Toc165540682 \h </w:instrText>
        </w:r>
        <w:r>
          <w:fldChar w:fldCharType="separate"/>
        </w:r>
        <w:r>
          <w:t xml:space="preserve">29</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683" w:anchor="_Toc165540683" w:history="1">
        <w:r>
          <w:rPr>
            <w:rStyle w:val="1267"/>
            <w:lang w:eastAsia="ru-RU"/>
          </w:rPr>
          <w:t xml:space="preserve">1.3.12 </w:t>
        </w:r>
        <w:r>
          <w:rPr>
            <w:rStyle w:val="1267"/>
          </w:rPr>
          <w:t xml:space="preserve">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r>
          <w:tab/>
        </w:r>
        <w:r>
          <w:fldChar w:fldCharType="begin"/>
        </w:r>
        <w:r>
          <w:instrText xml:space="preserve"> PAGEREF _Toc165540683 \h </w:instrText>
        </w:r>
        <w:r>
          <w:fldChar w:fldCharType="separate"/>
        </w:r>
        <w:r>
          <w:t xml:space="preserve">33</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684" w:anchor="_Toc165540684" w:history="1">
        <w:r>
          <w:rPr>
            <w:rStyle w:val="1267"/>
            <w:lang w:eastAsia="ru-RU"/>
          </w:rPr>
          <w:t xml:space="preserve">1.3.13 </w:t>
        </w:r>
        <w:r>
          <w:rPr>
            <w:rStyle w:val="1267"/>
          </w:rPr>
          <w:t xml:space="preserve">Описание нормативов технологических потерь (в ценовых зонах </w:t>
        </w:r>
        <w:r>
          <w:rPr>
            <w:rStyle w:val="1267"/>
          </w:rPr>
          <w:t xml:space="preserve">теплоснабжения - плановых потерь, определяемых в соответствии с методическими указаниями по разработке схем теплоснабжения) при передаче тепловой энергии (мощности) и теплоносителя, включаемых в расчёт отпущенных тепловой энергии (мощности) и теплоносителя</w:t>
        </w:r>
        <w:r>
          <w:tab/>
        </w:r>
        <w:r>
          <w:fldChar w:fldCharType="begin"/>
        </w:r>
        <w:r>
          <w:instrText xml:space="preserve"> PAGEREF _Toc165540684 \h </w:instrText>
        </w:r>
        <w:r>
          <w:fldChar w:fldCharType="separate"/>
        </w:r>
        <w:r>
          <w:t xml:space="preserve">33</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685" w:anchor="_Toc165540685" w:history="1">
        <w:r>
          <w:rPr>
            <w:rStyle w:val="1267"/>
            <w:lang w:eastAsia="ru-RU"/>
          </w:rPr>
          <w:t xml:space="preserve">1.3.14 </w:t>
        </w:r>
        <w:r>
          <w:rPr>
            <w:rStyle w:val="1267"/>
          </w:rPr>
          <w:t xml:space="preserve">Оценка</w:t>
        </w:r>
        <w:r>
          <w:rPr>
            <w:rStyle w:val="1267"/>
            <w:spacing w:val="80"/>
          </w:rPr>
          <w:t xml:space="preserve"> </w:t>
        </w:r>
        <w:r>
          <w:rPr>
            <w:rStyle w:val="1267"/>
          </w:rPr>
          <w:t xml:space="preserve">фактических</w:t>
        </w:r>
        <w:r>
          <w:rPr>
            <w:rStyle w:val="1267"/>
            <w:spacing w:val="80"/>
          </w:rPr>
          <w:t xml:space="preserve"> </w:t>
        </w:r>
        <w:r>
          <w:rPr>
            <w:rStyle w:val="1267"/>
          </w:rPr>
          <w:t xml:space="preserve">потерь</w:t>
        </w:r>
        <w:r>
          <w:rPr>
            <w:rStyle w:val="1267"/>
            <w:spacing w:val="80"/>
          </w:rPr>
          <w:t xml:space="preserve"> </w:t>
        </w:r>
        <w:r>
          <w:rPr>
            <w:rStyle w:val="1267"/>
          </w:rPr>
          <w:t xml:space="preserve">тепловой</w:t>
        </w:r>
        <w:r>
          <w:rPr>
            <w:rStyle w:val="1267"/>
            <w:spacing w:val="80"/>
          </w:rPr>
          <w:t xml:space="preserve"> </w:t>
        </w:r>
        <w:r>
          <w:rPr>
            <w:rStyle w:val="1267"/>
          </w:rPr>
          <w:t xml:space="preserve">энергии</w:t>
        </w:r>
        <w:r>
          <w:rPr>
            <w:rStyle w:val="1267"/>
            <w:spacing w:val="80"/>
          </w:rPr>
          <w:t xml:space="preserve"> </w:t>
        </w:r>
        <w:r>
          <w:rPr>
            <w:rStyle w:val="1267"/>
          </w:rPr>
          <w:t xml:space="preserve">и</w:t>
        </w:r>
        <w:r>
          <w:rPr>
            <w:rStyle w:val="1267"/>
            <w:spacing w:val="80"/>
          </w:rPr>
          <w:t xml:space="preserve"> </w:t>
        </w:r>
        <w:r>
          <w:rPr>
            <w:rStyle w:val="1267"/>
          </w:rPr>
          <w:t xml:space="preserve">теплоносителя</w:t>
        </w:r>
        <w:r>
          <w:rPr>
            <w:rStyle w:val="1267"/>
            <w:spacing w:val="80"/>
          </w:rPr>
          <w:t xml:space="preserve"> </w:t>
        </w:r>
        <w:r>
          <w:rPr>
            <w:rStyle w:val="1267"/>
          </w:rPr>
          <w:t xml:space="preserve">при</w:t>
        </w:r>
        <w:r>
          <w:rPr>
            <w:rStyle w:val="1267"/>
            <w:spacing w:val="40"/>
          </w:rPr>
          <w:t xml:space="preserve"> </w:t>
        </w:r>
        <w:r>
          <w:rPr>
            <w:rStyle w:val="1267"/>
          </w:rPr>
          <w:t xml:space="preserve">передаче тепловой энергии и теплоносителя по тепловым сетям за последние 3 года</w:t>
        </w:r>
        <w:r>
          <w:tab/>
        </w:r>
        <w:r>
          <w:fldChar w:fldCharType="begin"/>
        </w:r>
        <w:r>
          <w:instrText xml:space="preserve"> PAGEREF _Toc165540685 \h </w:instrText>
        </w:r>
        <w:r>
          <w:fldChar w:fldCharType="separate"/>
        </w:r>
        <w:r>
          <w:t xml:space="preserve">39</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686" w:anchor="_Toc165540686" w:history="1">
        <w:r>
          <w:rPr>
            <w:rStyle w:val="1267"/>
            <w:lang w:eastAsia="ru-RU"/>
          </w:rPr>
          <w:t xml:space="preserve">1.3.15 </w:t>
        </w:r>
        <w:r>
          <w:rPr>
            <w:rStyle w:val="1267"/>
          </w:rPr>
          <w:t xml:space="preserve">Предписания</w:t>
        </w:r>
        <w:r>
          <w:rPr>
            <w:rStyle w:val="1267"/>
            <w:spacing w:val="-15"/>
          </w:rPr>
          <w:t xml:space="preserve"> </w:t>
        </w:r>
        <w:r>
          <w:rPr>
            <w:rStyle w:val="1267"/>
          </w:rPr>
          <w:t xml:space="preserve">надзорных</w:t>
        </w:r>
        <w:r>
          <w:rPr>
            <w:rStyle w:val="1267"/>
            <w:spacing w:val="-15"/>
          </w:rPr>
          <w:t xml:space="preserve"> </w:t>
        </w:r>
        <w:r>
          <w:rPr>
            <w:rStyle w:val="1267"/>
          </w:rPr>
          <w:t xml:space="preserve">органов</w:t>
        </w:r>
        <w:r>
          <w:rPr>
            <w:rStyle w:val="1267"/>
            <w:spacing w:val="-15"/>
          </w:rPr>
          <w:t xml:space="preserve"> </w:t>
        </w:r>
        <w:r>
          <w:rPr>
            <w:rStyle w:val="1267"/>
          </w:rPr>
          <w:t xml:space="preserve">по</w:t>
        </w:r>
        <w:r>
          <w:rPr>
            <w:rStyle w:val="1267"/>
            <w:spacing w:val="-15"/>
          </w:rPr>
          <w:t xml:space="preserve"> </w:t>
        </w:r>
        <w:r>
          <w:rPr>
            <w:rStyle w:val="1267"/>
          </w:rPr>
          <w:t xml:space="preserve">запрещению</w:t>
        </w:r>
        <w:r>
          <w:rPr>
            <w:rStyle w:val="1267"/>
            <w:spacing w:val="-15"/>
          </w:rPr>
          <w:t xml:space="preserve"> </w:t>
        </w:r>
        <w:r>
          <w:rPr>
            <w:rStyle w:val="1267"/>
          </w:rPr>
          <w:t xml:space="preserve">дальнейшей</w:t>
        </w:r>
        <w:r>
          <w:rPr>
            <w:rStyle w:val="1267"/>
            <w:spacing w:val="-15"/>
          </w:rPr>
          <w:t xml:space="preserve"> </w:t>
        </w:r>
        <w:r>
          <w:rPr>
            <w:rStyle w:val="1267"/>
          </w:rPr>
          <w:t xml:space="preserve">эксплуатации участков тепловой сети и результаты их исполнения</w:t>
        </w:r>
        <w:r>
          <w:tab/>
        </w:r>
        <w:r>
          <w:fldChar w:fldCharType="begin"/>
        </w:r>
        <w:r>
          <w:instrText xml:space="preserve"> PAGEREF _Toc165540686 \h </w:instrText>
        </w:r>
        <w:r>
          <w:fldChar w:fldCharType="separate"/>
        </w:r>
        <w:r>
          <w:t xml:space="preserve">40</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687" w:anchor="_Toc165540687" w:history="1">
        <w:r>
          <w:rPr>
            <w:rStyle w:val="1267"/>
            <w:lang w:eastAsia="ru-RU"/>
          </w:rPr>
          <w:t xml:space="preserve">1.3.16 </w:t>
        </w:r>
        <w:r>
          <w:rPr>
            <w:rStyle w:val="1267"/>
          </w:rPr>
          <w:t xml:space="preserve">Описание наиболее распространённых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r>
          <w:tab/>
        </w:r>
        <w:r>
          <w:fldChar w:fldCharType="begin"/>
        </w:r>
        <w:r>
          <w:instrText xml:space="preserve"> PAGEREF _Toc165540687 \h </w:instrText>
        </w:r>
        <w:r>
          <w:fldChar w:fldCharType="separate"/>
        </w:r>
        <w:r>
          <w:t xml:space="preserve">40</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688" w:anchor="_Toc165540688" w:history="1">
        <w:r>
          <w:rPr>
            <w:rStyle w:val="1267"/>
            <w:lang w:eastAsia="ru-RU"/>
          </w:rPr>
          <w:t xml:space="preserve">1.3.17 </w:t>
        </w:r>
        <w:r>
          <w:rPr>
            <w:rStyle w:val="1267"/>
          </w:rPr>
          <w:t xml:space="preserve">Сведения о наличии коммерческого приборного учёта тепловой энергии, отпущенной из тепловых сетей потребителям, и анализ планов по установке приборов учёта тепловой энергии и теплоносителя</w:t>
        </w:r>
        <w:r>
          <w:tab/>
        </w:r>
        <w:r>
          <w:fldChar w:fldCharType="begin"/>
        </w:r>
        <w:r>
          <w:instrText xml:space="preserve"> PAGEREF _Toc165540688 \h </w:instrText>
        </w:r>
        <w:r>
          <w:fldChar w:fldCharType="separate"/>
        </w:r>
        <w:r>
          <w:t xml:space="preserve">40</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689" w:anchor="_Toc165540689" w:history="1">
        <w:r>
          <w:rPr>
            <w:rStyle w:val="1267"/>
            <w:lang w:eastAsia="ru-RU"/>
          </w:rPr>
          <w:t xml:space="preserve">1.3.18 </w:t>
        </w:r>
        <w:r>
          <w:rPr>
            <w:rStyle w:val="1267"/>
          </w:rPr>
          <w:t xml:space="preserve">Анализ работы диспетчерских служб теплоснабжающих (теплосетевых) организаций и используемых средств автоматизации, телемеханизации и связи</w:t>
        </w:r>
        <w:r>
          <w:tab/>
        </w:r>
        <w:r>
          <w:fldChar w:fldCharType="begin"/>
        </w:r>
        <w:r>
          <w:instrText xml:space="preserve"> PAGEREF _Toc165540689 \h </w:instrText>
        </w:r>
        <w:r>
          <w:fldChar w:fldCharType="separate"/>
        </w:r>
        <w:r>
          <w:t xml:space="preserve">40</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690" w:anchor="_Toc165540690" w:history="1">
        <w:r>
          <w:rPr>
            <w:rStyle w:val="1267"/>
            <w:lang w:eastAsia="ru-RU"/>
          </w:rPr>
          <w:t xml:space="preserve">1.3.19 </w:t>
        </w:r>
        <w:r>
          <w:rPr>
            <w:rStyle w:val="1267"/>
          </w:rPr>
          <w:t xml:space="preserve">Уровень автоматизации и обслуживания центральных тепловых пунктов, насосных станций</w:t>
        </w:r>
        <w:r>
          <w:tab/>
        </w:r>
        <w:r>
          <w:fldChar w:fldCharType="begin"/>
        </w:r>
        <w:r>
          <w:instrText xml:space="preserve"> PAGEREF _Toc165540690 \h </w:instrText>
        </w:r>
        <w:r>
          <w:fldChar w:fldCharType="separate"/>
        </w:r>
        <w:r>
          <w:t xml:space="preserve">41</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691" w:anchor="_Toc165540691" w:history="1">
        <w:r>
          <w:rPr>
            <w:rStyle w:val="1267"/>
            <w:lang w:eastAsia="ru-RU"/>
          </w:rPr>
          <w:t xml:space="preserve">1.3.20 </w:t>
        </w:r>
        <w:r>
          <w:rPr>
            <w:rStyle w:val="1267"/>
          </w:rPr>
          <w:t xml:space="preserve">Сведения</w:t>
        </w:r>
        <w:r>
          <w:rPr>
            <w:rStyle w:val="1267"/>
            <w:spacing w:val="-6"/>
          </w:rPr>
          <w:t xml:space="preserve"> </w:t>
        </w:r>
        <w:r>
          <w:rPr>
            <w:rStyle w:val="1267"/>
          </w:rPr>
          <w:t xml:space="preserve">о</w:t>
        </w:r>
        <w:r>
          <w:rPr>
            <w:rStyle w:val="1267"/>
            <w:spacing w:val="-4"/>
          </w:rPr>
          <w:t xml:space="preserve"> </w:t>
        </w:r>
        <w:r>
          <w:rPr>
            <w:rStyle w:val="1267"/>
          </w:rPr>
          <w:t xml:space="preserve">наличии</w:t>
        </w:r>
        <w:r>
          <w:rPr>
            <w:rStyle w:val="1267"/>
            <w:spacing w:val="-3"/>
          </w:rPr>
          <w:t xml:space="preserve"> </w:t>
        </w:r>
        <w:r>
          <w:rPr>
            <w:rStyle w:val="1267"/>
          </w:rPr>
          <w:t xml:space="preserve">защиты</w:t>
        </w:r>
        <w:r>
          <w:rPr>
            <w:rStyle w:val="1267"/>
            <w:spacing w:val="-4"/>
          </w:rPr>
          <w:t xml:space="preserve"> </w:t>
        </w:r>
        <w:r>
          <w:rPr>
            <w:rStyle w:val="1267"/>
          </w:rPr>
          <w:t xml:space="preserve">тепловых</w:t>
        </w:r>
        <w:r>
          <w:rPr>
            <w:rStyle w:val="1267"/>
            <w:spacing w:val="-4"/>
          </w:rPr>
          <w:t xml:space="preserve"> </w:t>
        </w:r>
        <w:r>
          <w:rPr>
            <w:rStyle w:val="1267"/>
          </w:rPr>
          <w:t xml:space="preserve">сетей</w:t>
        </w:r>
        <w:r>
          <w:rPr>
            <w:rStyle w:val="1267"/>
            <w:spacing w:val="-4"/>
          </w:rPr>
          <w:t xml:space="preserve"> </w:t>
        </w:r>
        <w:r>
          <w:rPr>
            <w:rStyle w:val="1267"/>
          </w:rPr>
          <w:t xml:space="preserve">от</w:t>
        </w:r>
        <w:r>
          <w:rPr>
            <w:rStyle w:val="1267"/>
            <w:spacing w:val="-4"/>
          </w:rPr>
          <w:t xml:space="preserve"> </w:t>
        </w:r>
        <w:r>
          <w:rPr>
            <w:rStyle w:val="1267"/>
          </w:rPr>
          <w:t xml:space="preserve">превышения</w:t>
        </w:r>
        <w:r>
          <w:rPr>
            <w:rStyle w:val="1267"/>
            <w:spacing w:val="-3"/>
          </w:rPr>
          <w:t xml:space="preserve"> </w:t>
        </w:r>
        <w:r>
          <w:rPr>
            <w:rStyle w:val="1267"/>
            <w:spacing w:val="-2"/>
          </w:rPr>
          <w:t xml:space="preserve">давления</w:t>
        </w:r>
        <w:r>
          <w:tab/>
        </w:r>
        <w:r>
          <w:fldChar w:fldCharType="begin"/>
        </w:r>
        <w:r>
          <w:instrText xml:space="preserve"> PAGEREF _Toc165540691 \h </w:instrText>
        </w:r>
        <w:r>
          <w:fldChar w:fldCharType="separate"/>
        </w:r>
        <w:r>
          <w:t xml:space="preserve">41</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692" w:anchor="_Toc165540692" w:history="1">
        <w:r>
          <w:rPr>
            <w:rStyle w:val="1267"/>
            <w:lang w:eastAsia="ru-RU"/>
          </w:rPr>
          <w:t xml:space="preserve">1.3.21 </w:t>
        </w:r>
        <w:r>
          <w:rPr>
            <w:rStyle w:val="1267"/>
          </w:rPr>
          <w:t xml:space="preserve">Перечень выявленных бесхозяйных тепловых сетей и обоснование выбора организации, уполномоченной на их эксплуатацию</w:t>
        </w:r>
        <w:r>
          <w:tab/>
        </w:r>
        <w:r>
          <w:fldChar w:fldCharType="begin"/>
        </w:r>
        <w:r>
          <w:instrText xml:space="preserve"> PAGEREF _Toc165540692 \h </w:instrText>
        </w:r>
        <w:r>
          <w:fldChar w:fldCharType="separate"/>
        </w:r>
        <w:r>
          <w:t xml:space="preserve">41</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693" w:anchor="_Toc165540693" w:history="1">
        <w:r>
          <w:rPr>
            <w:rStyle w:val="1267"/>
            <w:lang w:eastAsia="ru-RU"/>
          </w:rPr>
          <w:t xml:space="preserve">1.3.22 </w:t>
        </w:r>
        <w:r>
          <w:rPr>
            <w:rStyle w:val="1267"/>
          </w:rPr>
          <w:t xml:space="preserve">Данные</w:t>
        </w:r>
        <w:r>
          <w:rPr>
            <w:rStyle w:val="1267"/>
            <w:spacing w:val="-8"/>
          </w:rPr>
          <w:t xml:space="preserve"> </w:t>
        </w:r>
        <w:r>
          <w:rPr>
            <w:rStyle w:val="1267"/>
          </w:rPr>
          <w:t xml:space="preserve">энергетических</w:t>
        </w:r>
        <w:r>
          <w:rPr>
            <w:rStyle w:val="1267"/>
            <w:spacing w:val="-3"/>
          </w:rPr>
          <w:t xml:space="preserve"> </w:t>
        </w:r>
        <w:r>
          <w:rPr>
            <w:rStyle w:val="1267"/>
          </w:rPr>
          <w:t xml:space="preserve">характеристик</w:t>
        </w:r>
        <w:r>
          <w:rPr>
            <w:rStyle w:val="1267"/>
            <w:spacing w:val="-4"/>
          </w:rPr>
          <w:t xml:space="preserve"> </w:t>
        </w:r>
        <w:r>
          <w:rPr>
            <w:rStyle w:val="1267"/>
          </w:rPr>
          <w:t xml:space="preserve">тепловых</w:t>
        </w:r>
        <w:r>
          <w:rPr>
            <w:rStyle w:val="1267"/>
            <w:spacing w:val="-4"/>
          </w:rPr>
          <w:t xml:space="preserve"> </w:t>
        </w:r>
        <w:r>
          <w:rPr>
            <w:rStyle w:val="1267"/>
          </w:rPr>
          <w:t xml:space="preserve">сетей</w:t>
        </w:r>
        <w:r>
          <w:rPr>
            <w:rStyle w:val="1267"/>
            <w:spacing w:val="-4"/>
          </w:rPr>
          <w:t xml:space="preserve"> </w:t>
        </w:r>
        <w:r>
          <w:rPr>
            <w:rStyle w:val="1267"/>
          </w:rPr>
          <w:t xml:space="preserve">(при</w:t>
        </w:r>
        <w:r>
          <w:rPr>
            <w:rStyle w:val="1267"/>
            <w:spacing w:val="-3"/>
          </w:rPr>
          <w:t xml:space="preserve"> </w:t>
        </w:r>
        <w:r>
          <w:rPr>
            <w:rStyle w:val="1267"/>
          </w:rPr>
          <w:t xml:space="preserve">их</w:t>
        </w:r>
        <w:r>
          <w:rPr>
            <w:rStyle w:val="1267"/>
            <w:spacing w:val="-3"/>
          </w:rPr>
          <w:t xml:space="preserve"> </w:t>
        </w:r>
        <w:r>
          <w:rPr>
            <w:rStyle w:val="1267"/>
            <w:spacing w:val="-2"/>
          </w:rPr>
          <w:t xml:space="preserve">наличии)</w:t>
        </w:r>
        <w:r>
          <w:tab/>
        </w:r>
        <w:r>
          <w:fldChar w:fldCharType="begin"/>
        </w:r>
        <w:r>
          <w:instrText xml:space="preserve"> PAGEREF _Toc165540693 \h </w:instrText>
        </w:r>
        <w:r>
          <w:fldChar w:fldCharType="separate"/>
        </w:r>
        <w:r>
          <w:t xml:space="preserve">41</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694" w:anchor="_Toc165540694" w:history="1">
        <w:r>
          <w:rPr>
            <w:rStyle w:val="1267"/>
            <w:lang w:eastAsia="ru-RU"/>
          </w:rPr>
          <w:t xml:space="preserve">1.3.23 </w:t>
        </w:r>
        <w:r>
          <w:rPr>
            <w:rStyle w:val="1267"/>
          </w:rPr>
          <w:t xml:space="preserve">Описание изменений в характеристиках тепловых сетей и сооружений на них, зафиксированных за период, предшествующий актуализации схемы </w:t>
        </w:r>
        <w:r>
          <w:rPr>
            <w:rStyle w:val="1267"/>
            <w:spacing w:val="-2"/>
          </w:rPr>
          <w:t xml:space="preserve">теплоснабжения</w:t>
        </w:r>
        <w:r>
          <w:tab/>
        </w:r>
        <w:r>
          <w:fldChar w:fldCharType="begin"/>
        </w:r>
        <w:r>
          <w:instrText xml:space="preserve"> PAGEREF _Toc165540694 \h </w:instrText>
        </w:r>
        <w:r>
          <w:fldChar w:fldCharType="separate"/>
        </w:r>
        <w:r>
          <w:t xml:space="preserve">41</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695" w:anchor="_Toc165540695" w:history="1">
        <w:r>
          <w:rPr>
            <w:rStyle w:val="1267"/>
            <w:lang w:eastAsia="ru-RU"/>
          </w:rPr>
          <w:t xml:space="preserve">1.4 </w:t>
        </w:r>
        <w:r>
          <w:rPr>
            <w:rStyle w:val="1267"/>
          </w:rPr>
          <w:t xml:space="preserve">Зоны</w:t>
        </w:r>
        <w:r>
          <w:rPr>
            <w:rStyle w:val="1267"/>
            <w:spacing w:val="-3"/>
          </w:rPr>
          <w:t xml:space="preserve"> </w:t>
        </w:r>
        <w:r>
          <w:rPr>
            <w:rStyle w:val="1267"/>
          </w:rPr>
          <w:t xml:space="preserve">действия</w:t>
        </w:r>
        <w:r>
          <w:rPr>
            <w:rStyle w:val="1267"/>
            <w:spacing w:val="-3"/>
          </w:rPr>
          <w:t xml:space="preserve"> </w:t>
        </w:r>
        <w:r>
          <w:rPr>
            <w:rStyle w:val="1267"/>
          </w:rPr>
          <w:t xml:space="preserve">источн</w:t>
        </w:r>
        <w:r>
          <w:rPr>
            <w:rStyle w:val="1267"/>
          </w:rPr>
          <w:t xml:space="preserve">и</w:t>
        </w:r>
        <w:r>
          <w:rPr>
            <w:rStyle w:val="1267"/>
          </w:rPr>
          <w:t xml:space="preserve">к</w:t>
        </w:r>
        <w:r>
          <w:rPr>
            <w:rStyle w:val="1267"/>
          </w:rPr>
          <w:t xml:space="preserve">ов</w:t>
        </w:r>
        <w:r>
          <w:rPr>
            <w:rStyle w:val="1267"/>
            <w:spacing w:val="-6"/>
          </w:rPr>
          <w:t xml:space="preserve"> </w:t>
        </w:r>
        <w:r>
          <w:rPr>
            <w:rStyle w:val="1267"/>
          </w:rPr>
          <w:t xml:space="preserve">тепловой</w:t>
        </w:r>
        <w:r>
          <w:rPr>
            <w:rStyle w:val="1267"/>
            <w:spacing w:val="-3"/>
          </w:rPr>
          <w:t xml:space="preserve"> </w:t>
        </w:r>
        <w:r>
          <w:rPr>
            <w:rStyle w:val="1267"/>
            <w:spacing w:val="-2"/>
          </w:rPr>
          <w:t xml:space="preserve">энергии</w:t>
        </w:r>
        <w:r>
          <w:tab/>
        </w:r>
        <w:r>
          <w:fldChar w:fldCharType="begin"/>
        </w:r>
        <w:r>
          <w:instrText xml:space="preserve"> PAGEREF _Toc165540695 \h </w:instrText>
        </w:r>
        <w:r>
          <w:fldChar w:fldCharType="separate"/>
        </w:r>
        <w:r>
          <w:t xml:space="preserve">41</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696" w:anchor="_Toc165540696" w:history="1">
        <w:r>
          <w:rPr>
            <w:rStyle w:val="1267"/>
            <w:lang w:eastAsia="ru-RU"/>
          </w:rPr>
          <w:t xml:space="preserve">1.4.1 </w:t>
        </w:r>
        <w:r>
          <w:rPr>
            <w:rStyle w:val="1267"/>
          </w:rPr>
          <w:t xml:space="preserve">Описание</w:t>
        </w:r>
        <w:r>
          <w:rPr>
            <w:rStyle w:val="1267"/>
            <w:spacing w:val="-10"/>
          </w:rPr>
          <w:t xml:space="preserve"> </w:t>
        </w:r>
        <w:r>
          <w:rPr>
            <w:rStyle w:val="1267"/>
          </w:rPr>
          <w:t xml:space="preserve">существующих</w:t>
        </w:r>
        <w:r>
          <w:rPr>
            <w:rStyle w:val="1267"/>
            <w:spacing w:val="-9"/>
          </w:rPr>
          <w:t xml:space="preserve"> </w:t>
        </w:r>
        <w:r>
          <w:rPr>
            <w:rStyle w:val="1267"/>
          </w:rPr>
          <w:t xml:space="preserve">зон</w:t>
        </w:r>
        <w:r>
          <w:rPr>
            <w:rStyle w:val="1267"/>
            <w:spacing w:val="-9"/>
          </w:rPr>
          <w:t xml:space="preserve"> </w:t>
        </w:r>
        <w:r>
          <w:rPr>
            <w:rStyle w:val="1267"/>
          </w:rPr>
          <w:t xml:space="preserve">действия</w:t>
        </w:r>
        <w:r>
          <w:rPr>
            <w:rStyle w:val="1267"/>
            <w:spacing w:val="-10"/>
          </w:rPr>
          <w:t xml:space="preserve"> </w:t>
        </w:r>
        <w:r>
          <w:rPr>
            <w:rStyle w:val="1267"/>
          </w:rPr>
          <w:t xml:space="preserve">источников</w:t>
        </w:r>
        <w:r>
          <w:rPr>
            <w:rStyle w:val="1267"/>
            <w:spacing w:val="-9"/>
          </w:rPr>
          <w:t xml:space="preserve"> </w:t>
        </w:r>
        <w:r>
          <w:rPr>
            <w:rStyle w:val="1267"/>
          </w:rPr>
          <w:t xml:space="preserve">тепловой</w:t>
        </w:r>
        <w:r>
          <w:rPr>
            <w:rStyle w:val="1267"/>
            <w:spacing w:val="-9"/>
          </w:rPr>
          <w:t xml:space="preserve"> </w:t>
        </w:r>
        <w:r>
          <w:rPr>
            <w:rStyle w:val="1267"/>
          </w:rPr>
          <w:t xml:space="preserve">энергии</w:t>
        </w:r>
        <w:r>
          <w:rPr>
            <w:rStyle w:val="1267"/>
            <w:spacing w:val="-9"/>
          </w:rPr>
          <w:t xml:space="preserve"> </w:t>
        </w:r>
        <w:r>
          <w:rPr>
            <w:rStyle w:val="1267"/>
          </w:rPr>
          <w:t xml:space="preserve">во</w:t>
        </w:r>
        <w:r>
          <w:rPr>
            <w:rStyle w:val="1267"/>
            <w:spacing w:val="-9"/>
          </w:rPr>
          <w:t xml:space="preserve"> </w:t>
        </w:r>
        <w:r>
          <w:rPr>
            <w:rStyle w:val="1267"/>
          </w:rPr>
          <w:t xml:space="preserve">всех системах теплоснабжения на территории поселения, включая перечень котельных, находящихся в зоне эффективного радиуса теплоснабжения источников комбинированной выработки тепловой и электрической энергии</w:t>
        </w:r>
        <w:r>
          <w:tab/>
        </w:r>
        <w:r>
          <w:fldChar w:fldCharType="begin"/>
        </w:r>
        <w:r>
          <w:instrText xml:space="preserve"> PAGEREF _Toc165540696 \h </w:instrText>
        </w:r>
        <w:r>
          <w:fldChar w:fldCharType="separate"/>
        </w:r>
        <w:r>
          <w:t xml:space="preserve">41</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697" w:anchor="_Toc165540697" w:history="1">
        <w:r>
          <w:rPr>
            <w:rStyle w:val="1267"/>
            <w:lang w:eastAsia="ru-RU"/>
          </w:rPr>
          <w:t xml:space="preserve">1.5 </w:t>
        </w:r>
        <w:r>
          <w:rPr>
            <w:rStyle w:val="1267"/>
          </w:rPr>
          <w:t xml:space="preserve">Тепловые нагрузки потребителей тепловой энергии, групп потребителей тепловой энергии</w:t>
        </w:r>
        <w:r>
          <w:tab/>
        </w:r>
        <w:r>
          <w:fldChar w:fldCharType="begin"/>
        </w:r>
        <w:r>
          <w:instrText xml:space="preserve"> PAGEREF _Toc165540697 \h </w:instrText>
        </w:r>
        <w:r>
          <w:fldChar w:fldCharType="separate"/>
        </w:r>
        <w:r>
          <w:t xml:space="preserve">43</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698" w:anchor="_Toc165540698" w:history="1">
        <w:r>
          <w:rPr>
            <w:rStyle w:val="1267"/>
            <w:lang w:eastAsia="ru-RU"/>
          </w:rPr>
          <w:t xml:space="preserve">1.5.1 </w:t>
        </w:r>
        <w:r>
          <w:rPr>
            <w:rStyle w:val="1267"/>
          </w:rPr>
          <w:t xml:space="preserve">Описание значений спроса на тепловую мощность в расчётных элементах территориального деления, в том числе значений тепловых нагрузок потребителей тепловой энергии, групп потребителей тепловой энергии</w:t>
        </w:r>
        <w:r>
          <w:tab/>
        </w:r>
        <w:r>
          <w:fldChar w:fldCharType="begin"/>
        </w:r>
        <w:r>
          <w:instrText xml:space="preserve"> PAGEREF _Toc165540698 \h </w:instrText>
        </w:r>
        <w:r>
          <w:fldChar w:fldCharType="separate"/>
        </w:r>
        <w:r>
          <w:t xml:space="preserve">43</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699" w:anchor="_Toc165540699" w:history="1">
        <w:r>
          <w:rPr>
            <w:rStyle w:val="1267"/>
            <w:lang w:eastAsia="ru-RU"/>
          </w:rPr>
          <w:t xml:space="preserve">1.5.2 </w:t>
        </w:r>
        <w:r>
          <w:rPr>
            <w:rStyle w:val="1267"/>
          </w:rPr>
          <w:t xml:space="preserve">Описание значений расчётных тепловых нагрузок на коллекторах источников тепловой энергии</w:t>
        </w:r>
        <w:r>
          <w:tab/>
        </w:r>
        <w:r>
          <w:fldChar w:fldCharType="begin"/>
        </w:r>
        <w:r>
          <w:instrText xml:space="preserve"> PAGEREF _Toc165540699 \h </w:instrText>
        </w:r>
        <w:r>
          <w:fldChar w:fldCharType="separate"/>
        </w:r>
        <w:r>
          <w:t xml:space="preserve">43</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00" w:anchor="_Toc165540700" w:history="1">
        <w:r>
          <w:rPr>
            <w:rStyle w:val="1267"/>
            <w:lang w:eastAsia="ru-RU"/>
          </w:rPr>
          <w:t xml:space="preserve">1.5.3 </w:t>
        </w:r>
        <w:r>
          <w:rPr>
            <w:rStyle w:val="1267"/>
          </w:rPr>
          <w:t xml:space="preserve">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tab/>
        </w:r>
        <w:r>
          <w:fldChar w:fldCharType="begin"/>
        </w:r>
        <w:r>
          <w:instrText xml:space="preserve"> PAGEREF _Toc165540700 \h </w:instrText>
        </w:r>
        <w:r>
          <w:fldChar w:fldCharType="separate"/>
        </w:r>
        <w:r>
          <w:t xml:space="preserve">46</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01" w:anchor="_Toc165540701" w:history="1">
        <w:r>
          <w:rPr>
            <w:rStyle w:val="1267"/>
            <w:lang w:eastAsia="ru-RU"/>
          </w:rPr>
          <w:t xml:space="preserve">1.5.4 </w:t>
        </w:r>
        <w:r>
          <w:rPr>
            <w:rStyle w:val="1267"/>
          </w:rPr>
          <w:t xml:space="preserve">Описание величины потребления тепловой энергии в расчётных элементах территориального деления за отопительный период и за год в целом</w:t>
        </w:r>
        <w:r>
          <w:tab/>
        </w:r>
        <w:r>
          <w:fldChar w:fldCharType="begin"/>
        </w:r>
        <w:r>
          <w:instrText xml:space="preserve"> PAGEREF _Toc165540701 \h </w:instrText>
        </w:r>
        <w:r>
          <w:fldChar w:fldCharType="separate"/>
        </w:r>
        <w:r>
          <w:t xml:space="preserve">46</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02" w:anchor="_Toc165540702" w:history="1">
        <w:r>
          <w:rPr>
            <w:rStyle w:val="1267"/>
            <w:lang w:eastAsia="ru-RU"/>
          </w:rPr>
          <w:t xml:space="preserve">1.5.5 </w:t>
        </w:r>
        <w:r>
          <w:rPr>
            <w:rStyle w:val="1267"/>
          </w:rPr>
          <w:t xml:space="preserve">Описание существующих нормативов потребления тепловой энергии для населения на отопление и горячее водоснабжение</w:t>
        </w:r>
        <w:r>
          <w:tab/>
        </w:r>
        <w:r>
          <w:fldChar w:fldCharType="begin"/>
        </w:r>
        <w:r>
          <w:instrText xml:space="preserve"> PAGEREF _Toc165540702 \h </w:instrText>
        </w:r>
        <w:r>
          <w:fldChar w:fldCharType="separate"/>
        </w:r>
        <w:r>
          <w:t xml:space="preserve">46</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03" w:anchor="_Toc165540703" w:history="1">
        <w:r>
          <w:rPr>
            <w:rStyle w:val="1267"/>
            <w:lang w:eastAsia="ru-RU"/>
          </w:rPr>
          <w:t xml:space="preserve">1.5.6 </w:t>
        </w:r>
        <w:r>
          <w:rPr>
            <w:rStyle w:val="1267"/>
          </w:rPr>
          <w:t xml:space="preserve">Описание сравнения величины договорной и расчётной тепловой нагрузки по зоне действия каждого источника тепловой энергии</w:t>
        </w:r>
        <w:r>
          <w:tab/>
        </w:r>
        <w:r>
          <w:fldChar w:fldCharType="begin"/>
        </w:r>
        <w:r>
          <w:instrText xml:space="preserve"> PAGEREF _Toc165540703 \h </w:instrText>
        </w:r>
        <w:r>
          <w:fldChar w:fldCharType="separate"/>
        </w:r>
        <w:r>
          <w:t xml:space="preserve">47</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04" w:anchor="_Toc165540704" w:history="1">
        <w:r>
          <w:rPr>
            <w:rStyle w:val="1267"/>
            <w:lang w:eastAsia="ru-RU"/>
          </w:rPr>
          <w:t xml:space="preserve">1.5.7 </w:t>
        </w:r>
        <w:r>
          <w:rPr>
            <w:rStyle w:val="1267"/>
          </w:rPr>
          <w:t xml:space="preserve">Описание изменений тепловых нагрузок потребителей тепловой энергии, в том числе подключённых к тепловым сетям каждой системы теплоснабжения, зафиксированных за период, предшествующий актуализации схемы теплоснабжения</w:t>
        </w:r>
        <w:r>
          <w:tab/>
        </w:r>
        <w:r>
          <w:fldChar w:fldCharType="begin"/>
        </w:r>
        <w:r>
          <w:instrText xml:space="preserve"> PAGEREF _Toc165540704 \h </w:instrText>
        </w:r>
        <w:r>
          <w:fldChar w:fldCharType="separate"/>
        </w:r>
        <w:r>
          <w:t xml:space="preserve">47</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05" w:anchor="_Toc165540705" w:history="1">
        <w:r>
          <w:rPr>
            <w:rStyle w:val="1267"/>
            <w:lang w:eastAsia="ru-RU"/>
          </w:rPr>
          <w:t xml:space="preserve">1.6 </w:t>
        </w:r>
        <w:r>
          <w:rPr>
            <w:rStyle w:val="1267"/>
          </w:rPr>
          <w:t xml:space="preserve">Балансы</w:t>
        </w:r>
        <w:r>
          <w:rPr>
            <w:rStyle w:val="1267"/>
            <w:spacing w:val="-6"/>
          </w:rPr>
          <w:t xml:space="preserve"> </w:t>
        </w:r>
        <w:r>
          <w:rPr>
            <w:rStyle w:val="1267"/>
          </w:rPr>
          <w:t xml:space="preserve">тепловой</w:t>
        </w:r>
        <w:r>
          <w:rPr>
            <w:rStyle w:val="1267"/>
            <w:spacing w:val="-2"/>
          </w:rPr>
          <w:t xml:space="preserve"> </w:t>
        </w:r>
        <w:r>
          <w:rPr>
            <w:rStyle w:val="1267"/>
          </w:rPr>
          <w:t xml:space="preserve">мощности</w:t>
        </w:r>
        <w:r>
          <w:rPr>
            <w:rStyle w:val="1267"/>
            <w:spacing w:val="-2"/>
          </w:rPr>
          <w:t xml:space="preserve"> </w:t>
        </w:r>
        <w:r>
          <w:rPr>
            <w:rStyle w:val="1267"/>
          </w:rPr>
          <w:t xml:space="preserve">и</w:t>
        </w:r>
        <w:r>
          <w:rPr>
            <w:rStyle w:val="1267"/>
            <w:spacing w:val="-2"/>
          </w:rPr>
          <w:t xml:space="preserve"> </w:t>
        </w:r>
        <w:r>
          <w:rPr>
            <w:rStyle w:val="1267"/>
          </w:rPr>
          <w:t xml:space="preserve">тепловой</w:t>
        </w:r>
        <w:r>
          <w:rPr>
            <w:rStyle w:val="1267"/>
            <w:spacing w:val="-4"/>
          </w:rPr>
          <w:t xml:space="preserve"> </w:t>
        </w:r>
        <w:r>
          <w:rPr>
            <w:rStyle w:val="1267"/>
            <w:spacing w:val="-2"/>
          </w:rPr>
          <w:t xml:space="preserve">нагрузки</w:t>
        </w:r>
        <w:r>
          <w:tab/>
        </w:r>
        <w:r>
          <w:fldChar w:fldCharType="begin"/>
        </w:r>
        <w:r>
          <w:instrText xml:space="preserve"> PAGEREF _Toc165540705 \h </w:instrText>
        </w:r>
        <w:r>
          <w:fldChar w:fldCharType="separate"/>
        </w:r>
        <w:r>
          <w:t xml:space="preserve">48</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06" w:anchor="_Toc165540706" w:history="1">
        <w:r>
          <w:rPr>
            <w:rStyle w:val="1267"/>
            <w:lang w:eastAsia="ru-RU"/>
          </w:rPr>
          <w:t xml:space="preserve">1.6.1 </w:t>
        </w:r>
        <w:r>
          <w:rPr>
            <w:rStyle w:val="1267"/>
          </w:rPr>
          <w:t xml:space="preserve">Описание балан</w:t>
        </w:r>
        <w:r>
          <w:rPr>
            <w:rStyle w:val="1267"/>
          </w:rPr>
          <w:t xml:space="preserve">сов установленной, располагаемой тепловой мощности и тепловой мощности нетто, потерь тепловой мощности в тепловых сетях и расчётной тепловой нагрузки по каждому источнику тепловой энергии, а в ценовых зонах теплоснабжения - по каждой системе теплоснабжения</w:t>
        </w:r>
        <w:r>
          <w:tab/>
        </w:r>
        <w:r>
          <w:fldChar w:fldCharType="begin"/>
        </w:r>
        <w:r>
          <w:instrText xml:space="preserve"> PAGEREF _Toc165540706 \h </w:instrText>
        </w:r>
        <w:r>
          <w:fldChar w:fldCharType="separate"/>
        </w:r>
        <w:r>
          <w:t xml:space="preserve">48</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07" w:anchor="_Toc165540707" w:history="1">
        <w:r>
          <w:rPr>
            <w:rStyle w:val="1267"/>
            <w:lang w:eastAsia="ru-RU"/>
          </w:rPr>
          <w:t xml:space="preserve">1.6.2 </w:t>
        </w:r>
        <w:r>
          <w:rPr>
            <w:rStyle w:val="1267"/>
          </w:rPr>
          <w:t xml:space="preserve">Описание резервов и дефицитов тепловой мощности нетто по каждому источнику тепловой энергии, а в ценовых зонах теплоснабжения - по каждой системе </w:t>
        </w:r>
        <w:r>
          <w:rPr>
            <w:rStyle w:val="1267"/>
            <w:spacing w:val="-2"/>
          </w:rPr>
          <w:t xml:space="preserve">теплоснабжения</w:t>
        </w:r>
        <w:r>
          <w:tab/>
        </w:r>
        <w:r>
          <w:fldChar w:fldCharType="begin"/>
        </w:r>
        <w:r>
          <w:instrText xml:space="preserve"> PAGEREF _Toc165540707 \h </w:instrText>
        </w:r>
        <w:r>
          <w:fldChar w:fldCharType="separate"/>
        </w:r>
        <w:r>
          <w:t xml:space="preserve">48</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08" w:anchor="_Toc165540708" w:history="1">
        <w:r>
          <w:rPr>
            <w:rStyle w:val="1267"/>
            <w:lang w:eastAsia="ru-RU"/>
          </w:rPr>
          <w:t xml:space="preserve">1.6.3 </w:t>
        </w:r>
        <w:r>
          <w:rPr>
            <w:rStyle w:val="1267"/>
          </w:rPr>
          <w:t xml:space="preserve">Описание гидравлических режимов, обеспечивающих передачу тепловой энергии от источника тепловой энергии до самого удалённого потребителя и характеризующих существующие возможности (резервы и дефициты по пропускной способности)</w:t>
        </w:r>
        <w:r>
          <w:rPr>
            <w:rStyle w:val="1267"/>
            <w:spacing w:val="-7"/>
          </w:rPr>
          <w:t xml:space="preserve"> </w:t>
        </w:r>
        <w:r>
          <w:rPr>
            <w:rStyle w:val="1267"/>
          </w:rPr>
          <w:t xml:space="preserve">передачи</w:t>
        </w:r>
        <w:r>
          <w:rPr>
            <w:rStyle w:val="1267"/>
            <w:spacing w:val="-5"/>
          </w:rPr>
          <w:t xml:space="preserve"> </w:t>
        </w:r>
        <w:r>
          <w:rPr>
            <w:rStyle w:val="1267"/>
          </w:rPr>
          <w:t xml:space="preserve">тепловой</w:t>
        </w:r>
        <w:r>
          <w:rPr>
            <w:rStyle w:val="1267"/>
            <w:spacing w:val="-5"/>
          </w:rPr>
          <w:t xml:space="preserve"> </w:t>
        </w:r>
        <w:r>
          <w:rPr>
            <w:rStyle w:val="1267"/>
          </w:rPr>
          <w:t xml:space="preserve">энергии</w:t>
        </w:r>
        <w:r>
          <w:rPr>
            <w:rStyle w:val="1267"/>
            <w:spacing w:val="-4"/>
          </w:rPr>
          <w:t xml:space="preserve"> </w:t>
        </w:r>
        <w:r>
          <w:rPr>
            <w:rStyle w:val="1267"/>
          </w:rPr>
          <w:t xml:space="preserve">от</w:t>
        </w:r>
        <w:r>
          <w:rPr>
            <w:rStyle w:val="1267"/>
            <w:spacing w:val="-5"/>
          </w:rPr>
          <w:t xml:space="preserve"> </w:t>
        </w:r>
        <w:r>
          <w:rPr>
            <w:rStyle w:val="1267"/>
          </w:rPr>
          <w:t xml:space="preserve">источника</w:t>
        </w:r>
        <w:r>
          <w:rPr>
            <w:rStyle w:val="1267"/>
            <w:spacing w:val="-7"/>
          </w:rPr>
          <w:t xml:space="preserve"> </w:t>
        </w:r>
        <w:r>
          <w:rPr>
            <w:rStyle w:val="1267"/>
          </w:rPr>
          <w:t xml:space="preserve">тепловой</w:t>
        </w:r>
        <w:r>
          <w:rPr>
            <w:rStyle w:val="1267"/>
            <w:spacing w:val="-5"/>
          </w:rPr>
          <w:t xml:space="preserve"> </w:t>
        </w:r>
        <w:r>
          <w:rPr>
            <w:rStyle w:val="1267"/>
          </w:rPr>
          <w:t xml:space="preserve">энергии</w:t>
        </w:r>
        <w:r>
          <w:rPr>
            <w:rStyle w:val="1267"/>
            <w:spacing w:val="2"/>
          </w:rPr>
          <w:t xml:space="preserve"> </w:t>
        </w:r>
        <w:r>
          <w:rPr>
            <w:rStyle w:val="1267"/>
          </w:rPr>
          <w:t xml:space="preserve">к</w:t>
        </w:r>
        <w:r>
          <w:rPr>
            <w:rStyle w:val="1267"/>
            <w:spacing w:val="-5"/>
          </w:rPr>
          <w:t xml:space="preserve"> </w:t>
        </w:r>
        <w:r>
          <w:rPr>
            <w:rStyle w:val="1267"/>
            <w:spacing w:val="-2"/>
          </w:rPr>
          <w:t xml:space="preserve">потребителю</w:t>
        </w:r>
        <w:r>
          <w:tab/>
        </w:r>
        <w:r>
          <w:fldChar w:fldCharType="begin"/>
        </w:r>
        <w:r>
          <w:instrText xml:space="preserve"> PAGEREF _Toc165540708 \h </w:instrText>
        </w:r>
        <w:r>
          <w:fldChar w:fldCharType="separate"/>
        </w:r>
        <w:r>
          <w:t xml:space="preserve">48</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09" w:anchor="_Toc165540709" w:history="1">
        <w:r>
          <w:rPr>
            <w:rStyle w:val="1267"/>
            <w:lang w:eastAsia="ru-RU"/>
          </w:rPr>
          <w:t xml:space="preserve">1.6.4 </w:t>
        </w:r>
        <w:r>
          <w:rPr>
            <w:rStyle w:val="1267"/>
          </w:rPr>
          <w:t xml:space="preserve">Описание причины возникновения дефицитов тепловой мощности и последствий влияния дефицитов на качество теплоснабжения</w:t>
        </w:r>
        <w:r>
          <w:tab/>
        </w:r>
        <w:r>
          <w:fldChar w:fldCharType="begin"/>
        </w:r>
        <w:r>
          <w:instrText xml:space="preserve"> PAGEREF _Toc165540709 \h </w:instrText>
        </w:r>
        <w:r>
          <w:fldChar w:fldCharType="separate"/>
        </w:r>
        <w:r>
          <w:t xml:space="preserve">49</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10" w:anchor="_Toc165540710" w:history="1">
        <w:r>
          <w:rPr>
            <w:rStyle w:val="1267"/>
            <w:lang w:eastAsia="ru-RU"/>
          </w:rPr>
          <w:t xml:space="preserve">1.6.5 </w:t>
        </w:r>
        <w:r>
          <w:rPr>
            <w:rStyle w:val="1267"/>
          </w:rPr>
          <w:t xml:space="preserve">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w:t>
        </w:r>
        <w:r>
          <w:rPr>
            <w:rStyle w:val="1267"/>
            <w:spacing w:val="-2"/>
          </w:rPr>
          <w:t xml:space="preserve">мощности</w:t>
        </w:r>
        <w:r>
          <w:tab/>
        </w:r>
        <w:r>
          <w:fldChar w:fldCharType="begin"/>
        </w:r>
        <w:r>
          <w:instrText xml:space="preserve"> PAGEREF _Toc165540710 \h </w:instrText>
        </w:r>
        <w:r>
          <w:fldChar w:fldCharType="separate"/>
        </w:r>
        <w:r>
          <w:t xml:space="preserve">49</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11" w:anchor="_Toc165540711" w:history="1">
        <w:r>
          <w:rPr>
            <w:rStyle w:val="1267"/>
            <w:lang w:eastAsia="ru-RU"/>
          </w:rPr>
          <w:t xml:space="preserve">1.6.6 </w:t>
        </w:r>
        <w:r>
          <w:rPr>
            <w:rStyle w:val="1267"/>
          </w:rPr>
          <w:t xml:space="preserve">Описание изменений в балансах тепловой мощности и тепловой нагрузки каждой</w:t>
        </w:r>
        <w:r>
          <w:rPr>
            <w:rStyle w:val="1267"/>
          </w:rPr>
          <w:t xml:space="preserve"> системы теплоснабжения, в том числе с учётом реализации планов строительства, реконструкции, технического перевооружения и (или) модернизации источников тепловой энергии, введённых в эксплуатацию за период, предшествующий актуализации схемы теплоснабжения</w:t>
        </w:r>
        <w:r>
          <w:tab/>
        </w:r>
        <w:r>
          <w:fldChar w:fldCharType="begin"/>
        </w:r>
        <w:r>
          <w:instrText xml:space="preserve"> PAGEREF _Toc165540711 \h </w:instrText>
        </w:r>
        <w:r>
          <w:fldChar w:fldCharType="separate"/>
        </w:r>
        <w:r>
          <w:t xml:space="preserve">49</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12" w:anchor="_Toc165540712" w:history="1">
        <w:r>
          <w:rPr>
            <w:rStyle w:val="1267"/>
            <w:lang w:eastAsia="ru-RU"/>
          </w:rPr>
          <w:t xml:space="preserve">1.7 </w:t>
        </w:r>
        <w:r>
          <w:rPr>
            <w:rStyle w:val="1267"/>
          </w:rPr>
          <w:t xml:space="preserve">Балансы</w:t>
        </w:r>
        <w:r>
          <w:rPr>
            <w:rStyle w:val="1267"/>
            <w:spacing w:val="-2"/>
          </w:rPr>
          <w:t xml:space="preserve"> теплоносителя</w:t>
        </w:r>
        <w:r>
          <w:tab/>
        </w:r>
        <w:r>
          <w:fldChar w:fldCharType="begin"/>
        </w:r>
        <w:r>
          <w:instrText xml:space="preserve"> PAGEREF _Toc165540712 \h </w:instrText>
        </w:r>
        <w:r>
          <w:fldChar w:fldCharType="separate"/>
        </w:r>
        <w:r>
          <w:t xml:space="preserve">49</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13" w:anchor="_Toc165540713" w:history="1">
        <w:r>
          <w:rPr>
            <w:rStyle w:val="1267"/>
            <w:lang w:eastAsia="ru-RU"/>
          </w:rPr>
          <w:t xml:space="preserve">1.7.1 </w:t>
        </w:r>
        <w:r>
          <w:rPr>
            <w:rStyle w:val="1267"/>
          </w:rPr>
          <w:t xml:space="preserve">Описание балансов производительности водоподготовительных установок теплоносителя для тепловых сетей и максимального потребл</w:t>
        </w:r>
        <w:r>
          <w:rPr>
            <w:rStyle w:val="1267"/>
          </w:rPr>
          <w:t xml:space="preserve">е</w:t>
        </w:r>
        <w:r>
          <w:rPr>
            <w:rStyle w:val="1267"/>
          </w:rPr>
          <w:t xml:space="preserve">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tab/>
        </w:r>
        <w:r>
          <w:fldChar w:fldCharType="begin"/>
        </w:r>
        <w:r>
          <w:instrText xml:space="preserve"> PAGEREF _Toc165540713 \h </w:instrText>
        </w:r>
        <w:r>
          <w:fldChar w:fldCharType="separate"/>
        </w:r>
        <w:r>
          <w:t xml:space="preserve">49</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14" w:anchor="_Toc165540714" w:history="1">
        <w:r>
          <w:rPr>
            <w:rStyle w:val="1267"/>
            <w:lang w:eastAsia="ru-RU"/>
          </w:rPr>
          <w:t xml:space="preserve">1.7.2 </w:t>
        </w:r>
        <w:r>
          <w:rPr>
            <w:rStyle w:val="1267"/>
          </w:rPr>
          <w:t xml:space="preserve">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tab/>
        </w:r>
        <w:r>
          <w:fldChar w:fldCharType="begin"/>
        </w:r>
        <w:r>
          <w:instrText xml:space="preserve"> PAGEREF _Toc165540714 \h </w:instrText>
        </w:r>
        <w:r>
          <w:fldChar w:fldCharType="separate"/>
        </w:r>
        <w:r>
          <w:t xml:space="preserve">51</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15" w:anchor="_Toc165540715" w:history="1">
        <w:r>
          <w:rPr>
            <w:rStyle w:val="1267"/>
            <w:lang w:eastAsia="ru-RU"/>
          </w:rPr>
          <w:t xml:space="preserve">1.8. </w:t>
        </w:r>
        <w:r>
          <w:rPr>
            <w:rStyle w:val="1267"/>
          </w:rPr>
          <w:t xml:space="preserve">Топливные бал</w:t>
        </w:r>
        <w:r>
          <w:rPr>
            <w:rStyle w:val="1267"/>
          </w:rPr>
          <w:t xml:space="preserve">а</w:t>
        </w:r>
        <w:r>
          <w:rPr>
            <w:rStyle w:val="1267"/>
          </w:rPr>
          <w:t xml:space="preserve">н</w:t>
        </w:r>
        <w:r>
          <w:rPr>
            <w:rStyle w:val="1267"/>
          </w:rPr>
          <w:t xml:space="preserve">сы и</w:t>
        </w:r>
        <w:r>
          <w:rPr>
            <w:rStyle w:val="1267"/>
          </w:rPr>
          <w:t xml:space="preserve">с</w:t>
        </w:r>
        <w:r>
          <w:rPr>
            <w:rStyle w:val="1267"/>
          </w:rPr>
          <w:t xml:space="preserve">точников тепловой энергии и система обеспечения топливом</w:t>
        </w:r>
        <w:r>
          <w:tab/>
        </w:r>
        <w:r>
          <w:fldChar w:fldCharType="begin"/>
        </w:r>
        <w:r>
          <w:instrText xml:space="preserve"> PAGEREF _Toc165540715 \h </w:instrText>
        </w:r>
        <w:r>
          <w:fldChar w:fldCharType="separate"/>
        </w:r>
        <w:r>
          <w:t xml:space="preserve">52</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15" w:anchor="_Toc165540715" w:history="1">
        <w:r>
          <w:rPr>
            <w:rStyle w:val="1267"/>
            <w:lang w:eastAsia="ru-RU"/>
          </w:rPr>
          <w:t xml:space="preserve">1.8.1 </w:t>
        </w:r>
        <w:r>
          <w:rPr>
            <w:rStyle w:val="1267"/>
          </w:rPr>
          <w:t xml:space="preserve">Описание</w:t>
        </w:r>
        <w:r>
          <w:rPr>
            <w:rStyle w:val="1267"/>
            <w:spacing w:val="-7"/>
          </w:rPr>
          <w:t xml:space="preserve"> </w:t>
        </w:r>
        <w:r>
          <w:rPr>
            <w:rStyle w:val="1267"/>
          </w:rPr>
          <w:t xml:space="preserve">видов и количества используемого основного топлива для каждого источника тепловой энергии</w:t>
        </w:r>
        <w:r>
          <w:tab/>
        </w:r>
        <w:r>
          <w:fldChar w:fldCharType="begin"/>
        </w:r>
        <w:r>
          <w:instrText xml:space="preserve"> PAGEREF _Toc165540715 \h </w:instrText>
        </w:r>
        <w:r>
          <w:fldChar w:fldCharType="separate"/>
        </w:r>
        <w:r>
          <w:t xml:space="preserve">52</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15" w:anchor="_Toc165540715" w:history="1">
        <w:r>
          <w:rPr>
            <w:rStyle w:val="1267"/>
            <w:lang w:eastAsia="ru-RU"/>
          </w:rPr>
          <w:t xml:space="preserve">1.8.2 </w:t>
        </w:r>
        <w:r>
          <w:rPr>
            <w:rStyle w:val="1267"/>
          </w:rPr>
          <w:t xml:space="preserve">Описание</w:t>
        </w:r>
        <w:r>
          <w:rPr>
            <w:rStyle w:val="1267"/>
            <w:spacing w:val="-7"/>
          </w:rPr>
          <w:t xml:space="preserve"> </w:t>
        </w:r>
        <w:r>
          <w:rPr>
            <w:rStyle w:val="1267"/>
          </w:rPr>
          <w:t xml:space="preserve">видов резервного и аварийного топлива и возможности их обеспечения в соответствии с нормативными требованиями</w:t>
        </w:r>
        <w:r>
          <w:tab/>
        </w:r>
        <w:r>
          <w:fldChar w:fldCharType="begin"/>
        </w:r>
        <w:r>
          <w:instrText xml:space="preserve"> PAGEREF _Toc165540715 \h </w:instrText>
        </w:r>
        <w:r>
          <w:fldChar w:fldCharType="separate"/>
        </w:r>
        <w:r>
          <w:t xml:space="preserve">52</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15" w:anchor="_Toc165540715" w:history="1">
        <w:r>
          <w:rPr>
            <w:rStyle w:val="1267"/>
            <w:lang w:eastAsia="ru-RU"/>
          </w:rPr>
          <w:t xml:space="preserve">1.8.3 </w:t>
        </w:r>
        <w:r>
          <w:rPr>
            <w:rStyle w:val="1267"/>
          </w:rPr>
          <w:t xml:space="preserve">Описание</w:t>
        </w:r>
        <w:r>
          <w:rPr>
            <w:rStyle w:val="1267"/>
            <w:spacing w:val="-7"/>
          </w:rPr>
          <w:t xml:space="preserve"> </w:t>
        </w:r>
        <w:r>
          <w:t xml:space="preserve">особенностей характристик видов топлива в зависимости от мест поставки</w:t>
        </w:r>
        <w:r>
          <w:tab/>
        </w:r>
        <w:r>
          <w:fldChar w:fldCharType="begin"/>
        </w:r>
        <w:r>
          <w:instrText xml:space="preserve"> PAGEREF _Toc165540715 \h </w:instrText>
        </w:r>
        <w:r>
          <w:fldChar w:fldCharType="separate"/>
        </w:r>
        <w:r>
          <w:t xml:space="preserve">52</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16" w:anchor="_Toc165540716" w:history="1">
        <w:r>
          <w:rPr>
            <w:rStyle w:val="1267"/>
            <w:lang w:eastAsia="ru-RU"/>
          </w:rPr>
          <w:t xml:space="preserve">1.8.4 </w:t>
        </w:r>
        <w:r>
          <w:rPr>
            <w:rStyle w:val="1267"/>
          </w:rPr>
          <w:t xml:space="preserve">Описание</w:t>
        </w:r>
        <w:r>
          <w:rPr>
            <w:rStyle w:val="1267"/>
            <w:spacing w:val="-6"/>
          </w:rPr>
          <w:t xml:space="preserve"> </w:t>
        </w:r>
        <w:r>
          <w:rPr>
            <w:rStyle w:val="1267"/>
          </w:rPr>
          <w:t xml:space="preserve">использования</w:t>
        </w:r>
        <w:r>
          <w:rPr>
            <w:rStyle w:val="1267"/>
            <w:spacing w:val="-2"/>
          </w:rPr>
          <w:t xml:space="preserve"> </w:t>
        </w:r>
        <w:r>
          <w:rPr>
            <w:rStyle w:val="1267"/>
          </w:rPr>
          <w:t xml:space="preserve">местных</w:t>
        </w:r>
        <w:r>
          <w:rPr>
            <w:rStyle w:val="1267"/>
            <w:spacing w:val="-2"/>
          </w:rPr>
          <w:t xml:space="preserve"> </w:t>
        </w:r>
        <w:r>
          <w:rPr>
            <w:rStyle w:val="1267"/>
          </w:rPr>
          <w:t xml:space="preserve">видов</w:t>
        </w:r>
        <w:r>
          <w:rPr>
            <w:rStyle w:val="1267"/>
            <w:spacing w:val="-5"/>
          </w:rPr>
          <w:t xml:space="preserve"> </w:t>
        </w:r>
        <w:r>
          <w:rPr>
            <w:rStyle w:val="1267"/>
            <w:spacing w:val="-2"/>
          </w:rPr>
          <w:t xml:space="preserve">топлива</w:t>
        </w:r>
        <w:r>
          <w:tab/>
        </w:r>
        <w:r>
          <w:fldChar w:fldCharType="begin"/>
        </w:r>
        <w:r>
          <w:instrText xml:space="preserve"> PAGEREF _Toc165540716 \h </w:instrText>
        </w:r>
        <w:r>
          <w:fldChar w:fldCharType="separate"/>
        </w:r>
        <w:r>
          <w:t xml:space="preserve">53</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17" w:anchor="_Toc165540717" w:history="1">
        <w:r>
          <w:rPr>
            <w:rStyle w:val="1267"/>
            <w:lang w:eastAsia="ru-RU"/>
          </w:rPr>
          <w:t xml:space="preserve">1.8.5 </w:t>
        </w:r>
        <w:r>
          <w:rPr>
            <w:rStyle w:val="1267"/>
          </w:rPr>
          <w:t xml:space="preserve">Описание видов топлива (в случае, если топливом является уголь, - вид ископаемого</w:t>
        </w:r>
        <w:r>
          <w:rPr>
            <w:rStyle w:val="1267"/>
            <w:spacing w:val="5"/>
          </w:rPr>
          <w:t xml:space="preserve"> </w:t>
        </w:r>
        <w:r>
          <w:rPr>
            <w:rStyle w:val="1267"/>
          </w:rPr>
          <w:t xml:space="preserve">угля</w:t>
        </w:r>
        <w:r>
          <w:rPr>
            <w:rStyle w:val="1267"/>
            <w:spacing w:val="6"/>
          </w:rPr>
          <w:t xml:space="preserve"> </w:t>
        </w:r>
        <w:r>
          <w:rPr>
            <w:rStyle w:val="1267"/>
          </w:rPr>
          <w:t xml:space="preserve">в</w:t>
        </w:r>
        <w:r>
          <w:rPr>
            <w:rStyle w:val="1267"/>
            <w:spacing w:val="10"/>
          </w:rPr>
          <w:t xml:space="preserve"> </w:t>
        </w:r>
        <w:r>
          <w:rPr>
            <w:rStyle w:val="1267"/>
          </w:rPr>
          <w:t xml:space="preserve">соответствии</w:t>
        </w:r>
        <w:r>
          <w:rPr>
            <w:rStyle w:val="1267"/>
            <w:spacing w:val="8"/>
          </w:rPr>
          <w:t xml:space="preserve"> </w:t>
        </w:r>
        <w:r>
          <w:rPr>
            <w:rStyle w:val="1267"/>
          </w:rPr>
          <w:t xml:space="preserve">с</w:t>
        </w:r>
        <w:r>
          <w:rPr>
            <w:rStyle w:val="1267"/>
            <w:spacing w:val="6"/>
          </w:rPr>
          <w:t xml:space="preserve"> </w:t>
        </w:r>
        <w:r>
          <w:rPr>
            <w:rStyle w:val="1267"/>
          </w:rPr>
          <w:t xml:space="preserve">Межгосударственным</w:t>
        </w:r>
        <w:r>
          <w:rPr>
            <w:rStyle w:val="1267"/>
            <w:spacing w:val="8"/>
          </w:rPr>
          <w:t xml:space="preserve"> </w:t>
        </w:r>
        <w:r>
          <w:rPr>
            <w:rStyle w:val="1267"/>
          </w:rPr>
          <w:t xml:space="preserve">стандартом</w:t>
        </w:r>
        <w:r>
          <w:rPr>
            <w:rStyle w:val="1267"/>
            <w:spacing w:val="7"/>
          </w:rPr>
          <w:t xml:space="preserve"> </w:t>
        </w:r>
        <w:r>
          <w:rPr>
            <w:rStyle w:val="1267"/>
          </w:rPr>
          <w:t xml:space="preserve">ГОСТ</w:t>
        </w:r>
        <w:r>
          <w:rPr>
            <w:rStyle w:val="1267"/>
            <w:spacing w:val="8"/>
          </w:rPr>
          <w:t xml:space="preserve"> </w:t>
        </w:r>
        <w:r>
          <w:rPr>
            <w:rStyle w:val="1267"/>
          </w:rPr>
          <w:t xml:space="preserve">25543-</w:t>
        </w:r>
        <w:r>
          <w:rPr>
            <w:rStyle w:val="1267"/>
            <w:spacing w:val="-4"/>
          </w:rPr>
          <w:t xml:space="preserve">2013</w:t>
        </w:r>
        <w:r>
          <w:tab/>
        </w:r>
        <w:r>
          <w:fldChar w:fldCharType="begin"/>
        </w:r>
        <w:r>
          <w:instrText xml:space="preserve"> PAGEREF _Toc165540717 \h </w:instrText>
        </w:r>
        <w:r>
          <w:fldChar w:fldCharType="separate"/>
        </w:r>
        <w:r>
          <w:t xml:space="preserve">53</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18" w:anchor="_Toc165540718" w:history="1">
        <w:r>
          <w:rPr>
            <w:rStyle w:val="1267"/>
            <w:lang w:eastAsia="ru-RU"/>
          </w:rPr>
          <w:t xml:space="preserve">1.8.6 </w:t>
        </w:r>
        <w:r>
          <w:rPr>
            <w:rStyle w:val="1267"/>
          </w:rPr>
          <w:t xml:space="preserve">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w:t>
        </w:r>
        <w:r>
          <w:tab/>
        </w:r>
        <w:r>
          <w:fldChar w:fldCharType="begin"/>
        </w:r>
        <w:r>
          <w:instrText xml:space="preserve"> PAGEREF _Toc165540718 \h </w:instrText>
        </w:r>
        <w:r>
          <w:fldChar w:fldCharType="separate"/>
        </w:r>
        <w:r>
          <w:t xml:space="preserve">55</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left" w:pos="1777" w:leader="none"/>
          <w:tab w:val="right" w:pos="9860" w:leader="dot"/>
        </w:tabs>
        <w:rPr>
          <w:rFonts w:asciiTheme="minorHAnsi" w:hAnsiTheme="minorHAnsi" w:eastAsiaTheme="minorEastAsia"/>
          <w:sz w:val="22"/>
          <w:lang w:eastAsia="ru-RU"/>
        </w:rPr>
      </w:pPr>
      <w:r/>
      <w:hyperlink w:tooltip="#_Toc165540719" w:anchor="_Toc165540719" w:history="1">
        <w:r>
          <w:rPr>
            <w:rStyle w:val="1267"/>
            <w:lang w:eastAsia="ru-RU"/>
          </w:rPr>
          <w:t xml:space="preserve">1.8.7 </w:t>
        </w:r>
        <w:r>
          <w:rPr>
            <w:rStyle w:val="1267"/>
            <w:spacing w:val="-2"/>
          </w:rPr>
          <w:t xml:space="preserve">Описание</w:t>
        </w:r>
        <w:r>
          <w:rPr>
            <w:rFonts w:asciiTheme="minorHAnsi" w:hAnsiTheme="minorHAnsi" w:eastAsiaTheme="minorEastAsia"/>
            <w:sz w:val="22"/>
            <w:lang w:eastAsia="ru-RU"/>
          </w:rPr>
          <w:tab/>
        </w:r>
        <w:r>
          <w:rPr>
            <w:rStyle w:val="1267"/>
            <w:spacing w:val="-2"/>
          </w:rPr>
          <w:t xml:space="preserve">приоритетного</w:t>
        </w:r>
        <w:r>
          <w:rPr>
            <w:rStyle w:val="1267"/>
          </w:rPr>
          <w:t xml:space="preserve"> </w:t>
        </w:r>
        <w:r>
          <w:rPr>
            <w:rStyle w:val="1267"/>
            <w:spacing w:val="-2"/>
          </w:rPr>
          <w:t xml:space="preserve">направления</w:t>
        </w:r>
        <w:r>
          <w:rPr>
            <w:rStyle w:val="1267"/>
          </w:rPr>
          <w:t xml:space="preserve"> </w:t>
        </w:r>
        <w:r>
          <w:rPr>
            <w:rStyle w:val="1267"/>
            <w:spacing w:val="-2"/>
          </w:rPr>
          <w:t xml:space="preserve">развития</w:t>
        </w:r>
        <w:r>
          <w:rPr>
            <w:rStyle w:val="1267"/>
          </w:rPr>
          <w:t xml:space="preserve"> </w:t>
        </w:r>
        <w:r>
          <w:rPr>
            <w:rStyle w:val="1267"/>
            <w:spacing w:val="-2"/>
          </w:rPr>
          <w:t xml:space="preserve">топливного</w:t>
        </w:r>
        <w:r>
          <w:rPr>
            <w:rStyle w:val="1267"/>
          </w:rPr>
          <w:t xml:space="preserve"> </w:t>
        </w:r>
        <w:r>
          <w:rPr>
            <w:rStyle w:val="1267"/>
            <w:spacing w:val="-2"/>
          </w:rPr>
          <w:t xml:space="preserve">баланса</w:t>
        </w:r>
        <w:r>
          <w:tab/>
        </w:r>
        <w:r>
          <w:fldChar w:fldCharType="begin"/>
        </w:r>
        <w:r>
          <w:instrText xml:space="preserve"> PAGEREF _Toc165540719 \h </w:instrText>
        </w:r>
        <w:r>
          <w:fldChar w:fldCharType="separate"/>
        </w:r>
        <w:r>
          <w:t xml:space="preserve">55</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20" w:anchor="_Toc165540720" w:history="1">
        <w:r>
          <w:rPr>
            <w:rStyle w:val="1267"/>
            <w:lang w:eastAsia="ru-RU"/>
          </w:rPr>
          <w:t xml:space="preserve">1.8.8 </w:t>
        </w:r>
        <w:r>
          <w:rPr>
            <w:rStyle w:val="1267"/>
          </w:rPr>
          <w:t xml:space="preserve">Описание изменений в топливных балансах источников тепловой энергии для </w:t>
        </w:r>
        <w:r>
          <w:rPr>
            <w:rStyle w:val="1267"/>
          </w:rPr>
          <w:t xml:space="preserve">каждой системы теплоснабжения, в том числе с учётом реализации планов строительства, реконструкции и технического перевооружения источников тепловой энергии, ввод в эксплуатацию которых осуществлён в период, предшествующий актуализации схемы теплоснабжения</w:t>
        </w:r>
        <w:r>
          <w:tab/>
        </w:r>
        <w:r>
          <w:fldChar w:fldCharType="begin"/>
        </w:r>
        <w:r>
          <w:instrText xml:space="preserve"> PAGEREF _Toc165540720 \h </w:instrText>
        </w:r>
        <w:r>
          <w:fldChar w:fldCharType="separate"/>
        </w:r>
        <w:r>
          <w:t xml:space="preserve">55</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21" w:anchor="_Toc165540721" w:history="1">
        <w:r>
          <w:rPr>
            <w:rStyle w:val="1267"/>
            <w:lang w:eastAsia="ru-RU"/>
          </w:rPr>
          <w:t xml:space="preserve">1.9 </w:t>
        </w:r>
        <w:r>
          <w:rPr>
            <w:rStyle w:val="1267"/>
          </w:rPr>
          <w:t xml:space="preserve">Надёжность</w:t>
        </w:r>
        <w:r>
          <w:rPr>
            <w:rStyle w:val="1267"/>
            <w:spacing w:val="-3"/>
          </w:rPr>
          <w:t xml:space="preserve"> </w:t>
        </w:r>
        <w:r>
          <w:rPr>
            <w:rStyle w:val="1267"/>
            <w:spacing w:val="-2"/>
          </w:rPr>
          <w:t xml:space="preserve">теплоснабжения</w:t>
        </w:r>
        <w:r>
          <w:tab/>
        </w:r>
        <w:r>
          <w:fldChar w:fldCharType="begin"/>
        </w:r>
        <w:r>
          <w:instrText xml:space="preserve"> PAGEREF _Toc165540721 \h </w:instrText>
        </w:r>
        <w:r>
          <w:fldChar w:fldCharType="separate"/>
        </w:r>
        <w:r>
          <w:t xml:space="preserve">56</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22" w:anchor="_Toc165540722" w:history="1">
        <w:r>
          <w:rPr>
            <w:rStyle w:val="1267"/>
            <w:lang w:eastAsia="ru-RU"/>
          </w:rPr>
          <w:t xml:space="preserve">1.9.1 </w:t>
        </w:r>
        <w:r>
          <w:rPr>
            <w:rStyle w:val="1267"/>
          </w:rPr>
          <w:t xml:space="preserve">Описание и значения показателей, определяемых в соответствии с методическими указаниями по разработке схем теплоснабжения, и иные сведения</w:t>
        </w:r>
        <w:r>
          <w:tab/>
        </w:r>
        <w:r>
          <w:fldChar w:fldCharType="begin"/>
        </w:r>
        <w:r>
          <w:instrText xml:space="preserve"> PAGEREF _Toc165540722 \h </w:instrText>
        </w:r>
        <w:r>
          <w:fldChar w:fldCharType="separate"/>
        </w:r>
        <w:r>
          <w:t xml:space="preserve">56</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23" w:anchor="_Toc165540723" w:history="1">
        <w:r>
          <w:rPr>
            <w:rStyle w:val="1267"/>
            <w:lang w:eastAsia="ru-RU"/>
          </w:rPr>
          <w:t xml:space="preserve">1.9.2 </w:t>
        </w:r>
        <w:r>
          <w:rPr>
            <w:rStyle w:val="1267"/>
          </w:rPr>
          <w:t xml:space="preserve">Поток</w:t>
        </w:r>
        <w:r>
          <w:rPr>
            <w:rStyle w:val="1267"/>
            <w:spacing w:val="-5"/>
          </w:rPr>
          <w:t xml:space="preserve"> </w:t>
        </w:r>
        <w:r>
          <w:rPr>
            <w:rStyle w:val="1267"/>
          </w:rPr>
          <w:t xml:space="preserve">отказов</w:t>
        </w:r>
        <w:r>
          <w:rPr>
            <w:rStyle w:val="1267"/>
            <w:spacing w:val="-2"/>
          </w:rPr>
          <w:t xml:space="preserve"> </w:t>
        </w:r>
        <w:r>
          <w:rPr>
            <w:rStyle w:val="1267"/>
          </w:rPr>
          <w:t xml:space="preserve">(частота</w:t>
        </w:r>
        <w:r>
          <w:rPr>
            <w:rStyle w:val="1267"/>
            <w:spacing w:val="-2"/>
          </w:rPr>
          <w:t xml:space="preserve"> </w:t>
        </w:r>
        <w:r>
          <w:rPr>
            <w:rStyle w:val="1267"/>
          </w:rPr>
          <w:t xml:space="preserve">отказов)</w:t>
        </w:r>
        <w:r>
          <w:rPr>
            <w:rStyle w:val="1267"/>
            <w:spacing w:val="-4"/>
          </w:rPr>
          <w:t xml:space="preserve"> </w:t>
        </w:r>
        <w:r>
          <w:rPr>
            <w:rStyle w:val="1267"/>
          </w:rPr>
          <w:t xml:space="preserve">участков</w:t>
        </w:r>
        <w:r>
          <w:rPr>
            <w:rStyle w:val="1267"/>
            <w:spacing w:val="-4"/>
          </w:rPr>
          <w:t xml:space="preserve"> </w:t>
        </w:r>
        <w:r>
          <w:rPr>
            <w:rStyle w:val="1267"/>
          </w:rPr>
          <w:t xml:space="preserve">тепловых</w:t>
        </w:r>
        <w:r>
          <w:rPr>
            <w:rStyle w:val="1267"/>
            <w:spacing w:val="-3"/>
          </w:rPr>
          <w:t xml:space="preserve"> </w:t>
        </w:r>
        <w:r>
          <w:rPr>
            <w:rStyle w:val="1267"/>
            <w:spacing w:val="-2"/>
          </w:rPr>
          <w:t xml:space="preserve">сетей</w:t>
        </w:r>
        <w:r>
          <w:tab/>
        </w:r>
        <w:r>
          <w:fldChar w:fldCharType="begin"/>
        </w:r>
        <w:r>
          <w:instrText xml:space="preserve"> PAGEREF _Toc165540723 \h </w:instrText>
        </w:r>
        <w:r>
          <w:fldChar w:fldCharType="separate"/>
        </w:r>
        <w:r>
          <w:t xml:space="preserve">56</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24" w:anchor="_Toc165540724" w:history="1">
        <w:r>
          <w:rPr>
            <w:rStyle w:val="1267"/>
            <w:lang w:eastAsia="ru-RU"/>
          </w:rPr>
          <w:t xml:space="preserve">1.9.3 </w:t>
        </w:r>
        <w:r>
          <w:rPr>
            <w:rStyle w:val="1267"/>
          </w:rPr>
          <w:t xml:space="preserve">Частота</w:t>
        </w:r>
        <w:r>
          <w:rPr>
            <w:rStyle w:val="1267"/>
            <w:spacing w:val="-4"/>
          </w:rPr>
          <w:t xml:space="preserve"> </w:t>
        </w:r>
        <w:r>
          <w:rPr>
            <w:rStyle w:val="1267"/>
          </w:rPr>
          <w:t xml:space="preserve">отключений</w:t>
        </w:r>
        <w:r>
          <w:rPr>
            <w:rStyle w:val="1267"/>
            <w:spacing w:val="-4"/>
          </w:rPr>
          <w:t xml:space="preserve"> </w:t>
        </w:r>
        <w:r>
          <w:rPr>
            <w:rStyle w:val="1267"/>
            <w:spacing w:val="-2"/>
          </w:rPr>
          <w:t xml:space="preserve">потребителей</w:t>
        </w:r>
        <w:r>
          <w:tab/>
        </w:r>
        <w:r>
          <w:fldChar w:fldCharType="begin"/>
        </w:r>
        <w:r>
          <w:instrText xml:space="preserve"> PAGEREF _Toc165540724 \h </w:instrText>
        </w:r>
        <w:r>
          <w:fldChar w:fldCharType="separate"/>
        </w:r>
        <w:r>
          <w:t xml:space="preserve">57</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25" w:anchor="_Toc165540725" w:history="1">
        <w:r>
          <w:rPr>
            <w:rStyle w:val="1267"/>
            <w:lang w:eastAsia="ru-RU"/>
          </w:rPr>
          <w:t xml:space="preserve">1.9.4 </w:t>
        </w:r>
        <w:r>
          <w:rPr>
            <w:rStyle w:val="1267"/>
          </w:rPr>
          <w:t xml:space="preserve">Поток</w:t>
        </w:r>
        <w:r>
          <w:rPr>
            <w:rStyle w:val="1267"/>
            <w:spacing w:val="40"/>
          </w:rPr>
          <w:t xml:space="preserve"> </w:t>
        </w:r>
        <w:r>
          <w:rPr>
            <w:rStyle w:val="1267"/>
          </w:rPr>
          <w:t xml:space="preserve">(частота)</w:t>
        </w:r>
        <w:r>
          <w:rPr>
            <w:rStyle w:val="1267"/>
            <w:spacing w:val="40"/>
          </w:rPr>
          <w:t xml:space="preserve"> </w:t>
        </w:r>
        <w:r>
          <w:rPr>
            <w:rStyle w:val="1267"/>
          </w:rPr>
          <w:t xml:space="preserve">и</w:t>
        </w:r>
        <w:r>
          <w:rPr>
            <w:rStyle w:val="1267"/>
            <w:spacing w:val="40"/>
          </w:rPr>
          <w:t xml:space="preserve"> </w:t>
        </w:r>
        <w:r>
          <w:rPr>
            <w:rStyle w:val="1267"/>
          </w:rPr>
          <w:t xml:space="preserve">время</w:t>
        </w:r>
        <w:r>
          <w:rPr>
            <w:rStyle w:val="1267"/>
            <w:spacing w:val="40"/>
          </w:rPr>
          <w:t xml:space="preserve"> </w:t>
        </w:r>
        <w:r>
          <w:rPr>
            <w:rStyle w:val="1267"/>
          </w:rPr>
          <w:t xml:space="preserve">восстановления</w:t>
        </w:r>
        <w:r>
          <w:rPr>
            <w:rStyle w:val="1267"/>
            <w:spacing w:val="40"/>
          </w:rPr>
          <w:t xml:space="preserve"> </w:t>
        </w:r>
        <w:r>
          <w:rPr>
            <w:rStyle w:val="1267"/>
          </w:rPr>
          <w:t xml:space="preserve">теплоснабжения</w:t>
        </w:r>
        <w:r>
          <w:rPr>
            <w:rStyle w:val="1267"/>
            <w:spacing w:val="80"/>
          </w:rPr>
          <w:t xml:space="preserve"> </w:t>
        </w:r>
        <w:r>
          <w:rPr>
            <w:rStyle w:val="1267"/>
          </w:rPr>
          <w:t xml:space="preserve">потребителей</w:t>
        </w:r>
        <w:r>
          <w:rPr>
            <w:rStyle w:val="1267"/>
            <w:spacing w:val="40"/>
          </w:rPr>
          <w:t xml:space="preserve"> </w:t>
        </w:r>
        <w:r>
          <w:rPr>
            <w:rStyle w:val="1267"/>
          </w:rPr>
          <w:t xml:space="preserve">после отключений</w:t>
        </w:r>
        <w:r>
          <w:tab/>
        </w:r>
        <w:r>
          <w:fldChar w:fldCharType="begin"/>
        </w:r>
        <w:r>
          <w:instrText xml:space="preserve"> PAGEREF _Toc165540725 \h </w:instrText>
        </w:r>
        <w:r>
          <w:fldChar w:fldCharType="separate"/>
        </w:r>
        <w:r>
          <w:t xml:space="preserve">57</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26" w:anchor="_Toc165540726" w:history="1">
        <w:r>
          <w:rPr>
            <w:rStyle w:val="1267"/>
            <w:lang w:eastAsia="ru-RU"/>
          </w:rPr>
          <w:t xml:space="preserve">1.9.6 </w:t>
        </w:r>
        <w:r>
          <w:rPr>
            <w:rStyle w:val="1267"/>
          </w:rPr>
          <w:t xml:space="preserve">Результаты анализа аварийных ситуаций при теплоснабжении, расследование</w:t>
        </w:r>
        <w:r>
          <w:rPr>
            <w:rStyle w:val="1267"/>
            <w:spacing w:val="-7"/>
          </w:rPr>
          <w:t xml:space="preserve"> </w:t>
        </w:r>
        <w:r>
          <w:rPr>
            <w:rStyle w:val="1267"/>
          </w:rPr>
          <w:t xml:space="preserve">причин</w:t>
        </w:r>
        <w:r>
          <w:rPr>
            <w:rStyle w:val="1267"/>
            <w:spacing w:val="-6"/>
          </w:rPr>
          <w:t xml:space="preserve"> </w:t>
        </w:r>
        <w:r>
          <w:rPr>
            <w:rStyle w:val="1267"/>
          </w:rPr>
          <w:t xml:space="preserve">которых</w:t>
        </w:r>
        <w:r>
          <w:rPr>
            <w:rStyle w:val="1267"/>
            <w:spacing w:val="-6"/>
          </w:rPr>
          <w:t xml:space="preserve"> </w:t>
        </w:r>
        <w:r>
          <w:rPr>
            <w:rStyle w:val="1267"/>
          </w:rPr>
          <w:t xml:space="preserve">осуществляется</w:t>
        </w:r>
        <w:r>
          <w:rPr>
            <w:rStyle w:val="1267"/>
            <w:spacing w:val="-6"/>
          </w:rPr>
          <w:t xml:space="preserve"> </w:t>
        </w:r>
        <w:r>
          <w:rPr>
            <w:rStyle w:val="1267"/>
          </w:rPr>
          <w:t xml:space="preserve">федеральным</w:t>
        </w:r>
        <w:r>
          <w:rPr>
            <w:rStyle w:val="1267"/>
            <w:spacing w:val="-6"/>
          </w:rPr>
          <w:t xml:space="preserve"> </w:t>
        </w:r>
        <w:r>
          <w:rPr>
            <w:rStyle w:val="1267"/>
          </w:rPr>
          <w:t xml:space="preserve">органом</w:t>
        </w:r>
        <w:r>
          <w:rPr>
            <w:rStyle w:val="1267"/>
            <w:spacing w:val="-6"/>
          </w:rPr>
          <w:t xml:space="preserve"> </w:t>
        </w:r>
        <w:r>
          <w:rPr>
            <w:rStyle w:val="1267"/>
          </w:rPr>
          <w:t xml:space="preserve">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w:t>
        </w:r>
        <w:r>
          <w:rPr>
            <w:rStyle w:val="1267"/>
          </w:rPr>
          <w:t xml:space="preserve">ждёнными постановлением Правительства Российской Федерации от 17 октября 2015 г. №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tab/>
        </w:r>
        <w:r>
          <w:fldChar w:fldCharType="begin"/>
        </w:r>
        <w:r>
          <w:instrText xml:space="preserve"> PAGEREF _Toc165540726 \h </w:instrText>
        </w:r>
        <w:r>
          <w:fldChar w:fldCharType="separate"/>
        </w:r>
        <w:r>
          <w:t xml:space="preserve">57</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27" w:anchor="_Toc165540727" w:history="1">
        <w:r>
          <w:rPr>
            <w:rStyle w:val="1267"/>
            <w:lang w:eastAsia="ru-RU"/>
          </w:rPr>
          <w:t xml:space="preserve">1.9.7 </w:t>
        </w:r>
        <w:r>
          <w:rPr>
            <w:rStyle w:val="1267"/>
          </w:rPr>
          <w:t xml:space="preserve">Результаты</w:t>
        </w:r>
        <w:r>
          <w:rPr>
            <w:rStyle w:val="1267"/>
            <w:spacing w:val="-15"/>
          </w:rPr>
          <w:t xml:space="preserve"> </w:t>
        </w:r>
        <w:r>
          <w:rPr>
            <w:rStyle w:val="1267"/>
          </w:rPr>
          <w:t xml:space="preserve">анализа</w:t>
        </w:r>
        <w:r>
          <w:rPr>
            <w:rStyle w:val="1267"/>
            <w:spacing w:val="-14"/>
          </w:rPr>
          <w:t xml:space="preserve"> </w:t>
        </w:r>
        <w:r>
          <w:rPr>
            <w:rStyle w:val="1267"/>
          </w:rPr>
          <w:t xml:space="preserve">времени</w:t>
        </w:r>
        <w:r>
          <w:rPr>
            <w:rStyle w:val="1267"/>
            <w:spacing w:val="-14"/>
          </w:rPr>
          <w:t xml:space="preserve"> </w:t>
        </w:r>
        <w:r>
          <w:rPr>
            <w:rStyle w:val="1267"/>
          </w:rPr>
          <w:t xml:space="preserve">восстановления</w:t>
        </w:r>
        <w:r>
          <w:rPr>
            <w:rStyle w:val="1267"/>
            <w:spacing w:val="-15"/>
          </w:rPr>
          <w:t xml:space="preserve"> </w:t>
        </w:r>
        <w:r>
          <w:rPr>
            <w:rStyle w:val="1267"/>
          </w:rPr>
          <w:t xml:space="preserve">теплоснабжения</w:t>
        </w:r>
        <w:r>
          <w:rPr>
            <w:rStyle w:val="1267"/>
            <w:spacing w:val="-15"/>
          </w:rPr>
          <w:t xml:space="preserve"> </w:t>
        </w:r>
        <w:r>
          <w:rPr>
            <w:rStyle w:val="1267"/>
          </w:rPr>
          <w:t xml:space="preserve">потребителей, отключённых в результате аварийных ситуаций при теплоснабжении</w:t>
        </w:r>
        <w:r>
          <w:tab/>
        </w:r>
        <w:r>
          <w:fldChar w:fldCharType="begin"/>
        </w:r>
        <w:r>
          <w:instrText xml:space="preserve"> PAGEREF _Toc165540727 \h </w:instrText>
        </w:r>
        <w:r>
          <w:fldChar w:fldCharType="separate"/>
        </w:r>
        <w:r>
          <w:t xml:space="preserve">57</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28" w:anchor="_Toc165540728" w:history="1">
        <w:r>
          <w:rPr>
            <w:rStyle w:val="1267"/>
            <w:lang w:eastAsia="ru-RU"/>
          </w:rPr>
          <w:t xml:space="preserve">1.9.8 </w:t>
        </w:r>
        <w:r>
          <w:rPr>
            <w:rStyle w:val="1267"/>
          </w:rPr>
          <w:t xml:space="preserve">Описание изменений в надёжности теплоснабжения для каждой системы теплоснабжения, в том </w:t>
        </w:r>
        <w:r>
          <w:rPr>
            <w:rStyle w:val="1267"/>
          </w:rPr>
          <w:t xml:space="preserve">числе с учётом реализации планов строительства, реконструкции, технического перевооружения и (или) модернизации источников тепловой энергии и тепловых сетей, ввод в эксплуатацию которых осуществлён в период, предшествующий актуализации схемы теплоснабжения</w:t>
        </w:r>
        <w:r>
          <w:tab/>
        </w:r>
        <w:r>
          <w:fldChar w:fldCharType="begin"/>
        </w:r>
        <w:r>
          <w:instrText xml:space="preserve"> PAGEREF _Toc165540728 \h </w:instrText>
        </w:r>
        <w:r>
          <w:fldChar w:fldCharType="separate"/>
        </w:r>
        <w:r>
          <w:t xml:space="preserve">57</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29" w:anchor="_Toc165540729" w:history="1">
        <w:r>
          <w:rPr>
            <w:rStyle w:val="1267"/>
            <w:lang w:eastAsia="ru-RU"/>
          </w:rPr>
          <w:t xml:space="preserve">1.9.9 </w:t>
        </w:r>
        <w:r>
          <w:rPr>
            <w:rStyle w:val="1267"/>
          </w:rPr>
          <w:t xml:space="preserve">Меры по обеспечению надежности теплоснабжения и бесперебойной работы систем теплоснабжения</w:t>
        </w:r>
        <w:r>
          <w:tab/>
        </w:r>
        <w:r>
          <w:fldChar w:fldCharType="begin"/>
        </w:r>
        <w:r>
          <w:instrText xml:space="preserve"> PAGEREF _Toc165540729 \h </w:instrText>
        </w:r>
        <w:r>
          <w:fldChar w:fldCharType="separate"/>
        </w:r>
        <w:r>
          <w:t xml:space="preserve">58</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30" w:anchor="_Toc165540730" w:history="1">
        <w:r>
          <w:rPr>
            <w:rStyle w:val="1267"/>
            <w:lang w:eastAsia="ru-RU"/>
          </w:rPr>
          <w:t xml:space="preserve">1.10 </w:t>
        </w:r>
        <w:r>
          <w:rPr>
            <w:rStyle w:val="1267"/>
          </w:rPr>
          <w:t xml:space="preserve">Технико-экономические показатели теплоснабжающих и теплосетевых </w:t>
        </w:r>
        <w:r>
          <w:rPr>
            <w:rStyle w:val="1267"/>
            <w:spacing w:val="-2"/>
          </w:rPr>
          <w:t xml:space="preserve">организаций</w:t>
        </w:r>
        <w:r>
          <w:tab/>
        </w:r>
        <w:r>
          <w:fldChar w:fldCharType="begin"/>
        </w:r>
        <w:r>
          <w:instrText xml:space="preserve"> PAGEREF _Toc165540730 \h </w:instrText>
        </w:r>
        <w:r>
          <w:fldChar w:fldCharType="separate"/>
        </w:r>
        <w:r>
          <w:t xml:space="preserve">59</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31" w:anchor="_Toc165540731" w:history="1">
        <w:r>
          <w:rPr>
            <w:rStyle w:val="1267"/>
            <w:lang w:eastAsia="ru-RU"/>
          </w:rPr>
          <w:t xml:space="preserve">1.10.1 </w:t>
        </w:r>
        <w:r>
          <w:rPr>
            <w:rStyle w:val="1267"/>
          </w:rPr>
          <w:t xml:space="preserve">Описание показателей хоз</w:t>
        </w:r>
        <w:r>
          <w:rPr>
            <w:rStyle w:val="1267"/>
          </w:rPr>
          <w:t xml:space="preserve">яйственной деятельности теплоснабжающих и теплосетевых организаций в соответствии с требованиями, устанавливаемыми Правительством Российской Федерации в стандартах раскрытия информации теплоснабжающими организациями, теплосетевыми организациями и органами </w:t>
        </w:r>
        <w:r>
          <w:rPr>
            <w:rStyle w:val="1267"/>
            <w:spacing w:val="-2"/>
          </w:rPr>
          <w:t xml:space="preserve">регулирования</w:t>
        </w:r>
        <w:r>
          <w:tab/>
        </w:r>
        <w:r>
          <w:fldChar w:fldCharType="begin"/>
        </w:r>
        <w:r>
          <w:instrText xml:space="preserve"> PAGEREF _Toc165540731 \h </w:instrText>
        </w:r>
        <w:r>
          <w:fldChar w:fldCharType="separate"/>
        </w:r>
        <w:r>
          <w:t xml:space="preserve">59</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left" w:pos="1985" w:leader="none"/>
          <w:tab w:val="right" w:pos="9860" w:leader="dot"/>
        </w:tabs>
        <w:rPr>
          <w:rFonts w:asciiTheme="minorHAnsi" w:hAnsiTheme="minorHAnsi" w:eastAsiaTheme="minorEastAsia"/>
          <w:sz w:val="22"/>
          <w:lang w:eastAsia="ru-RU"/>
        </w:rPr>
      </w:pPr>
      <w:r/>
      <w:hyperlink w:tooltip="#_Toc165540732" w:anchor="_Toc165540732" w:history="1">
        <w:r>
          <w:rPr>
            <w:rStyle w:val="1267"/>
            <w:lang w:eastAsia="ru-RU"/>
          </w:rPr>
          <w:t xml:space="preserve">1.10.2 </w:t>
        </w:r>
        <w:r>
          <w:rPr>
            <w:rStyle w:val="1267"/>
            <w:spacing w:val="-2"/>
          </w:rPr>
          <w:t xml:space="preserve">Описание</w:t>
        </w:r>
        <w:r>
          <w:rPr>
            <w:rFonts w:asciiTheme="minorHAnsi" w:hAnsiTheme="minorHAnsi" w:eastAsiaTheme="minorEastAsia"/>
            <w:sz w:val="22"/>
            <w:lang w:eastAsia="ru-RU"/>
          </w:rPr>
          <w:tab/>
        </w:r>
        <w:r>
          <w:rPr>
            <w:rStyle w:val="1267"/>
            <w:spacing w:val="-2"/>
          </w:rPr>
          <w:t xml:space="preserve">изменений</w:t>
        </w:r>
        <w:r>
          <w:rPr>
            <w:rStyle w:val="1267"/>
          </w:rPr>
          <w:t xml:space="preserve"> </w:t>
        </w:r>
        <w:r>
          <w:rPr>
            <w:rStyle w:val="1267"/>
            <w:spacing w:val="-2"/>
          </w:rPr>
          <w:t xml:space="preserve">технико-экономических</w:t>
        </w:r>
        <w:r>
          <w:rPr>
            <w:rStyle w:val="1267"/>
          </w:rPr>
          <w:t xml:space="preserve"> </w:t>
        </w:r>
        <w:r>
          <w:rPr>
            <w:rStyle w:val="1267"/>
            <w:spacing w:val="-2"/>
          </w:rPr>
          <w:t xml:space="preserve">показателей </w:t>
        </w:r>
        <w:r>
          <w:rPr>
            <w:rStyle w:val="1267"/>
          </w:rPr>
          <w:t xml:space="preserve">теплоснабжающих</w:t>
        </w:r>
        <w:r>
          <w:rPr>
            <w:rStyle w:val="1267"/>
            <w:spacing w:val="-5"/>
          </w:rPr>
          <w:t xml:space="preserve"> </w:t>
        </w:r>
        <w:r>
          <w:rPr>
            <w:rStyle w:val="1267"/>
          </w:rPr>
          <w:t xml:space="preserve">и</w:t>
        </w:r>
        <w:r>
          <w:rPr>
            <w:rStyle w:val="1267"/>
            <w:spacing w:val="-5"/>
          </w:rPr>
          <w:t xml:space="preserve"> </w:t>
        </w:r>
        <w:r>
          <w:rPr>
            <w:rStyle w:val="1267"/>
          </w:rPr>
          <w:t xml:space="preserve">теплосетевых</w:t>
        </w:r>
        <w:r>
          <w:rPr>
            <w:rStyle w:val="1267"/>
            <w:spacing w:val="-6"/>
          </w:rPr>
          <w:t xml:space="preserve"> </w:t>
        </w:r>
        <w:r>
          <w:rPr>
            <w:rStyle w:val="1267"/>
          </w:rPr>
          <w:t xml:space="preserve">организаций</w:t>
        </w:r>
        <w:r>
          <w:rPr>
            <w:rStyle w:val="1267"/>
            <w:spacing w:val="-7"/>
          </w:rPr>
          <w:t xml:space="preserve"> </w:t>
        </w:r>
        <w:r>
          <w:rPr>
            <w:rStyle w:val="1267"/>
          </w:rPr>
          <w:t xml:space="preserve">для</w:t>
        </w:r>
        <w:r>
          <w:rPr>
            <w:rStyle w:val="1267"/>
            <w:spacing w:val="-6"/>
          </w:rPr>
          <w:t xml:space="preserve"> </w:t>
        </w:r>
        <w:r>
          <w:rPr>
            <w:rStyle w:val="1267"/>
          </w:rPr>
          <w:t xml:space="preserve">каждой</w:t>
        </w:r>
        <w:r>
          <w:rPr>
            <w:rStyle w:val="1267"/>
            <w:spacing w:val="-5"/>
          </w:rPr>
          <w:t xml:space="preserve"> </w:t>
        </w:r>
        <w:r>
          <w:rPr>
            <w:rStyle w:val="1267"/>
          </w:rPr>
          <w:t xml:space="preserve">системы</w:t>
        </w:r>
        <w:r>
          <w:rPr>
            <w:rStyle w:val="1267"/>
            <w:spacing w:val="-6"/>
          </w:rPr>
          <w:t xml:space="preserve"> </w:t>
        </w:r>
        <w:r>
          <w:rPr>
            <w:rStyle w:val="1267"/>
          </w:rPr>
          <w:t xml:space="preserve">теплоснабжения,</w:t>
        </w:r>
        <w:r>
          <w:rPr>
            <w:rStyle w:val="1267"/>
            <w:spacing w:val="-5"/>
          </w:rPr>
          <w:t xml:space="preserve"> </w:t>
        </w:r>
        <w:r>
          <w:rPr>
            <w:rStyle w:val="1267"/>
          </w:rPr>
          <w:t xml:space="preserve">в том </w:t>
        </w:r>
        <w:r>
          <w:rPr>
            <w:rStyle w:val="1267"/>
          </w:rPr>
          <w:t xml:space="preserve">числе с учётом реализации планов строительства, реконструкции, технического перевооружения и (или) модернизации источников тепловой энергии и тепловых сетей, ввод в эксплуатацию которых осуществлён в период, предшествующий актуализации схемы теплоснабжения</w:t>
        </w:r>
        <w:r>
          <w:t xml:space="preserve">…………………………………………………………………………………………………………….</w:t>
        </w:r>
        <w:r>
          <w:fldChar w:fldCharType="begin"/>
        </w:r>
        <w:r>
          <w:instrText xml:space="preserve"> PAGEREF _Toc165540732 \h </w:instrText>
        </w:r>
        <w:r>
          <w:fldChar w:fldCharType="separate"/>
        </w:r>
        <w:r>
          <w:t xml:space="preserve">63</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33" w:anchor="_Toc165540733" w:history="1">
        <w:r>
          <w:rPr>
            <w:rStyle w:val="1267"/>
            <w:lang w:eastAsia="ru-RU"/>
          </w:rPr>
          <w:t xml:space="preserve">1.11 </w:t>
        </w:r>
        <w:r>
          <w:rPr>
            <w:rStyle w:val="1267"/>
          </w:rPr>
          <w:t xml:space="preserve">Цены</w:t>
        </w:r>
        <w:r>
          <w:rPr>
            <w:rStyle w:val="1267"/>
            <w:spacing w:val="-1"/>
          </w:rPr>
          <w:t xml:space="preserve"> </w:t>
        </w:r>
        <w:r>
          <w:rPr>
            <w:rStyle w:val="1267"/>
          </w:rPr>
          <w:t xml:space="preserve">(тарифы)</w:t>
        </w:r>
        <w:r>
          <w:rPr>
            <w:rStyle w:val="1267"/>
            <w:spacing w:val="-2"/>
          </w:rPr>
          <w:t xml:space="preserve"> </w:t>
        </w:r>
        <w:r>
          <w:rPr>
            <w:rStyle w:val="1267"/>
          </w:rPr>
          <w:t xml:space="preserve">в</w:t>
        </w:r>
        <w:r>
          <w:rPr>
            <w:rStyle w:val="1267"/>
            <w:spacing w:val="-2"/>
          </w:rPr>
          <w:t xml:space="preserve"> </w:t>
        </w:r>
        <w:r>
          <w:rPr>
            <w:rStyle w:val="1267"/>
          </w:rPr>
          <w:t xml:space="preserve">сфере</w:t>
        </w:r>
        <w:r>
          <w:rPr>
            <w:rStyle w:val="1267"/>
            <w:spacing w:val="-1"/>
          </w:rPr>
          <w:t xml:space="preserve"> </w:t>
        </w:r>
        <w:r>
          <w:rPr>
            <w:rStyle w:val="1267"/>
            <w:spacing w:val="-2"/>
          </w:rPr>
          <w:t xml:space="preserve">теплоснабжения</w:t>
        </w:r>
        <w:r>
          <w:tab/>
        </w:r>
        <w:r>
          <w:fldChar w:fldCharType="begin"/>
        </w:r>
        <w:r>
          <w:instrText xml:space="preserve"> PAGEREF _Toc165540733 \h </w:instrText>
        </w:r>
        <w:r>
          <w:fldChar w:fldCharType="separate"/>
        </w:r>
        <w:r>
          <w:t xml:space="preserve">63</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34" w:anchor="_Toc165540734" w:history="1">
        <w:r>
          <w:rPr>
            <w:rStyle w:val="1267"/>
            <w:lang w:eastAsia="ru-RU"/>
          </w:rPr>
          <w:t xml:space="preserve">1.11.1 </w:t>
        </w:r>
        <w:r>
          <w:rPr>
            <w:rStyle w:val="1267"/>
          </w:rPr>
          <w:t xml:space="preserve">Описание динамики утверждённых цен (тарифов), у</w:t>
        </w:r>
        <w:r>
          <w:rPr>
            <w:rStyle w:val="1267"/>
          </w:rPr>
          <w:t xml:space="preserve">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учётом последних 3 лет</w:t>
        </w:r>
        <w:r>
          <w:tab/>
        </w:r>
        <w:r>
          <w:fldChar w:fldCharType="begin"/>
        </w:r>
        <w:r>
          <w:instrText xml:space="preserve"> PAGEREF _Toc165540734 \h </w:instrText>
        </w:r>
        <w:r>
          <w:fldChar w:fldCharType="separate"/>
        </w:r>
        <w:r>
          <w:t xml:space="preserve">63</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35" w:anchor="_Toc165540735" w:history="1">
        <w:r>
          <w:rPr>
            <w:rStyle w:val="1267"/>
            <w:lang w:eastAsia="ru-RU"/>
          </w:rPr>
          <w:t xml:space="preserve">1.11.2 </w:t>
        </w:r>
        <w:r>
          <w:rPr>
            <w:rStyle w:val="1267"/>
          </w:rPr>
          <w:t xml:space="preserve">Описание структуры цен (тарифов), установленных на момент разработки схемы теплоснабжения</w:t>
        </w:r>
        <w:r>
          <w:tab/>
        </w:r>
        <w:r>
          <w:fldChar w:fldCharType="begin"/>
        </w:r>
        <w:r>
          <w:instrText xml:space="preserve"> PAGEREF _Toc165540735 \h </w:instrText>
        </w:r>
        <w:r>
          <w:fldChar w:fldCharType="separate"/>
        </w:r>
        <w:r>
          <w:t xml:space="preserve">63</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36" w:anchor="_Toc165540736" w:history="1">
        <w:r>
          <w:rPr>
            <w:rStyle w:val="1267"/>
            <w:lang w:eastAsia="ru-RU"/>
          </w:rPr>
          <w:t xml:space="preserve">1.11.3 </w:t>
        </w:r>
        <w:r>
          <w:rPr>
            <w:rStyle w:val="1267"/>
          </w:rPr>
          <w:t xml:space="preserve">Описание</w:t>
        </w:r>
        <w:r>
          <w:rPr>
            <w:rStyle w:val="1267"/>
            <w:spacing w:val="-6"/>
          </w:rPr>
          <w:t xml:space="preserve"> </w:t>
        </w:r>
        <w:r>
          <w:rPr>
            <w:rStyle w:val="1267"/>
          </w:rPr>
          <w:t xml:space="preserve">платы</w:t>
        </w:r>
        <w:r>
          <w:rPr>
            <w:rStyle w:val="1267"/>
            <w:spacing w:val="-2"/>
          </w:rPr>
          <w:t xml:space="preserve"> </w:t>
        </w:r>
        <w:r>
          <w:rPr>
            <w:rStyle w:val="1267"/>
          </w:rPr>
          <w:t xml:space="preserve">за</w:t>
        </w:r>
        <w:r>
          <w:rPr>
            <w:rStyle w:val="1267"/>
            <w:spacing w:val="-2"/>
          </w:rPr>
          <w:t xml:space="preserve"> </w:t>
        </w:r>
        <w:r>
          <w:rPr>
            <w:rStyle w:val="1267"/>
          </w:rPr>
          <w:t xml:space="preserve">подключение</w:t>
        </w:r>
        <w:r>
          <w:rPr>
            <w:rStyle w:val="1267"/>
            <w:spacing w:val="-3"/>
          </w:rPr>
          <w:t xml:space="preserve"> </w:t>
        </w:r>
        <w:r>
          <w:rPr>
            <w:rStyle w:val="1267"/>
          </w:rPr>
          <w:t xml:space="preserve">к</w:t>
        </w:r>
        <w:r>
          <w:rPr>
            <w:rStyle w:val="1267"/>
            <w:spacing w:val="-2"/>
          </w:rPr>
          <w:t xml:space="preserve"> </w:t>
        </w:r>
        <w:r>
          <w:rPr>
            <w:rStyle w:val="1267"/>
          </w:rPr>
          <w:t xml:space="preserve">системе</w:t>
        </w:r>
        <w:r>
          <w:rPr>
            <w:rStyle w:val="1267"/>
            <w:spacing w:val="-4"/>
          </w:rPr>
          <w:t xml:space="preserve"> </w:t>
        </w:r>
        <w:r>
          <w:rPr>
            <w:rStyle w:val="1267"/>
            <w:spacing w:val="-2"/>
          </w:rPr>
          <w:t xml:space="preserve">теплоснабжения</w:t>
        </w:r>
        <w:r>
          <w:tab/>
        </w:r>
        <w:r>
          <w:fldChar w:fldCharType="begin"/>
        </w:r>
        <w:r>
          <w:instrText xml:space="preserve"> PAGEREF _Toc165540736 \h </w:instrText>
        </w:r>
        <w:r>
          <w:fldChar w:fldCharType="separate"/>
        </w:r>
        <w:r>
          <w:t xml:space="preserve">68</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37" w:anchor="_Toc165540737" w:history="1">
        <w:r>
          <w:rPr>
            <w:rStyle w:val="1267"/>
            <w:lang w:eastAsia="ru-RU"/>
          </w:rPr>
          <w:t xml:space="preserve">1.11.4 </w:t>
        </w:r>
        <w:r>
          <w:rPr>
            <w:rStyle w:val="1267"/>
          </w:rPr>
          <w:t xml:space="preserve">Описание</w:t>
        </w:r>
        <w:r>
          <w:rPr>
            <w:rStyle w:val="1267"/>
            <w:spacing w:val="-2"/>
          </w:rPr>
          <w:t xml:space="preserve"> </w:t>
        </w:r>
        <w:r>
          <w:rPr>
            <w:rStyle w:val="1267"/>
          </w:rPr>
          <w:t xml:space="preserve">платы</w:t>
        </w:r>
        <w:r>
          <w:rPr>
            <w:rStyle w:val="1267"/>
            <w:spacing w:val="-1"/>
          </w:rPr>
          <w:t xml:space="preserve"> </w:t>
        </w:r>
        <w:r>
          <w:rPr>
            <w:rStyle w:val="1267"/>
          </w:rPr>
          <w:t xml:space="preserve">за</w:t>
        </w:r>
        <w:r>
          <w:rPr>
            <w:rStyle w:val="1267"/>
            <w:spacing w:val="-1"/>
          </w:rPr>
          <w:t xml:space="preserve"> </w:t>
        </w:r>
        <w:r>
          <w:rPr>
            <w:rStyle w:val="1267"/>
          </w:rPr>
          <w:t xml:space="preserve">услуги по</w:t>
        </w:r>
        <w:r>
          <w:rPr>
            <w:rStyle w:val="1267"/>
            <w:spacing w:val="-1"/>
          </w:rPr>
          <w:t xml:space="preserve"> </w:t>
        </w:r>
        <w:r>
          <w:rPr>
            <w:rStyle w:val="1267"/>
          </w:rPr>
          <w:t xml:space="preserve">поддержанию</w:t>
        </w:r>
        <w:r>
          <w:rPr>
            <w:rStyle w:val="1267"/>
            <w:spacing w:val="-2"/>
          </w:rPr>
          <w:t xml:space="preserve"> </w:t>
        </w:r>
        <w:r>
          <w:rPr>
            <w:rStyle w:val="1267"/>
          </w:rPr>
          <w:t xml:space="preserve">резервной тепловой мощности, в том числе для социально значимых категорий потребителей</w:t>
        </w:r>
        <w:r>
          <w:tab/>
        </w:r>
        <w:r>
          <w:fldChar w:fldCharType="begin"/>
        </w:r>
        <w:r>
          <w:instrText xml:space="preserve"> PAGEREF _Toc165540737 \h </w:instrText>
        </w:r>
        <w:r>
          <w:fldChar w:fldCharType="separate"/>
        </w:r>
        <w:r>
          <w:t xml:space="preserve">68</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38" w:anchor="_Toc165540738" w:history="1">
        <w:r>
          <w:rPr>
            <w:rStyle w:val="1267"/>
            <w:lang w:eastAsia="ru-RU"/>
          </w:rPr>
          <w:t xml:space="preserve">1.11.5 </w:t>
        </w:r>
        <w:r>
          <w:rPr>
            <w:rStyle w:val="1267"/>
          </w:rPr>
          <w:t xml:space="preserve">Описание динамики предельных уровней цен на тепловую энергию (мощность), поставляемую потребителям, утверждаемых в ценовых зонах теплоснабжения с учётом последних 3 лет</w:t>
        </w:r>
        <w:r>
          <w:tab/>
        </w:r>
        <w:r>
          <w:fldChar w:fldCharType="begin"/>
        </w:r>
        <w:r>
          <w:instrText xml:space="preserve"> PAGEREF _Toc165540738 \h </w:instrText>
        </w:r>
        <w:r>
          <w:fldChar w:fldCharType="separate"/>
        </w:r>
        <w:r>
          <w:t xml:space="preserve">68</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39" w:anchor="_Toc165540739" w:history="1">
        <w:r>
          <w:rPr>
            <w:rStyle w:val="1267"/>
            <w:lang w:eastAsia="ru-RU"/>
          </w:rPr>
          <w:t xml:space="preserve">1.11.6 </w:t>
        </w:r>
        <w:r>
          <w:rPr>
            <w:rStyle w:val="1267"/>
          </w:rPr>
          <w:t xml:space="preserve">Описание</w:t>
        </w:r>
        <w:r>
          <w:rPr>
            <w:rStyle w:val="1267"/>
            <w:spacing w:val="-3"/>
          </w:rPr>
          <w:t xml:space="preserve"> </w:t>
        </w:r>
        <w:r>
          <w:rPr>
            <w:rStyle w:val="1267"/>
          </w:rPr>
          <w:t xml:space="preserve">средневзвешенного уровня</w:t>
        </w:r>
        <w:r>
          <w:rPr>
            <w:rStyle w:val="1267"/>
            <w:spacing w:val="-3"/>
          </w:rPr>
          <w:t xml:space="preserve"> </w:t>
        </w:r>
        <w:r>
          <w:rPr>
            <w:rStyle w:val="1267"/>
          </w:rPr>
          <w:t xml:space="preserve">сложившихся за</w:t>
        </w:r>
        <w:r>
          <w:rPr>
            <w:rStyle w:val="1267"/>
            <w:spacing w:val="-3"/>
          </w:rPr>
          <w:t xml:space="preserve"> </w:t>
        </w:r>
        <w:r>
          <w:rPr>
            <w:rStyle w:val="1267"/>
          </w:rPr>
          <w:t xml:space="preserve">последние</w:t>
        </w:r>
        <w:r>
          <w:rPr>
            <w:rStyle w:val="1267"/>
            <w:spacing w:val="-3"/>
          </w:rPr>
          <w:t xml:space="preserve"> </w:t>
        </w:r>
        <w:r>
          <w:rPr>
            <w:rStyle w:val="1267"/>
          </w:rPr>
          <w:t xml:space="preserve">3</w:t>
        </w:r>
        <w:r>
          <w:rPr>
            <w:rStyle w:val="1267"/>
            <w:spacing w:val="-2"/>
          </w:rPr>
          <w:t xml:space="preserve"> </w:t>
        </w:r>
        <w:r>
          <w:rPr>
            <w:rStyle w:val="1267"/>
          </w:rPr>
          <w:t xml:space="preserve">года</w:t>
        </w:r>
        <w:r>
          <w:rPr>
            <w:rStyle w:val="1267"/>
            <w:spacing w:val="-2"/>
          </w:rPr>
          <w:t xml:space="preserve"> </w:t>
        </w:r>
        <w:r>
          <w:rPr>
            <w:rStyle w:val="1267"/>
          </w:rPr>
          <w:t xml:space="preserve">цен на тепловую энергию (мощность), поставляемую единой теплоснабжающей организацией потребителям в ценовых зонах теплоснабжения</w:t>
        </w:r>
        <w:r>
          <w:tab/>
        </w:r>
        <w:r>
          <w:fldChar w:fldCharType="begin"/>
        </w:r>
        <w:r>
          <w:instrText xml:space="preserve"> PAGEREF _Toc165540739 \h </w:instrText>
        </w:r>
        <w:r>
          <w:fldChar w:fldCharType="separate"/>
        </w:r>
        <w:r>
          <w:t xml:space="preserve">68</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40" w:anchor="_Toc165540740" w:history="1">
        <w:r>
          <w:rPr>
            <w:rStyle w:val="1267"/>
            <w:lang w:eastAsia="ru-RU"/>
          </w:rPr>
          <w:t xml:space="preserve">1.11.7 </w:t>
        </w:r>
        <w:r>
          <w:rPr>
            <w:rStyle w:val="1267"/>
          </w:rPr>
          <w:t xml:space="preserve">Описание изменений в утверждённых ценах (тарифах), устанавливаемых органами</w:t>
        </w:r>
        <w:r>
          <w:rPr>
            <w:rStyle w:val="1267"/>
            <w:spacing w:val="-15"/>
          </w:rPr>
          <w:t xml:space="preserve"> </w:t>
        </w:r>
        <w:r>
          <w:rPr>
            <w:rStyle w:val="1267"/>
          </w:rPr>
          <w:t xml:space="preserve">исполнительной</w:t>
        </w:r>
        <w:r>
          <w:rPr>
            <w:rStyle w:val="1267"/>
            <w:spacing w:val="-15"/>
          </w:rPr>
          <w:t xml:space="preserve"> </w:t>
        </w:r>
        <w:r>
          <w:rPr>
            <w:rStyle w:val="1267"/>
          </w:rPr>
          <w:t xml:space="preserve">власти</w:t>
        </w:r>
        <w:r>
          <w:rPr>
            <w:rStyle w:val="1267"/>
            <w:spacing w:val="-15"/>
          </w:rPr>
          <w:t xml:space="preserve"> </w:t>
        </w:r>
        <w:r>
          <w:rPr>
            <w:rStyle w:val="1267"/>
          </w:rPr>
          <w:t xml:space="preserve">субъекта</w:t>
        </w:r>
        <w:r>
          <w:rPr>
            <w:rStyle w:val="1267"/>
            <w:spacing w:val="-15"/>
          </w:rPr>
          <w:t xml:space="preserve"> </w:t>
        </w:r>
        <w:r>
          <w:rPr>
            <w:rStyle w:val="1267"/>
          </w:rPr>
          <w:t xml:space="preserve">Российской</w:t>
        </w:r>
        <w:r>
          <w:rPr>
            <w:rStyle w:val="1267"/>
            <w:spacing w:val="-15"/>
          </w:rPr>
          <w:t xml:space="preserve"> </w:t>
        </w:r>
        <w:r>
          <w:rPr>
            <w:rStyle w:val="1267"/>
          </w:rPr>
          <w:t xml:space="preserve">Федерации,</w:t>
        </w:r>
        <w:r>
          <w:rPr>
            <w:rStyle w:val="1267"/>
            <w:spacing w:val="-15"/>
          </w:rPr>
          <w:t xml:space="preserve"> </w:t>
        </w:r>
        <w:r>
          <w:rPr>
            <w:rStyle w:val="1267"/>
          </w:rPr>
          <w:t xml:space="preserve">зафиксированных</w:t>
        </w:r>
        <w:r>
          <w:rPr>
            <w:rStyle w:val="1267"/>
            <w:spacing w:val="-15"/>
          </w:rPr>
          <w:t xml:space="preserve"> </w:t>
        </w:r>
        <w:r>
          <w:rPr>
            <w:rStyle w:val="1267"/>
          </w:rPr>
          <w:t xml:space="preserve">за период, предшествующий актуализации схемы теплоснабжения</w:t>
        </w:r>
        <w:r>
          <w:tab/>
        </w:r>
        <w:r>
          <w:fldChar w:fldCharType="begin"/>
        </w:r>
        <w:r>
          <w:instrText xml:space="preserve"> PAGEREF _Toc165540740 \h </w:instrText>
        </w:r>
        <w:r>
          <w:fldChar w:fldCharType="separate"/>
        </w:r>
        <w:r>
          <w:t xml:space="preserve">68</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41" w:anchor="_Toc165540741" w:history="1">
        <w:r>
          <w:rPr>
            <w:rStyle w:val="1267"/>
            <w:lang w:eastAsia="ru-RU"/>
          </w:rPr>
          <w:t xml:space="preserve">1.12 </w:t>
        </w:r>
        <w:r>
          <w:rPr>
            <w:rStyle w:val="1267"/>
          </w:rPr>
          <w:t xml:space="preserve">Описание</w:t>
        </w:r>
        <w:r>
          <w:rPr>
            <w:rStyle w:val="1267"/>
            <w:spacing w:val="-15"/>
          </w:rPr>
          <w:t xml:space="preserve"> </w:t>
        </w:r>
        <w:r>
          <w:rPr>
            <w:rStyle w:val="1267"/>
          </w:rPr>
          <w:t xml:space="preserve">существующих</w:t>
        </w:r>
        <w:r>
          <w:rPr>
            <w:rStyle w:val="1267"/>
            <w:spacing w:val="-15"/>
          </w:rPr>
          <w:t xml:space="preserve"> </w:t>
        </w:r>
        <w:r>
          <w:rPr>
            <w:rStyle w:val="1267"/>
          </w:rPr>
          <w:t xml:space="preserve">технических</w:t>
        </w:r>
        <w:r>
          <w:rPr>
            <w:rStyle w:val="1267"/>
            <w:spacing w:val="-15"/>
          </w:rPr>
          <w:t xml:space="preserve"> </w:t>
        </w:r>
        <w:r>
          <w:rPr>
            <w:rStyle w:val="1267"/>
          </w:rPr>
          <w:t xml:space="preserve">и</w:t>
        </w:r>
        <w:r>
          <w:rPr>
            <w:rStyle w:val="1267"/>
            <w:spacing w:val="-15"/>
          </w:rPr>
          <w:t xml:space="preserve"> </w:t>
        </w:r>
        <w:r>
          <w:rPr>
            <w:rStyle w:val="1267"/>
          </w:rPr>
          <w:t xml:space="preserve">технологических</w:t>
        </w:r>
        <w:r>
          <w:rPr>
            <w:rStyle w:val="1267"/>
            <w:spacing w:val="-15"/>
          </w:rPr>
          <w:t xml:space="preserve"> </w:t>
        </w:r>
        <w:r>
          <w:rPr>
            <w:rStyle w:val="1267"/>
          </w:rPr>
          <w:t xml:space="preserve">проблем</w:t>
        </w:r>
        <w:r>
          <w:rPr>
            <w:rStyle w:val="1267"/>
            <w:spacing w:val="-15"/>
          </w:rPr>
          <w:t xml:space="preserve"> </w:t>
        </w:r>
        <w:r>
          <w:rPr>
            <w:rStyle w:val="1267"/>
          </w:rPr>
          <w:t xml:space="preserve">в</w:t>
        </w:r>
        <w:r>
          <w:rPr>
            <w:rStyle w:val="1267"/>
            <w:spacing w:val="-15"/>
          </w:rPr>
          <w:t xml:space="preserve"> </w:t>
        </w:r>
        <w:r>
          <w:rPr>
            <w:rStyle w:val="1267"/>
          </w:rPr>
          <w:t xml:space="preserve">системах теплоснабжения поселения</w:t>
        </w:r>
        <w:r>
          <w:tab/>
        </w:r>
        <w:r>
          <w:fldChar w:fldCharType="begin"/>
        </w:r>
        <w:r>
          <w:instrText xml:space="preserve"> PAGEREF _Toc165540741 \h </w:instrText>
        </w:r>
        <w:r>
          <w:fldChar w:fldCharType="separate"/>
        </w:r>
        <w:r>
          <w:t xml:space="preserve">68</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42" w:anchor="_Toc165540742" w:history="1">
        <w:r>
          <w:rPr>
            <w:rStyle w:val="1267"/>
            <w:lang w:eastAsia="ru-RU"/>
          </w:rPr>
          <w:t xml:space="preserve">1.12.1 </w:t>
        </w:r>
        <w:r>
          <w:rPr>
            <w:rStyle w:val="1267"/>
          </w:rPr>
          <w:t xml:space="preserve">Описание существующих проблем организации качественного теплоснабжения</w:t>
        </w:r>
        <w:r>
          <w:rPr>
            <w:rStyle w:val="1267"/>
            <w:spacing w:val="-4"/>
          </w:rPr>
          <w:t xml:space="preserve"> </w:t>
        </w:r>
        <w:r>
          <w:rPr>
            <w:rStyle w:val="1267"/>
          </w:rPr>
          <w:t xml:space="preserve">(перечень</w:t>
        </w:r>
        <w:r>
          <w:rPr>
            <w:rStyle w:val="1267"/>
            <w:spacing w:val="-3"/>
          </w:rPr>
          <w:t xml:space="preserve"> </w:t>
        </w:r>
        <w:r>
          <w:rPr>
            <w:rStyle w:val="1267"/>
          </w:rPr>
          <w:t xml:space="preserve">причин,</w:t>
        </w:r>
        <w:r>
          <w:rPr>
            <w:rStyle w:val="1267"/>
            <w:spacing w:val="-3"/>
          </w:rPr>
          <w:t xml:space="preserve"> </w:t>
        </w:r>
        <w:r>
          <w:rPr>
            <w:rStyle w:val="1267"/>
          </w:rPr>
          <w:t xml:space="preserve">приводящих</w:t>
        </w:r>
        <w:r>
          <w:rPr>
            <w:rStyle w:val="1267"/>
            <w:spacing w:val="-3"/>
          </w:rPr>
          <w:t xml:space="preserve"> </w:t>
        </w:r>
        <w:r>
          <w:rPr>
            <w:rStyle w:val="1267"/>
          </w:rPr>
          <w:t xml:space="preserve">к</w:t>
        </w:r>
        <w:r>
          <w:rPr>
            <w:rStyle w:val="1267"/>
            <w:spacing w:val="-3"/>
          </w:rPr>
          <w:t xml:space="preserve"> </w:t>
        </w:r>
        <w:r>
          <w:rPr>
            <w:rStyle w:val="1267"/>
          </w:rPr>
          <w:t xml:space="preserve">снижению</w:t>
        </w:r>
        <w:r>
          <w:rPr>
            <w:rStyle w:val="1267"/>
            <w:spacing w:val="-4"/>
          </w:rPr>
          <w:t xml:space="preserve"> </w:t>
        </w:r>
        <w:r>
          <w:rPr>
            <w:rStyle w:val="1267"/>
          </w:rPr>
          <w:t xml:space="preserve">качества</w:t>
        </w:r>
        <w:r>
          <w:rPr>
            <w:rStyle w:val="1267"/>
            <w:spacing w:val="-3"/>
          </w:rPr>
          <w:t xml:space="preserve"> </w:t>
        </w:r>
        <w:r>
          <w:rPr>
            <w:rStyle w:val="1267"/>
          </w:rPr>
          <w:t xml:space="preserve">теплоснабжения, включая проблемы в работе теплопотребляющих установок потребителей)</w:t>
        </w:r>
        <w:r>
          <w:tab/>
        </w:r>
        <w:r>
          <w:fldChar w:fldCharType="begin"/>
        </w:r>
        <w:r>
          <w:instrText xml:space="preserve"> PAGEREF _Toc165540742 \h </w:instrText>
        </w:r>
        <w:r>
          <w:fldChar w:fldCharType="separate"/>
        </w:r>
        <w:r>
          <w:t xml:space="preserve">68</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43" w:anchor="_Toc165540743" w:history="1">
        <w:r>
          <w:rPr>
            <w:rStyle w:val="1267"/>
            <w:lang w:eastAsia="ru-RU"/>
          </w:rPr>
          <w:t xml:space="preserve">1.12.2 </w:t>
        </w:r>
        <w:r>
          <w:rPr>
            <w:rStyle w:val="1267"/>
          </w:rPr>
          <w:t xml:space="preserve">Описание</w:t>
        </w:r>
        <w:r>
          <w:rPr>
            <w:rStyle w:val="1267"/>
            <w:spacing w:val="-10"/>
          </w:rPr>
          <w:t xml:space="preserve"> </w:t>
        </w:r>
        <w:r>
          <w:rPr>
            <w:rStyle w:val="1267"/>
          </w:rPr>
          <w:t xml:space="preserve">существующих</w:t>
        </w:r>
        <w:r>
          <w:rPr>
            <w:rStyle w:val="1267"/>
            <w:spacing w:val="-9"/>
          </w:rPr>
          <w:t xml:space="preserve"> </w:t>
        </w:r>
        <w:r>
          <w:rPr>
            <w:rStyle w:val="1267"/>
          </w:rPr>
          <w:t xml:space="preserve">проблем</w:t>
        </w:r>
        <w:r>
          <w:rPr>
            <w:rStyle w:val="1267"/>
            <w:spacing w:val="-7"/>
          </w:rPr>
          <w:t xml:space="preserve"> </w:t>
        </w:r>
        <w:r>
          <w:rPr>
            <w:rStyle w:val="1267"/>
          </w:rPr>
          <w:t xml:space="preserve">организации</w:t>
        </w:r>
        <w:r>
          <w:rPr>
            <w:rStyle w:val="1267"/>
            <w:spacing w:val="-8"/>
          </w:rPr>
          <w:t xml:space="preserve"> </w:t>
        </w:r>
        <w:r>
          <w:rPr>
            <w:rStyle w:val="1267"/>
          </w:rPr>
          <w:t xml:space="preserve">надёжного</w:t>
        </w:r>
        <w:r>
          <w:rPr>
            <w:rStyle w:val="1267"/>
            <w:spacing w:val="-7"/>
          </w:rPr>
          <w:t xml:space="preserve"> </w:t>
        </w:r>
        <w:r>
          <w:rPr>
            <w:rStyle w:val="1267"/>
          </w:rPr>
          <w:t xml:space="preserve">теплоснабжения поселения (перечень причин, приводящих к снижению надёжности теплоснабжения, включая проблемы в работе теплопотребляющих установок потребителей)</w:t>
        </w:r>
        <w:r>
          <w:tab/>
        </w:r>
        <w:r>
          <w:fldChar w:fldCharType="begin"/>
        </w:r>
        <w:r>
          <w:instrText xml:space="preserve"> PAGEREF _Toc165540743 \h </w:instrText>
        </w:r>
        <w:r>
          <w:fldChar w:fldCharType="separate"/>
        </w:r>
        <w:r>
          <w:t xml:space="preserve">68</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44" w:anchor="_Toc165540744" w:history="1">
        <w:r>
          <w:rPr>
            <w:rStyle w:val="1267"/>
            <w:lang w:eastAsia="ru-RU"/>
          </w:rPr>
          <w:t xml:space="preserve">1.12.3 </w:t>
        </w:r>
        <w:r>
          <w:rPr>
            <w:rStyle w:val="1267"/>
          </w:rPr>
          <w:t xml:space="preserve">Описание</w:t>
        </w:r>
        <w:r>
          <w:rPr>
            <w:rStyle w:val="1267"/>
            <w:spacing w:val="-6"/>
          </w:rPr>
          <w:t xml:space="preserve"> </w:t>
        </w:r>
        <w:r>
          <w:rPr>
            <w:rStyle w:val="1267"/>
          </w:rPr>
          <w:t xml:space="preserve">существующих</w:t>
        </w:r>
        <w:r>
          <w:rPr>
            <w:rStyle w:val="1267"/>
            <w:spacing w:val="-3"/>
          </w:rPr>
          <w:t xml:space="preserve"> </w:t>
        </w:r>
        <w:r>
          <w:rPr>
            <w:rStyle w:val="1267"/>
          </w:rPr>
          <w:t xml:space="preserve">проблем</w:t>
        </w:r>
        <w:r>
          <w:rPr>
            <w:rStyle w:val="1267"/>
            <w:spacing w:val="-4"/>
          </w:rPr>
          <w:t xml:space="preserve"> </w:t>
        </w:r>
        <w:r>
          <w:rPr>
            <w:rStyle w:val="1267"/>
          </w:rPr>
          <w:t xml:space="preserve">развития</w:t>
        </w:r>
        <w:r>
          <w:rPr>
            <w:rStyle w:val="1267"/>
            <w:spacing w:val="-3"/>
          </w:rPr>
          <w:t xml:space="preserve"> </w:t>
        </w:r>
        <w:r>
          <w:rPr>
            <w:rStyle w:val="1267"/>
          </w:rPr>
          <w:t xml:space="preserve">систем</w:t>
        </w:r>
        <w:r>
          <w:rPr>
            <w:rStyle w:val="1267"/>
            <w:spacing w:val="-3"/>
          </w:rPr>
          <w:t xml:space="preserve"> </w:t>
        </w:r>
        <w:r>
          <w:rPr>
            <w:rStyle w:val="1267"/>
            <w:spacing w:val="-2"/>
          </w:rPr>
          <w:t xml:space="preserve">теплоснабжения</w:t>
        </w:r>
        <w:r>
          <w:tab/>
        </w:r>
        <w:r>
          <w:fldChar w:fldCharType="begin"/>
        </w:r>
        <w:r>
          <w:instrText xml:space="preserve"> PAGEREF _Toc165540744 \h </w:instrText>
        </w:r>
        <w:r>
          <w:fldChar w:fldCharType="separate"/>
        </w:r>
        <w:r>
          <w:t xml:space="preserve">69</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45" w:anchor="_Toc165540745" w:history="1">
        <w:r>
          <w:rPr>
            <w:rStyle w:val="1267"/>
            <w:lang w:eastAsia="ru-RU"/>
          </w:rPr>
          <w:t xml:space="preserve">1.12.4 </w:t>
        </w:r>
        <w:r>
          <w:rPr>
            <w:rStyle w:val="1267"/>
          </w:rPr>
          <w:t xml:space="preserve">Описание</w:t>
        </w:r>
        <w:r>
          <w:rPr>
            <w:rStyle w:val="1267"/>
            <w:spacing w:val="34"/>
          </w:rPr>
          <w:t xml:space="preserve"> </w:t>
        </w:r>
        <w:r>
          <w:rPr>
            <w:rStyle w:val="1267"/>
          </w:rPr>
          <w:t xml:space="preserve">существующих</w:t>
        </w:r>
        <w:r>
          <w:rPr>
            <w:rStyle w:val="1267"/>
            <w:spacing w:val="35"/>
          </w:rPr>
          <w:t xml:space="preserve"> </w:t>
        </w:r>
        <w:r>
          <w:rPr>
            <w:rStyle w:val="1267"/>
          </w:rPr>
          <w:t xml:space="preserve">проблем</w:t>
        </w:r>
        <w:r>
          <w:rPr>
            <w:rStyle w:val="1267"/>
            <w:spacing w:val="35"/>
          </w:rPr>
          <w:t xml:space="preserve"> </w:t>
        </w:r>
        <w:r>
          <w:rPr>
            <w:rStyle w:val="1267"/>
          </w:rPr>
          <w:t xml:space="preserve">надёжного</w:t>
        </w:r>
        <w:r>
          <w:rPr>
            <w:rStyle w:val="1267"/>
            <w:spacing w:val="35"/>
          </w:rPr>
          <w:t xml:space="preserve"> </w:t>
        </w:r>
        <w:r>
          <w:rPr>
            <w:rStyle w:val="1267"/>
          </w:rPr>
          <w:t xml:space="preserve">и</w:t>
        </w:r>
        <w:r>
          <w:rPr>
            <w:rStyle w:val="1267"/>
            <w:spacing w:val="36"/>
          </w:rPr>
          <w:t xml:space="preserve"> </w:t>
        </w:r>
        <w:r>
          <w:rPr>
            <w:rStyle w:val="1267"/>
          </w:rPr>
          <w:t xml:space="preserve">эффективного</w:t>
        </w:r>
        <w:r>
          <w:rPr>
            <w:rStyle w:val="1267"/>
            <w:spacing w:val="35"/>
          </w:rPr>
          <w:t xml:space="preserve"> </w:t>
        </w:r>
        <w:r>
          <w:rPr>
            <w:rStyle w:val="1267"/>
          </w:rPr>
          <w:t xml:space="preserve">снабжения топливом действующих систем теплоснабжения</w:t>
        </w:r>
        <w:r>
          <w:tab/>
        </w:r>
        <w:r>
          <w:fldChar w:fldCharType="begin"/>
        </w:r>
        <w:r>
          <w:instrText xml:space="preserve"> PAGEREF _Toc165540745 \h </w:instrText>
        </w:r>
        <w:r>
          <w:fldChar w:fldCharType="separate"/>
        </w:r>
        <w:r>
          <w:t xml:space="preserve">69</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left" w:pos="1760" w:leader="none"/>
          <w:tab w:val="right" w:pos="9860" w:leader="dot"/>
        </w:tabs>
        <w:rPr>
          <w:rFonts w:asciiTheme="minorHAnsi" w:hAnsiTheme="minorHAnsi" w:eastAsiaTheme="minorEastAsia"/>
          <w:sz w:val="22"/>
          <w:lang w:eastAsia="ru-RU"/>
        </w:rPr>
      </w:pPr>
      <w:r/>
      <w:hyperlink w:tooltip="#_Toc165540746" w:anchor="_Toc165540746" w:history="1">
        <w:r>
          <w:rPr>
            <w:rStyle w:val="1267"/>
            <w:lang w:eastAsia="ru-RU"/>
          </w:rPr>
          <w:t xml:space="preserve">1.12.5 </w:t>
        </w:r>
        <w:r>
          <w:rPr>
            <w:rStyle w:val="1267"/>
            <w:spacing w:val="-2"/>
          </w:rPr>
          <w:t xml:space="preserve">Анализ</w:t>
        </w:r>
        <w:r>
          <w:rPr>
            <w:rFonts w:asciiTheme="minorHAnsi" w:hAnsiTheme="minorHAnsi" w:eastAsiaTheme="minorEastAsia"/>
            <w:sz w:val="22"/>
            <w:lang w:eastAsia="ru-RU"/>
          </w:rPr>
          <w:tab/>
        </w:r>
        <w:r>
          <w:rPr>
            <w:rStyle w:val="1267"/>
          </w:rPr>
          <w:t xml:space="preserve">предписаний</w:t>
        </w:r>
        <w:r>
          <w:rPr>
            <w:rStyle w:val="1267"/>
            <w:spacing w:val="80"/>
          </w:rPr>
          <w:t xml:space="preserve"> </w:t>
        </w:r>
        <w:r>
          <w:rPr>
            <w:rStyle w:val="1267"/>
          </w:rPr>
          <w:t xml:space="preserve">надзорных органов</w:t>
        </w:r>
        <w:r>
          <w:rPr>
            <w:rStyle w:val="1267"/>
            <w:spacing w:val="80"/>
          </w:rPr>
          <w:t xml:space="preserve"> </w:t>
        </w:r>
        <w:r>
          <w:rPr>
            <w:rStyle w:val="1267"/>
          </w:rPr>
          <w:t xml:space="preserve">об </w:t>
        </w:r>
        <w:r>
          <w:rPr>
            <w:rStyle w:val="1267"/>
            <w:spacing w:val="-2"/>
          </w:rPr>
          <w:t xml:space="preserve">устранении</w:t>
        </w:r>
        <w:r>
          <w:rPr>
            <w:rStyle w:val="1267"/>
          </w:rPr>
          <w:t xml:space="preserve"> </w:t>
        </w:r>
        <w:r>
          <w:rPr>
            <w:rStyle w:val="1267"/>
            <w:spacing w:val="-2"/>
          </w:rPr>
          <w:t xml:space="preserve">нарушений, </w:t>
        </w:r>
        <w:r>
          <w:rPr>
            <w:rStyle w:val="1267"/>
          </w:rPr>
          <w:t xml:space="preserve">влияющих на безопасность и надёжность системы теплоснабжения</w:t>
        </w:r>
        <w:r>
          <w:tab/>
        </w:r>
        <w:r>
          <w:fldChar w:fldCharType="begin"/>
        </w:r>
        <w:r>
          <w:instrText xml:space="preserve"> PAGEREF _Toc165540746 \h </w:instrText>
        </w:r>
        <w:r>
          <w:fldChar w:fldCharType="separate"/>
        </w:r>
        <w:r>
          <w:t xml:space="preserve">69</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47" w:anchor="_Toc165540747" w:history="1">
        <w:r>
          <w:rPr>
            <w:rStyle w:val="1267"/>
            <w:lang w:eastAsia="ru-RU"/>
          </w:rPr>
          <w:t xml:space="preserve">1.12.6 </w:t>
        </w:r>
        <w:r>
          <w:rPr>
            <w:rStyle w:val="1267"/>
          </w:rPr>
          <w:t xml:space="preserve">Описание изменений технических и технологических проблем в системах теплоснабжения поселения, городского округа, города федерального значения, произошедших в период, предшествующий актуализации схемы теплоснабжения</w:t>
        </w:r>
        <w:r>
          <w:tab/>
        </w:r>
        <w:r>
          <w:fldChar w:fldCharType="begin"/>
        </w:r>
        <w:r>
          <w:instrText xml:space="preserve"> PAGEREF _Toc165540747 \h </w:instrText>
        </w:r>
        <w:r>
          <w:fldChar w:fldCharType="separate"/>
        </w:r>
        <w:r>
          <w:t xml:space="preserve">69</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48" w:anchor="_Toc165540748" w:history="1">
        <w:r>
          <w:rPr>
            <w:rStyle w:val="1267"/>
          </w:rPr>
          <w:t xml:space="preserve">Глава</w:t>
        </w:r>
        <w:r>
          <w:rPr>
            <w:rStyle w:val="1267"/>
            <w:spacing w:val="-4"/>
          </w:rPr>
          <w:t xml:space="preserve"> </w:t>
        </w:r>
        <w:r>
          <w:rPr>
            <w:rStyle w:val="1267"/>
          </w:rPr>
          <w:t xml:space="preserve">2 Существующее и перспективное потребление тепловой энергии на цели </w:t>
        </w:r>
        <w:r>
          <w:rPr>
            <w:rStyle w:val="1267"/>
            <w:spacing w:val="-2"/>
          </w:rPr>
          <w:t xml:space="preserve">теплоснабжения</w:t>
        </w:r>
        <w:r>
          <w:tab/>
        </w:r>
        <w:r>
          <w:fldChar w:fldCharType="begin"/>
        </w:r>
        <w:r>
          <w:instrText xml:space="preserve"> PAGEREF _Toc165540748 \h </w:instrText>
        </w:r>
        <w:r>
          <w:fldChar w:fldCharType="separate"/>
        </w:r>
        <w:r>
          <w:t xml:space="preserve">70</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49" w:anchor="_Toc165540749" w:history="1">
        <w:r>
          <w:rPr>
            <w:rStyle w:val="1267"/>
            <w:lang w:eastAsia="ru-RU"/>
          </w:rPr>
          <w:t xml:space="preserve">2.1 </w:t>
        </w:r>
        <w:r>
          <w:rPr>
            <w:rStyle w:val="1267"/>
          </w:rPr>
          <w:t xml:space="preserve">Данные</w:t>
        </w:r>
        <w:r>
          <w:rPr>
            <w:rStyle w:val="1267"/>
            <w:spacing w:val="-6"/>
          </w:rPr>
          <w:t xml:space="preserve"> </w:t>
        </w:r>
        <w:r>
          <w:rPr>
            <w:rStyle w:val="1267"/>
          </w:rPr>
          <w:t xml:space="preserve">базового</w:t>
        </w:r>
        <w:r>
          <w:rPr>
            <w:rStyle w:val="1267"/>
            <w:spacing w:val="-1"/>
          </w:rPr>
          <w:t xml:space="preserve"> </w:t>
        </w:r>
        <w:r>
          <w:rPr>
            <w:rStyle w:val="1267"/>
          </w:rPr>
          <w:t xml:space="preserve">уровня</w:t>
        </w:r>
        <w:r>
          <w:rPr>
            <w:rStyle w:val="1267"/>
            <w:spacing w:val="-1"/>
          </w:rPr>
          <w:t xml:space="preserve"> </w:t>
        </w:r>
        <w:r>
          <w:rPr>
            <w:rStyle w:val="1267"/>
          </w:rPr>
          <w:t xml:space="preserve">потребления</w:t>
        </w:r>
        <w:r>
          <w:rPr>
            <w:rStyle w:val="1267"/>
            <w:spacing w:val="-4"/>
          </w:rPr>
          <w:t xml:space="preserve"> </w:t>
        </w:r>
        <w:r>
          <w:rPr>
            <w:rStyle w:val="1267"/>
          </w:rPr>
          <w:t xml:space="preserve">тепла</w:t>
        </w:r>
        <w:r>
          <w:rPr>
            <w:rStyle w:val="1267"/>
            <w:spacing w:val="-2"/>
          </w:rPr>
          <w:t xml:space="preserve"> </w:t>
        </w:r>
        <w:r>
          <w:rPr>
            <w:rStyle w:val="1267"/>
          </w:rPr>
          <w:t xml:space="preserve">на</w:t>
        </w:r>
        <w:r>
          <w:rPr>
            <w:rStyle w:val="1267"/>
            <w:spacing w:val="-2"/>
          </w:rPr>
          <w:t xml:space="preserve"> </w:t>
        </w:r>
        <w:r>
          <w:rPr>
            <w:rStyle w:val="1267"/>
          </w:rPr>
          <w:t xml:space="preserve">цели</w:t>
        </w:r>
        <w:r>
          <w:rPr>
            <w:rStyle w:val="1267"/>
            <w:spacing w:val="-3"/>
          </w:rPr>
          <w:t xml:space="preserve"> </w:t>
        </w:r>
        <w:r>
          <w:rPr>
            <w:rStyle w:val="1267"/>
            <w:spacing w:val="-2"/>
          </w:rPr>
          <w:t xml:space="preserve">теплоснабжения</w:t>
        </w:r>
        <w:r>
          <w:tab/>
        </w:r>
        <w:r>
          <w:fldChar w:fldCharType="begin"/>
        </w:r>
        <w:r>
          <w:instrText xml:space="preserve"> PAGEREF _Toc165540749 \h </w:instrText>
        </w:r>
        <w:r>
          <w:fldChar w:fldCharType="separate"/>
        </w:r>
        <w:r>
          <w:t xml:space="preserve">70</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50" w:anchor="_Toc165540750" w:history="1">
        <w:r>
          <w:rPr>
            <w:rStyle w:val="1267"/>
            <w:lang w:eastAsia="ru-RU"/>
          </w:rPr>
          <w:t xml:space="preserve">2.2 </w:t>
        </w:r>
        <w:r>
          <w:rPr>
            <w:rStyle w:val="1267"/>
          </w:rPr>
          <w:t xml:space="preserve">Прогнозы приростов площади строительных фондов, сгруппированные по расчётным эл</w:t>
        </w:r>
        <w:r>
          <w:rPr>
            <w:rStyle w:val="1267"/>
          </w:rPr>
          <w:t xml:space="preserve">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tab/>
        </w:r>
        <w:r>
          <w:fldChar w:fldCharType="begin"/>
        </w:r>
        <w:r>
          <w:instrText xml:space="preserve"> PAGEREF _Toc165540750 \h </w:instrText>
        </w:r>
        <w:r>
          <w:fldChar w:fldCharType="separate"/>
        </w:r>
        <w:r>
          <w:t xml:space="preserve">70</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51" w:anchor="_Toc165540751" w:history="1">
        <w:r>
          <w:rPr>
            <w:rStyle w:val="1267"/>
            <w:lang w:eastAsia="ru-RU"/>
          </w:rPr>
          <w:t xml:space="preserve">2.3 </w:t>
        </w:r>
        <w:r>
          <w:rPr>
            <w:rStyle w:val="1267"/>
          </w:rPr>
          <w:t xml:space="preserve">Прогнозы</w:t>
        </w:r>
        <w:r>
          <w:rPr>
            <w:rStyle w:val="1267"/>
            <w:spacing w:val="-4"/>
          </w:rPr>
          <w:t xml:space="preserve"> </w:t>
        </w:r>
        <w:r>
          <w:rPr>
            <w:rStyle w:val="1267"/>
          </w:rPr>
          <w:t xml:space="preserve">перспективных</w:t>
        </w:r>
        <w:r>
          <w:rPr>
            <w:rStyle w:val="1267"/>
            <w:spacing w:val="-4"/>
          </w:rPr>
          <w:t xml:space="preserve"> </w:t>
        </w:r>
        <w:r>
          <w:rPr>
            <w:rStyle w:val="1267"/>
          </w:rPr>
          <w:t xml:space="preserve">удельных</w:t>
        </w:r>
        <w:r>
          <w:rPr>
            <w:rStyle w:val="1267"/>
            <w:spacing w:val="-4"/>
          </w:rPr>
          <w:t xml:space="preserve"> </w:t>
        </w:r>
        <w:r>
          <w:rPr>
            <w:rStyle w:val="1267"/>
          </w:rPr>
          <w:t xml:space="preserve">расходов</w:t>
        </w:r>
        <w:r>
          <w:rPr>
            <w:rStyle w:val="1267"/>
            <w:spacing w:val="-4"/>
          </w:rPr>
          <w:t xml:space="preserve"> </w:t>
        </w:r>
        <w:r>
          <w:rPr>
            <w:rStyle w:val="1267"/>
          </w:rPr>
          <w:t xml:space="preserve">тепловой</w:t>
        </w:r>
        <w:r>
          <w:rPr>
            <w:rStyle w:val="1267"/>
            <w:spacing w:val="-4"/>
          </w:rPr>
          <w:t xml:space="preserve"> </w:t>
        </w:r>
        <w:r>
          <w:rPr>
            <w:rStyle w:val="1267"/>
          </w:rPr>
          <w:t xml:space="preserve">энергии</w:t>
        </w:r>
        <w:r>
          <w:rPr>
            <w:rStyle w:val="1267"/>
            <w:spacing w:val="-4"/>
          </w:rPr>
          <w:t xml:space="preserve"> </w:t>
        </w:r>
        <w:r>
          <w:rPr>
            <w:rStyle w:val="1267"/>
          </w:rPr>
          <w:t xml:space="preserve">на</w:t>
        </w:r>
        <w:r>
          <w:rPr>
            <w:rStyle w:val="1267"/>
            <w:spacing w:val="-4"/>
          </w:rPr>
          <w:t xml:space="preserve"> </w:t>
        </w:r>
        <w:r>
          <w:rPr>
            <w:rStyle w:val="1267"/>
          </w:rPr>
          <w:t xml:space="preserve">отопление, вентиляцию</w:t>
        </w:r>
        <w:r>
          <w:rPr>
            <w:rStyle w:val="1267"/>
            <w:spacing w:val="-9"/>
          </w:rPr>
          <w:t xml:space="preserve"> </w:t>
        </w:r>
        <w:r>
          <w:rPr>
            <w:rStyle w:val="1267"/>
          </w:rPr>
          <w:t xml:space="preserve">и</w:t>
        </w:r>
        <w:r>
          <w:rPr>
            <w:rStyle w:val="1267"/>
            <w:spacing w:val="-7"/>
          </w:rPr>
          <w:t xml:space="preserve"> </w:t>
        </w:r>
        <w:r>
          <w:rPr>
            <w:rStyle w:val="1267"/>
          </w:rPr>
          <w:t xml:space="preserve">горячее</w:t>
        </w:r>
        <w:r>
          <w:rPr>
            <w:rStyle w:val="1267"/>
            <w:spacing w:val="-9"/>
          </w:rPr>
          <w:t xml:space="preserve"> </w:t>
        </w:r>
        <w:r>
          <w:rPr>
            <w:rStyle w:val="1267"/>
          </w:rPr>
          <w:t xml:space="preserve">водоснабжение,</w:t>
        </w:r>
        <w:r>
          <w:rPr>
            <w:rStyle w:val="1267"/>
            <w:spacing w:val="-8"/>
          </w:rPr>
          <w:t xml:space="preserve"> </w:t>
        </w:r>
        <w:r>
          <w:rPr>
            <w:rStyle w:val="1267"/>
          </w:rPr>
          <w:t xml:space="preserve">согласованных</w:t>
        </w:r>
        <w:r>
          <w:rPr>
            <w:rStyle w:val="1267"/>
            <w:spacing w:val="-8"/>
          </w:rPr>
          <w:t xml:space="preserve"> </w:t>
        </w:r>
        <w:r>
          <w:rPr>
            <w:rStyle w:val="1267"/>
          </w:rPr>
          <w:t xml:space="preserve">с</w:t>
        </w:r>
        <w:r>
          <w:rPr>
            <w:rStyle w:val="1267"/>
            <w:spacing w:val="-9"/>
          </w:rPr>
          <w:t xml:space="preserve"> </w:t>
        </w:r>
        <w:r>
          <w:rPr>
            <w:rStyle w:val="1267"/>
          </w:rPr>
          <w:t xml:space="preserve">требованиями</w:t>
        </w:r>
        <w:r>
          <w:rPr>
            <w:rStyle w:val="1267"/>
            <w:spacing w:val="-7"/>
          </w:rPr>
          <w:t xml:space="preserve"> </w:t>
        </w:r>
        <w:r>
          <w:rPr>
            <w:rStyle w:val="1267"/>
          </w:rPr>
          <w:t xml:space="preserve">к</w:t>
        </w:r>
        <w:r>
          <w:rPr>
            <w:rStyle w:val="1267"/>
            <w:spacing w:val="-7"/>
          </w:rPr>
          <w:t xml:space="preserve"> </w:t>
        </w:r>
        <w:r>
          <w:rPr>
            <w:rStyle w:val="1267"/>
          </w:rPr>
          <w:t xml:space="preserve">энергетической эффективности объектов теплопотребления, устанавливаемых в соответствии с законодательством Российской Федерации</w:t>
        </w:r>
        <w:r>
          <w:tab/>
        </w:r>
        <w:r>
          <w:fldChar w:fldCharType="begin"/>
        </w:r>
        <w:r>
          <w:instrText xml:space="preserve"> PAGEREF _Toc165540751 \h </w:instrText>
        </w:r>
        <w:r>
          <w:fldChar w:fldCharType="separate"/>
        </w:r>
        <w:r>
          <w:t xml:space="preserve">70</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52" w:anchor="_Toc165540752" w:history="1">
        <w:r>
          <w:rPr>
            <w:rStyle w:val="1267"/>
            <w:lang w:eastAsia="ru-RU"/>
          </w:rPr>
          <w:t xml:space="preserve">2.4 </w:t>
        </w:r>
        <w:r>
          <w:rPr>
            <w:rStyle w:val="1267"/>
          </w:rPr>
          <w:t xml:space="preserve">Прогнозы приростов объёмов потребления тепловой энергии (мощности) и теплоносителя</w:t>
        </w:r>
        <w:r>
          <w:rPr>
            <w:rStyle w:val="1267"/>
            <w:spacing w:val="-5"/>
          </w:rPr>
          <w:t xml:space="preserve"> </w:t>
        </w:r>
        <w:r>
          <w:rPr>
            <w:rStyle w:val="1267"/>
          </w:rPr>
          <w:t xml:space="preserve">с</w:t>
        </w:r>
        <w:r>
          <w:rPr>
            <w:rStyle w:val="1267"/>
            <w:spacing w:val="-5"/>
          </w:rPr>
          <w:t xml:space="preserve"> </w:t>
        </w:r>
        <w:r>
          <w:rPr>
            <w:rStyle w:val="1267"/>
          </w:rPr>
          <w:t xml:space="preserve">разделением</w:t>
        </w:r>
        <w:r>
          <w:rPr>
            <w:rStyle w:val="1267"/>
            <w:spacing w:val="-5"/>
          </w:rPr>
          <w:t xml:space="preserve"> </w:t>
        </w:r>
        <w:r>
          <w:rPr>
            <w:rStyle w:val="1267"/>
          </w:rPr>
          <w:t xml:space="preserve">по</w:t>
        </w:r>
        <w:r>
          <w:rPr>
            <w:rStyle w:val="1267"/>
            <w:spacing w:val="-4"/>
          </w:rPr>
          <w:t xml:space="preserve"> </w:t>
        </w:r>
        <w:r>
          <w:rPr>
            <w:rStyle w:val="1267"/>
          </w:rPr>
          <w:t xml:space="preserve">видам</w:t>
        </w:r>
        <w:r>
          <w:rPr>
            <w:rStyle w:val="1267"/>
            <w:spacing w:val="-5"/>
          </w:rPr>
          <w:t xml:space="preserve"> </w:t>
        </w:r>
        <w:r>
          <w:rPr>
            <w:rStyle w:val="1267"/>
          </w:rPr>
          <w:t xml:space="preserve">теплопотребления</w:t>
        </w:r>
        <w:r>
          <w:rPr>
            <w:rStyle w:val="1267"/>
            <w:spacing w:val="-4"/>
          </w:rPr>
          <w:t xml:space="preserve"> </w:t>
        </w:r>
        <w:r>
          <w:rPr>
            <w:rStyle w:val="1267"/>
          </w:rPr>
          <w:t xml:space="preserve">в</w:t>
        </w:r>
        <w:r>
          <w:rPr>
            <w:rStyle w:val="1267"/>
            <w:spacing w:val="-5"/>
          </w:rPr>
          <w:t xml:space="preserve"> </w:t>
        </w:r>
        <w:r>
          <w:rPr>
            <w:rStyle w:val="1267"/>
          </w:rPr>
          <w:t xml:space="preserve">каждом</w:t>
        </w:r>
        <w:r>
          <w:rPr>
            <w:rStyle w:val="1267"/>
            <w:spacing w:val="-4"/>
          </w:rPr>
          <w:t xml:space="preserve"> </w:t>
        </w:r>
        <w:r>
          <w:rPr>
            <w:rStyle w:val="1267"/>
          </w:rPr>
          <w:t xml:space="preserve">расчётном</w:t>
        </w:r>
        <w:r>
          <w:rPr>
            <w:rStyle w:val="1267"/>
            <w:spacing w:val="-4"/>
          </w:rPr>
          <w:t xml:space="preserve"> </w:t>
        </w:r>
        <w:r>
          <w:rPr>
            <w:rStyle w:val="1267"/>
          </w:rPr>
          <w:t xml:space="preserve">элементе территориал</w:t>
        </w:r>
        <w:r>
          <w:rPr>
            <w:rStyle w:val="1267"/>
          </w:rPr>
          <w:t xml:space="preserve">ь</w:t>
        </w:r>
        <w:r>
          <w:rPr>
            <w:rStyle w:val="1267"/>
          </w:rPr>
          <w:t xml:space="preserve">ного деления и в зоне действия каждого из существующих или предлагаемых для строительства источников тепловой энергии на каждом этапе</w:t>
        </w:r>
        <w:r>
          <w:tab/>
        </w:r>
        <w:r>
          <w:fldChar w:fldCharType="begin"/>
        </w:r>
        <w:r>
          <w:instrText xml:space="preserve"> PAGEREF _Toc165540752 \h </w:instrText>
        </w:r>
        <w:r>
          <w:fldChar w:fldCharType="separate"/>
        </w:r>
        <w:r>
          <w:t xml:space="preserve">71</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53" w:anchor="_Toc165540753" w:history="1">
        <w:r>
          <w:rPr>
            <w:rStyle w:val="1267"/>
            <w:lang w:eastAsia="ru-RU"/>
          </w:rPr>
          <w:t xml:space="preserve">2.5 </w:t>
        </w:r>
        <w:r>
          <w:rPr>
            <w:rStyle w:val="1267"/>
          </w:rPr>
          <w:t xml:space="preserve">Прогнозы приростов объёмов потребления тепловой энергии (мощности) и теплоносителя с разделением по видам теплопотребления в расчётных элементах территориального деления и в зонах действия индивидуального теплоснабжения на каждом этапе</w:t>
        </w:r>
        <w:r>
          <w:tab/>
        </w:r>
        <w:r>
          <w:fldChar w:fldCharType="begin"/>
        </w:r>
        <w:r>
          <w:instrText xml:space="preserve"> PAGEREF _Toc165540753 \h </w:instrText>
        </w:r>
        <w:r>
          <w:fldChar w:fldCharType="separate"/>
        </w:r>
        <w:r>
          <w:t xml:space="preserve">73</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54" w:anchor="_Toc165540754" w:history="1">
        <w:r>
          <w:rPr>
            <w:rStyle w:val="1267"/>
            <w:lang w:eastAsia="ru-RU"/>
          </w:rPr>
          <w:t xml:space="preserve">2.6 </w:t>
        </w:r>
        <w:r>
          <w:rPr>
            <w:rStyle w:val="1267"/>
          </w:rPr>
          <w:t xml:space="preserve">Прогнозы приростов объёмов потребления тепловой энергии (</w:t>
        </w:r>
        <w:r>
          <w:rPr>
            <w:rStyle w:val="1267"/>
          </w:rPr>
          <w:t xml:space="preserve">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объёмов потребления тепловой энергии (мощности) производственными объектами с разделением</w:t>
        </w:r>
        <w:r>
          <w:rPr>
            <w:rStyle w:val="1267"/>
            <w:spacing w:val="-9"/>
          </w:rPr>
          <w:t xml:space="preserve"> </w:t>
        </w:r>
        <w:r>
          <w:rPr>
            <w:rStyle w:val="1267"/>
          </w:rPr>
          <w:t xml:space="preserve">по</w:t>
        </w:r>
        <w:r>
          <w:rPr>
            <w:rStyle w:val="1267"/>
            <w:spacing w:val="-8"/>
          </w:rPr>
          <w:t xml:space="preserve"> </w:t>
        </w:r>
        <w:r>
          <w:rPr>
            <w:rStyle w:val="1267"/>
          </w:rPr>
          <w:t xml:space="preserve">видам</w:t>
        </w:r>
        <w:r>
          <w:rPr>
            <w:rStyle w:val="1267"/>
            <w:spacing w:val="-11"/>
          </w:rPr>
          <w:t xml:space="preserve"> </w:t>
        </w:r>
        <w:r>
          <w:rPr>
            <w:rStyle w:val="1267"/>
          </w:rPr>
          <w:t xml:space="preserve">теплопотребления</w:t>
        </w:r>
        <w:r>
          <w:rPr>
            <w:rStyle w:val="1267"/>
            <w:spacing w:val="-9"/>
          </w:rPr>
          <w:t xml:space="preserve"> </w:t>
        </w:r>
        <w:r>
          <w:rPr>
            <w:rStyle w:val="1267"/>
          </w:rPr>
          <w:t xml:space="preserve">и</w:t>
        </w:r>
        <w:r>
          <w:rPr>
            <w:rStyle w:val="1267"/>
            <w:spacing w:val="-8"/>
          </w:rPr>
          <w:t xml:space="preserve"> </w:t>
        </w:r>
        <w:r>
          <w:rPr>
            <w:rStyle w:val="1267"/>
          </w:rPr>
          <w:t xml:space="preserve">по</w:t>
        </w:r>
        <w:r>
          <w:rPr>
            <w:rStyle w:val="1267"/>
            <w:spacing w:val="-8"/>
          </w:rPr>
          <w:t xml:space="preserve"> </w:t>
        </w:r>
        <w:r>
          <w:rPr>
            <w:rStyle w:val="1267"/>
          </w:rPr>
          <w:t xml:space="preserve">видам</w:t>
        </w:r>
        <w:r>
          <w:rPr>
            <w:rStyle w:val="1267"/>
            <w:spacing w:val="-11"/>
          </w:rPr>
          <w:t xml:space="preserve"> </w:t>
        </w:r>
        <w:r>
          <w:rPr>
            <w:rStyle w:val="1267"/>
          </w:rPr>
          <w:t xml:space="preserve">теплоносителя</w:t>
        </w:r>
        <w:r>
          <w:rPr>
            <w:rStyle w:val="1267"/>
            <w:spacing w:val="-9"/>
          </w:rPr>
          <w:t xml:space="preserve"> </w:t>
        </w:r>
        <w:r>
          <w:rPr>
            <w:rStyle w:val="1267"/>
          </w:rPr>
          <w:t xml:space="preserve">(горячая</w:t>
        </w:r>
        <w:r>
          <w:rPr>
            <w:rStyle w:val="1267"/>
            <w:spacing w:val="-9"/>
          </w:rPr>
          <w:t xml:space="preserve"> </w:t>
        </w:r>
        <w:r>
          <w:rPr>
            <w:rStyle w:val="1267"/>
          </w:rPr>
          <w:t xml:space="preserve">вода</w:t>
        </w:r>
        <w:r>
          <w:rPr>
            <w:rStyle w:val="1267"/>
            <w:spacing w:val="-8"/>
          </w:rPr>
          <w:t xml:space="preserve"> </w:t>
        </w:r>
        <w:r>
          <w:rPr>
            <w:rStyle w:val="1267"/>
          </w:rPr>
          <w:t xml:space="preserve">и</w:t>
        </w:r>
        <w:r>
          <w:rPr>
            <w:rStyle w:val="1267"/>
            <w:spacing w:val="-8"/>
          </w:rPr>
          <w:t xml:space="preserve"> </w:t>
        </w:r>
        <w:r>
          <w:rPr>
            <w:rStyle w:val="1267"/>
          </w:rPr>
          <w:t xml:space="preserve">пар) в зоне действия каждого из существующих или предлагаемых для строительства источников тепловой энергии на каждом этапе</w:t>
        </w:r>
        <w:r>
          <w:tab/>
        </w:r>
        <w:r>
          <w:fldChar w:fldCharType="begin"/>
        </w:r>
        <w:r>
          <w:instrText xml:space="preserve"> PAGEREF _Toc165540754 \h </w:instrText>
        </w:r>
        <w:r>
          <w:fldChar w:fldCharType="separate"/>
        </w:r>
        <w:r>
          <w:t xml:space="preserve">74</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55" w:anchor="_Toc165540755" w:history="1">
        <w:r>
          <w:rPr>
            <w:rStyle w:val="1267"/>
            <w:lang w:eastAsia="ru-RU"/>
          </w:rPr>
          <w:t xml:space="preserve">2.7 </w:t>
        </w:r>
        <w:r>
          <w:rPr>
            <w:rStyle w:val="1267"/>
          </w:rPr>
          <w:t xml:space="preserve">Описание изменений показателей существующего и перспективного потребления тепловой энергии на цели теплоснабжения</w:t>
        </w:r>
        <w:r>
          <w:tab/>
        </w:r>
        <w:r>
          <w:fldChar w:fldCharType="begin"/>
        </w:r>
        <w:r>
          <w:instrText xml:space="preserve"> PAGEREF _Toc165540755 \h </w:instrText>
        </w:r>
        <w:r>
          <w:fldChar w:fldCharType="separate"/>
        </w:r>
        <w:r>
          <w:t xml:space="preserve">74</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56" w:anchor="_Toc165540756" w:history="1">
        <w:r>
          <w:rPr>
            <w:rStyle w:val="1267"/>
            <w:lang w:eastAsia="ru-RU"/>
          </w:rPr>
          <w:t xml:space="preserve">2.7.1 </w:t>
        </w:r>
        <w:r>
          <w:rPr>
            <w:rStyle w:val="1267"/>
          </w:rPr>
          <w:t xml:space="preserve">Перечень объектов теплопотребления, подключённых к тепловым сетям существующих</w:t>
        </w:r>
        <w:r>
          <w:rPr>
            <w:rStyle w:val="1267"/>
            <w:spacing w:val="-14"/>
          </w:rPr>
          <w:t xml:space="preserve"> </w:t>
        </w:r>
        <w:r>
          <w:rPr>
            <w:rStyle w:val="1267"/>
          </w:rPr>
          <w:t xml:space="preserve">систем</w:t>
        </w:r>
        <w:r>
          <w:rPr>
            <w:rStyle w:val="1267"/>
            <w:spacing w:val="-14"/>
          </w:rPr>
          <w:t xml:space="preserve"> </w:t>
        </w:r>
        <w:r>
          <w:rPr>
            <w:rStyle w:val="1267"/>
          </w:rPr>
          <w:t xml:space="preserve">теплоснабжения</w:t>
        </w:r>
        <w:r>
          <w:rPr>
            <w:rStyle w:val="1267"/>
            <w:spacing w:val="-15"/>
          </w:rPr>
          <w:t xml:space="preserve"> </w:t>
        </w:r>
        <w:r>
          <w:rPr>
            <w:rStyle w:val="1267"/>
          </w:rPr>
          <w:t xml:space="preserve">в</w:t>
        </w:r>
        <w:r>
          <w:rPr>
            <w:rStyle w:val="1267"/>
            <w:spacing w:val="-15"/>
          </w:rPr>
          <w:t xml:space="preserve"> </w:t>
        </w:r>
        <w:r>
          <w:rPr>
            <w:rStyle w:val="1267"/>
          </w:rPr>
          <w:t xml:space="preserve">период,</w:t>
        </w:r>
        <w:r>
          <w:rPr>
            <w:rStyle w:val="1267"/>
            <w:spacing w:val="-15"/>
          </w:rPr>
          <w:t xml:space="preserve"> </w:t>
        </w:r>
        <w:r>
          <w:rPr>
            <w:rStyle w:val="1267"/>
          </w:rPr>
          <w:t xml:space="preserve">предшествующий</w:t>
        </w:r>
        <w:r>
          <w:rPr>
            <w:rStyle w:val="1267"/>
            <w:spacing w:val="-14"/>
          </w:rPr>
          <w:t xml:space="preserve"> </w:t>
        </w:r>
        <w:r>
          <w:rPr>
            <w:rStyle w:val="1267"/>
          </w:rPr>
          <w:t xml:space="preserve">актуализации</w:t>
        </w:r>
        <w:r>
          <w:rPr>
            <w:rStyle w:val="1267"/>
            <w:spacing w:val="-14"/>
          </w:rPr>
          <w:t xml:space="preserve"> </w:t>
        </w:r>
        <w:r>
          <w:rPr>
            <w:rStyle w:val="1267"/>
          </w:rPr>
          <w:t xml:space="preserve">схемы </w:t>
        </w:r>
        <w:r>
          <w:rPr>
            <w:rStyle w:val="1267"/>
            <w:spacing w:val="-2"/>
          </w:rPr>
          <w:t xml:space="preserve">теплоснабжения</w:t>
        </w:r>
        <w:r>
          <w:tab/>
        </w:r>
        <w:r>
          <w:fldChar w:fldCharType="begin"/>
        </w:r>
        <w:r>
          <w:instrText xml:space="preserve"> PAGEREF _Toc165540756 \h </w:instrText>
        </w:r>
        <w:r>
          <w:fldChar w:fldCharType="separate"/>
        </w:r>
        <w:r>
          <w:t xml:space="preserve">74</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57" w:anchor="_Toc165540757" w:history="1">
        <w:r>
          <w:rPr>
            <w:rStyle w:val="1267"/>
            <w:lang w:eastAsia="ru-RU"/>
          </w:rPr>
          <w:t xml:space="preserve">2.7.2 </w:t>
        </w:r>
        <w:r>
          <w:rPr>
            <w:rStyle w:val="1267"/>
          </w:rPr>
          <w:t xml:space="preserve">Актуализированный прогноз перспективной застройки относительно указанного в утверждённой схеме теплоснабжения прогноза перспективной застройки</w:t>
        </w:r>
        <w:r>
          <w:tab/>
        </w:r>
        <w:r>
          <w:fldChar w:fldCharType="begin"/>
        </w:r>
        <w:r>
          <w:instrText xml:space="preserve"> PAGEREF _Toc165540757 \h </w:instrText>
        </w:r>
        <w:r>
          <w:fldChar w:fldCharType="separate"/>
        </w:r>
        <w:r>
          <w:t xml:space="preserve">74</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58" w:anchor="_Toc165540758" w:history="1">
        <w:r>
          <w:rPr>
            <w:rStyle w:val="1267"/>
            <w:lang w:eastAsia="ru-RU"/>
          </w:rPr>
          <w:t xml:space="preserve">2.7.3 </w:t>
        </w:r>
        <w:r>
          <w:rPr>
            <w:rStyle w:val="1267"/>
          </w:rPr>
          <w:t xml:space="preserve">Расчётная</w:t>
        </w:r>
        <w:r>
          <w:rPr>
            <w:rStyle w:val="1267"/>
            <w:spacing w:val="-3"/>
          </w:rPr>
          <w:t xml:space="preserve"> </w:t>
        </w:r>
        <w:r>
          <w:rPr>
            <w:rStyle w:val="1267"/>
          </w:rPr>
          <w:t xml:space="preserve">тепловая</w:t>
        </w:r>
        <w:r>
          <w:rPr>
            <w:rStyle w:val="1267"/>
            <w:spacing w:val="-4"/>
          </w:rPr>
          <w:t xml:space="preserve"> </w:t>
        </w:r>
        <w:r>
          <w:rPr>
            <w:rStyle w:val="1267"/>
          </w:rPr>
          <w:t xml:space="preserve">нагрузка</w:t>
        </w:r>
        <w:r>
          <w:rPr>
            <w:rStyle w:val="1267"/>
            <w:spacing w:val="-3"/>
          </w:rPr>
          <w:t xml:space="preserve"> </w:t>
        </w:r>
        <w:r>
          <w:rPr>
            <w:rStyle w:val="1267"/>
          </w:rPr>
          <w:t xml:space="preserve">на</w:t>
        </w:r>
        <w:r>
          <w:rPr>
            <w:rStyle w:val="1267"/>
            <w:spacing w:val="-1"/>
          </w:rPr>
          <w:t xml:space="preserve"> </w:t>
        </w:r>
        <w:r>
          <w:rPr>
            <w:rStyle w:val="1267"/>
          </w:rPr>
          <w:t xml:space="preserve">коллекторах</w:t>
        </w:r>
        <w:r>
          <w:rPr>
            <w:rStyle w:val="1267"/>
            <w:spacing w:val="-3"/>
          </w:rPr>
          <w:t xml:space="preserve"> </w:t>
        </w:r>
        <w:r>
          <w:rPr>
            <w:rStyle w:val="1267"/>
          </w:rPr>
          <w:t xml:space="preserve">источников</w:t>
        </w:r>
        <w:r>
          <w:rPr>
            <w:rStyle w:val="1267"/>
            <w:spacing w:val="-3"/>
          </w:rPr>
          <w:t xml:space="preserve"> </w:t>
        </w:r>
        <w:r>
          <w:rPr>
            <w:rStyle w:val="1267"/>
          </w:rPr>
          <w:t xml:space="preserve">тепловой</w:t>
        </w:r>
        <w:r>
          <w:rPr>
            <w:rStyle w:val="1267"/>
            <w:spacing w:val="-2"/>
          </w:rPr>
          <w:t xml:space="preserve"> энергии</w:t>
        </w:r>
        <w:r>
          <w:tab/>
        </w:r>
        <w:r>
          <w:fldChar w:fldCharType="begin"/>
        </w:r>
        <w:r>
          <w:instrText xml:space="preserve"> PAGEREF _Toc165540758 \h </w:instrText>
        </w:r>
        <w:r>
          <w:fldChar w:fldCharType="separate"/>
        </w:r>
        <w:r>
          <w:t xml:space="preserve">74</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59" w:anchor="_Toc165540759" w:history="1">
        <w:r>
          <w:rPr>
            <w:rStyle w:val="1267"/>
            <w:lang w:eastAsia="ru-RU"/>
          </w:rPr>
          <w:t xml:space="preserve">2.7.4 </w:t>
        </w:r>
        <w:r>
          <w:rPr>
            <w:rStyle w:val="1267"/>
          </w:rPr>
          <w:t xml:space="preserve">Фактические</w:t>
        </w:r>
        <w:r>
          <w:rPr>
            <w:rStyle w:val="1267"/>
            <w:spacing w:val="-6"/>
          </w:rPr>
          <w:t xml:space="preserve"> </w:t>
        </w:r>
        <w:r>
          <w:rPr>
            <w:rStyle w:val="1267"/>
          </w:rPr>
          <w:t xml:space="preserve">расходы</w:t>
        </w:r>
        <w:r>
          <w:rPr>
            <w:rStyle w:val="1267"/>
            <w:spacing w:val="-2"/>
          </w:rPr>
          <w:t xml:space="preserve"> </w:t>
        </w:r>
        <w:r>
          <w:rPr>
            <w:rStyle w:val="1267"/>
          </w:rPr>
          <w:t xml:space="preserve">теплоносителя</w:t>
        </w:r>
        <w:r>
          <w:rPr>
            <w:rStyle w:val="1267"/>
            <w:spacing w:val="-4"/>
          </w:rPr>
          <w:t xml:space="preserve"> </w:t>
        </w:r>
        <w:r>
          <w:rPr>
            <w:rStyle w:val="1267"/>
          </w:rPr>
          <w:t xml:space="preserve">в</w:t>
        </w:r>
        <w:r>
          <w:rPr>
            <w:rStyle w:val="1267"/>
            <w:spacing w:val="-3"/>
          </w:rPr>
          <w:t xml:space="preserve"> </w:t>
        </w:r>
        <w:r>
          <w:rPr>
            <w:rStyle w:val="1267"/>
          </w:rPr>
          <w:t xml:space="preserve">отопительный</w:t>
        </w:r>
        <w:r>
          <w:rPr>
            <w:rStyle w:val="1267"/>
            <w:spacing w:val="-3"/>
          </w:rPr>
          <w:t xml:space="preserve"> </w:t>
        </w:r>
        <w:r>
          <w:rPr>
            <w:rStyle w:val="1267"/>
          </w:rPr>
          <w:t xml:space="preserve">и</w:t>
        </w:r>
        <w:r>
          <w:rPr>
            <w:rStyle w:val="1267"/>
            <w:spacing w:val="-2"/>
          </w:rPr>
          <w:t xml:space="preserve"> </w:t>
        </w:r>
        <w:r>
          <w:rPr>
            <w:rStyle w:val="1267"/>
          </w:rPr>
          <w:t xml:space="preserve">летний</w:t>
        </w:r>
        <w:r>
          <w:rPr>
            <w:rStyle w:val="1267"/>
            <w:spacing w:val="-4"/>
          </w:rPr>
          <w:t xml:space="preserve"> </w:t>
        </w:r>
        <w:r>
          <w:rPr>
            <w:rStyle w:val="1267"/>
            <w:spacing w:val="-2"/>
          </w:rPr>
          <w:t xml:space="preserve">периоды</w:t>
        </w:r>
        <w:r>
          <w:tab/>
        </w:r>
        <w:r>
          <w:fldChar w:fldCharType="begin"/>
        </w:r>
        <w:r>
          <w:instrText xml:space="preserve"> PAGEREF _Toc165540759 \h </w:instrText>
        </w:r>
        <w:r>
          <w:fldChar w:fldCharType="separate"/>
        </w:r>
        <w:r>
          <w:t xml:space="preserve">74</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60" w:anchor="_Toc165540760" w:history="1">
        <w:r>
          <w:rPr>
            <w:rStyle w:val="1267"/>
          </w:rPr>
          <w:t xml:space="preserve">Глава</w:t>
        </w:r>
        <w:r>
          <w:rPr>
            <w:rStyle w:val="1267"/>
            <w:spacing w:val="-7"/>
          </w:rPr>
          <w:t xml:space="preserve"> </w:t>
        </w:r>
        <w:r>
          <w:rPr>
            <w:rStyle w:val="1267"/>
          </w:rPr>
          <w:t xml:space="preserve">3</w:t>
        </w:r>
        <w:r>
          <w:rPr>
            <w:rStyle w:val="1267"/>
            <w:spacing w:val="4"/>
          </w:rPr>
          <w:t xml:space="preserve"> </w:t>
        </w:r>
        <w:r>
          <w:rPr>
            <w:rStyle w:val="1267"/>
          </w:rPr>
          <w:t xml:space="preserve">Электронная</w:t>
        </w:r>
        <w:r>
          <w:rPr>
            <w:rStyle w:val="1267"/>
            <w:spacing w:val="-4"/>
          </w:rPr>
          <w:t xml:space="preserve"> </w:t>
        </w:r>
        <w:r>
          <w:rPr>
            <w:rStyle w:val="1267"/>
          </w:rPr>
          <w:t xml:space="preserve">модель</w:t>
        </w:r>
        <w:r>
          <w:rPr>
            <w:rStyle w:val="1267"/>
            <w:spacing w:val="-3"/>
          </w:rPr>
          <w:t xml:space="preserve"> </w:t>
        </w:r>
        <w:r>
          <w:rPr>
            <w:rStyle w:val="1267"/>
          </w:rPr>
          <w:t xml:space="preserve">системы</w:t>
        </w:r>
        <w:r>
          <w:rPr>
            <w:rStyle w:val="1267"/>
            <w:spacing w:val="-4"/>
          </w:rPr>
          <w:t xml:space="preserve"> </w:t>
        </w:r>
        <w:r>
          <w:rPr>
            <w:rStyle w:val="1267"/>
          </w:rPr>
          <w:t xml:space="preserve">теплоснабжения</w:t>
        </w:r>
        <w:r>
          <w:rPr>
            <w:rStyle w:val="1267"/>
            <w:spacing w:val="-3"/>
          </w:rPr>
          <w:t xml:space="preserve"> </w:t>
        </w:r>
        <w:r>
          <w:rPr>
            <w:rStyle w:val="1267"/>
            <w:spacing w:val="-2"/>
          </w:rPr>
          <w:t xml:space="preserve">поселения</w:t>
        </w:r>
        <w:r>
          <w:tab/>
        </w:r>
        <w:r>
          <w:fldChar w:fldCharType="begin"/>
        </w:r>
        <w:r>
          <w:instrText xml:space="preserve"> PAGEREF _Toc165540760 \h </w:instrText>
        </w:r>
        <w:r>
          <w:fldChar w:fldCharType="separate"/>
        </w:r>
        <w:r>
          <w:t xml:space="preserve">75</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61" w:anchor="_Toc165540761" w:history="1">
        <w:r>
          <w:rPr>
            <w:rStyle w:val="1267"/>
          </w:rPr>
          <w:t xml:space="preserve">Глава</w:t>
        </w:r>
        <w:r>
          <w:rPr>
            <w:rStyle w:val="1267"/>
            <w:spacing w:val="-3"/>
          </w:rPr>
          <w:t xml:space="preserve"> </w:t>
        </w:r>
        <w:r>
          <w:rPr>
            <w:rStyle w:val="1267"/>
          </w:rPr>
          <w:t xml:space="preserve">4 Существующие и перспективные балансы тепловой мощности источников тепловой энергии и тепловой нагрузки потребителей</w:t>
        </w:r>
        <w:r>
          <w:tab/>
        </w:r>
        <w:r>
          <w:fldChar w:fldCharType="begin"/>
        </w:r>
        <w:r>
          <w:instrText xml:space="preserve"> PAGEREF _Toc165540761 \h </w:instrText>
        </w:r>
        <w:r>
          <w:fldChar w:fldCharType="separate"/>
        </w:r>
        <w:r>
          <w:t xml:space="preserve">76</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62" w:anchor="_Toc165540762" w:history="1">
        <w:r>
          <w:rPr>
            <w:rStyle w:val="1267"/>
            <w:lang w:eastAsia="ru-RU"/>
          </w:rPr>
          <w:t xml:space="preserve">4.1 </w:t>
        </w:r>
        <w:r>
          <w:rPr>
            <w:rStyle w:val="1267"/>
          </w:rPr>
          <w:t xml:space="preserve">Балансы существующей на базовый период схемы теплоснабжени</w:t>
        </w:r>
        <w:r>
          <w:rPr>
            <w:rStyle w:val="1267"/>
          </w:rPr>
          <w:t xml:space="preserve">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w:t>
        </w:r>
        <w:r>
          <w:rPr>
            <w:rStyle w:val="1267"/>
          </w:rPr>
          <w:t xml:space="preserve">анавливаемых на основании величины расчётной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w:t>
        </w:r>
        <w:r>
          <w:rPr>
            <w:rStyle w:val="1267"/>
          </w:rPr>
          <w:t xml:space="preserve">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w:t>
        </w:r>
        <w:r>
          <w:rPr>
            <w:rStyle w:val="1267"/>
            <w:spacing w:val="-2"/>
          </w:rPr>
          <w:t xml:space="preserve">аренды</w:t>
        </w:r>
        <w:r>
          <w:tab/>
        </w:r>
        <w:r>
          <w:fldChar w:fldCharType="begin"/>
        </w:r>
        <w:r>
          <w:instrText xml:space="preserve"> PAGEREF _Toc165540762 \h </w:instrText>
        </w:r>
        <w:r>
          <w:fldChar w:fldCharType="separate"/>
        </w:r>
        <w:r>
          <w:t xml:space="preserve">76</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63" w:anchor="_Toc165540763" w:history="1">
        <w:r>
          <w:rPr>
            <w:rStyle w:val="1267"/>
            <w:lang w:eastAsia="ru-RU"/>
          </w:rPr>
          <w:t xml:space="preserve">4.2 </w:t>
        </w:r>
        <w:r>
          <w:rPr>
            <w:rStyle w:val="1267"/>
          </w:rPr>
          <w:t xml:space="preserve">Гидравлический</w:t>
        </w:r>
        <w:r>
          <w:rPr>
            <w:rStyle w:val="1267"/>
            <w:spacing w:val="-6"/>
          </w:rPr>
          <w:t xml:space="preserve"> </w:t>
        </w:r>
        <w:r>
          <w:rPr>
            <w:rStyle w:val="1267"/>
          </w:rPr>
          <w:t xml:space="preserve">расчёт</w:t>
        </w:r>
        <w:r>
          <w:rPr>
            <w:rStyle w:val="1267"/>
            <w:spacing w:val="-5"/>
          </w:rPr>
          <w:t xml:space="preserve"> </w:t>
        </w:r>
        <w:r>
          <w:rPr>
            <w:rStyle w:val="1267"/>
          </w:rPr>
          <w:t xml:space="preserve">передачи</w:t>
        </w:r>
        <w:r>
          <w:rPr>
            <w:rStyle w:val="1267"/>
            <w:spacing w:val="-8"/>
          </w:rPr>
          <w:t xml:space="preserve"> </w:t>
        </w:r>
        <w:r>
          <w:rPr>
            <w:rStyle w:val="1267"/>
          </w:rPr>
          <w:t xml:space="preserve">теплоносителя</w:t>
        </w:r>
        <w:r>
          <w:rPr>
            <w:rStyle w:val="1267"/>
            <w:spacing w:val="-7"/>
          </w:rPr>
          <w:t xml:space="preserve"> </w:t>
        </w:r>
        <w:r>
          <w:rPr>
            <w:rStyle w:val="1267"/>
          </w:rPr>
          <w:t xml:space="preserve">для</w:t>
        </w:r>
        <w:r>
          <w:rPr>
            <w:rStyle w:val="1267"/>
            <w:spacing w:val="-9"/>
          </w:rPr>
          <w:t xml:space="preserve"> </w:t>
        </w:r>
        <w:r>
          <w:rPr>
            <w:rStyle w:val="1267"/>
          </w:rPr>
          <w:t xml:space="preserve">каждого</w:t>
        </w:r>
        <w:r>
          <w:rPr>
            <w:rStyle w:val="1267"/>
            <w:spacing w:val="-6"/>
          </w:rPr>
          <w:t xml:space="preserve"> </w:t>
        </w:r>
        <w:r>
          <w:rPr>
            <w:rStyle w:val="1267"/>
          </w:rPr>
          <w:t xml:space="preserve">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присоединённых к тепловой сети от каждого источника тепловой энергии</w:t>
        </w:r>
        <w:r>
          <w:tab/>
        </w:r>
        <w:r>
          <w:fldChar w:fldCharType="begin"/>
        </w:r>
        <w:r>
          <w:instrText xml:space="preserve"> PAGEREF _Toc165540763 \h </w:instrText>
        </w:r>
        <w:r>
          <w:fldChar w:fldCharType="separate"/>
        </w:r>
        <w:r>
          <w:t xml:space="preserve">76</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64" w:anchor="_Toc165540764" w:history="1">
        <w:r>
          <w:rPr>
            <w:rStyle w:val="1267"/>
            <w:lang w:eastAsia="ru-RU"/>
          </w:rPr>
          <w:t xml:space="preserve">4.3 </w:t>
        </w:r>
        <w:r>
          <w:rPr>
            <w:rStyle w:val="1267"/>
          </w:rPr>
          <w:t xml:space="preserve">Выводы о резервах (дефицитах) существующей системы теплоснабжения при обеспечении перспективной тепловой нагрузки потребителей</w:t>
        </w:r>
        <w:r>
          <w:tab/>
        </w:r>
        <w:r>
          <w:fldChar w:fldCharType="begin"/>
        </w:r>
        <w:r>
          <w:instrText xml:space="preserve"> PAGEREF _Toc165540764 \h </w:instrText>
        </w:r>
        <w:r>
          <w:fldChar w:fldCharType="separate"/>
        </w:r>
        <w:r>
          <w:t xml:space="preserve">77</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65" w:anchor="_Toc165540765" w:history="1">
        <w:r>
          <w:rPr>
            <w:rStyle w:val="1267"/>
            <w:lang w:eastAsia="ru-RU"/>
          </w:rPr>
          <w:t xml:space="preserve">4.4 </w:t>
        </w:r>
        <w:r>
          <w:rPr>
            <w:rStyle w:val="1267"/>
          </w:rPr>
          <w:t xml:space="preserve">Описание изменений существующих и перспективных балансов тепловой мощности</w:t>
        </w:r>
        <w:r>
          <w:rPr>
            <w:rStyle w:val="1267"/>
            <w:spacing w:val="-1"/>
          </w:rPr>
          <w:t xml:space="preserve"> </w:t>
        </w:r>
        <w:r>
          <w:rPr>
            <w:rStyle w:val="1267"/>
          </w:rPr>
          <w:t xml:space="preserve">источников</w:t>
        </w:r>
        <w:r>
          <w:rPr>
            <w:rStyle w:val="1267"/>
            <w:spacing w:val="-4"/>
          </w:rPr>
          <w:t xml:space="preserve"> </w:t>
        </w:r>
        <w:r>
          <w:rPr>
            <w:rStyle w:val="1267"/>
          </w:rPr>
          <w:t xml:space="preserve">тепловой</w:t>
        </w:r>
        <w:r>
          <w:rPr>
            <w:rStyle w:val="1267"/>
            <w:spacing w:val="-1"/>
          </w:rPr>
          <w:t xml:space="preserve"> </w:t>
        </w:r>
        <w:r>
          <w:rPr>
            <w:rStyle w:val="1267"/>
          </w:rPr>
          <w:t xml:space="preserve">энергии</w:t>
        </w:r>
        <w:r>
          <w:rPr>
            <w:rStyle w:val="1267"/>
            <w:spacing w:val="-1"/>
          </w:rPr>
          <w:t xml:space="preserve"> </w:t>
        </w:r>
        <w:r>
          <w:rPr>
            <w:rStyle w:val="1267"/>
          </w:rPr>
          <w:t xml:space="preserve">и</w:t>
        </w:r>
        <w:r>
          <w:rPr>
            <w:rStyle w:val="1267"/>
            <w:spacing w:val="-3"/>
          </w:rPr>
          <w:t xml:space="preserve"> </w:t>
        </w:r>
        <w:r>
          <w:rPr>
            <w:rStyle w:val="1267"/>
          </w:rPr>
          <w:t xml:space="preserve">тепловой</w:t>
        </w:r>
        <w:r>
          <w:rPr>
            <w:rStyle w:val="1267"/>
            <w:spacing w:val="-1"/>
          </w:rPr>
          <w:t xml:space="preserve"> </w:t>
        </w:r>
        <w:r>
          <w:rPr>
            <w:rStyle w:val="1267"/>
          </w:rPr>
          <w:t xml:space="preserve">нагрузки потребителей</w:t>
        </w:r>
        <w:r>
          <w:rPr>
            <w:rStyle w:val="1267"/>
            <w:spacing w:val="-1"/>
          </w:rPr>
          <w:t xml:space="preserve"> </w:t>
        </w:r>
        <w:r>
          <w:rPr>
            <w:rStyle w:val="1267"/>
          </w:rPr>
          <w:t xml:space="preserve">для</w:t>
        </w:r>
        <w:r>
          <w:rPr>
            <w:rStyle w:val="1267"/>
            <w:spacing w:val="-2"/>
          </w:rPr>
          <w:t xml:space="preserve"> </w:t>
        </w:r>
        <w:r>
          <w:rPr>
            <w:rStyle w:val="1267"/>
          </w:rPr>
          <w:t xml:space="preserve">каждой системы теплоснабжения за период, предшествующий актуализации схемы </w:t>
        </w:r>
        <w:r>
          <w:rPr>
            <w:rStyle w:val="1267"/>
            <w:spacing w:val="-2"/>
          </w:rPr>
          <w:t xml:space="preserve">теплоснабжения</w:t>
        </w:r>
        <w:r>
          <w:tab/>
        </w:r>
        <w:r>
          <w:fldChar w:fldCharType="begin"/>
        </w:r>
        <w:r>
          <w:instrText xml:space="preserve"> PAGEREF _Toc165540765 \h </w:instrText>
        </w:r>
        <w:r>
          <w:fldChar w:fldCharType="separate"/>
        </w:r>
        <w:r>
          <w:t xml:space="preserve">77</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66" w:anchor="_Toc165540766" w:history="1">
        <w:r>
          <w:rPr>
            <w:rStyle w:val="1267"/>
          </w:rPr>
          <w:t xml:space="preserve">Глава</w:t>
        </w:r>
        <w:r>
          <w:rPr>
            <w:rStyle w:val="1267"/>
            <w:spacing w:val="-6"/>
          </w:rPr>
          <w:t xml:space="preserve"> </w:t>
        </w:r>
        <w:r>
          <w:rPr>
            <w:rStyle w:val="1267"/>
          </w:rPr>
          <w:t xml:space="preserve">5</w:t>
        </w:r>
        <w:r>
          <w:rPr>
            <w:rStyle w:val="1267"/>
            <w:spacing w:val="4"/>
          </w:rPr>
          <w:t xml:space="preserve"> </w:t>
        </w:r>
        <w:r>
          <w:rPr>
            <w:rStyle w:val="1267"/>
          </w:rPr>
          <w:t xml:space="preserve">Мастер-план</w:t>
        </w:r>
        <w:r>
          <w:rPr>
            <w:rStyle w:val="1267"/>
            <w:spacing w:val="-4"/>
          </w:rPr>
          <w:t xml:space="preserve"> </w:t>
        </w:r>
        <w:r>
          <w:rPr>
            <w:rStyle w:val="1267"/>
          </w:rPr>
          <w:t xml:space="preserve">ра</w:t>
        </w:r>
        <w:r>
          <w:rPr>
            <w:rStyle w:val="1267"/>
          </w:rPr>
          <w:t xml:space="preserve">з</w:t>
        </w:r>
        <w:r>
          <w:rPr>
            <w:rStyle w:val="1267"/>
          </w:rPr>
          <w:t xml:space="preserve">вития</w:t>
        </w:r>
        <w:r>
          <w:rPr>
            <w:rStyle w:val="1267"/>
            <w:spacing w:val="-3"/>
          </w:rPr>
          <w:t xml:space="preserve"> </w:t>
        </w:r>
        <w:r>
          <w:rPr>
            <w:rStyle w:val="1267"/>
          </w:rPr>
          <w:t xml:space="preserve">систем</w:t>
        </w:r>
        <w:r>
          <w:rPr>
            <w:rStyle w:val="1267"/>
            <w:spacing w:val="-4"/>
          </w:rPr>
          <w:t xml:space="preserve"> </w:t>
        </w:r>
        <w:r>
          <w:rPr>
            <w:rStyle w:val="1267"/>
          </w:rPr>
          <w:t xml:space="preserve">теплоснабжения</w:t>
        </w:r>
        <w:r>
          <w:rPr>
            <w:rStyle w:val="1267"/>
            <w:spacing w:val="-2"/>
          </w:rPr>
          <w:t xml:space="preserve"> поселения</w:t>
        </w:r>
        <w:r>
          <w:tab/>
        </w:r>
        <w:r>
          <w:fldChar w:fldCharType="begin"/>
        </w:r>
        <w:r>
          <w:instrText xml:space="preserve"> PAGEREF _Toc165540766 \h </w:instrText>
        </w:r>
        <w:r>
          <w:fldChar w:fldCharType="separate"/>
        </w:r>
        <w:r>
          <w:t xml:space="preserve">78</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67" w:anchor="_Toc165540767" w:history="1">
        <w:r>
          <w:rPr>
            <w:rStyle w:val="1267"/>
            <w:lang w:eastAsia="ru-RU"/>
          </w:rPr>
          <w:t xml:space="preserve">5.1 </w:t>
        </w:r>
        <w:r>
          <w:rPr>
            <w:rStyle w:val="1267"/>
          </w:rPr>
          <w:t xml:space="preserve">Описание вариантов (не менее двух) перспективного развития систем теплоснабжения поселения (в случае их изменения относительно ранее принятого варианта развития систем теплоснабжения в утверждённой в установленном порядке схеме теплоснабжения)</w:t>
        </w:r>
        <w:r>
          <w:tab/>
        </w:r>
        <w:r>
          <w:fldChar w:fldCharType="begin"/>
        </w:r>
        <w:r>
          <w:instrText xml:space="preserve"> PAGEREF _Toc165540767 \h </w:instrText>
        </w:r>
        <w:r>
          <w:fldChar w:fldCharType="separate"/>
        </w:r>
        <w:r>
          <w:t xml:space="preserve">78</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68" w:anchor="_Toc165540768" w:history="1">
        <w:r>
          <w:rPr>
            <w:rStyle w:val="1267"/>
            <w:lang w:eastAsia="ru-RU"/>
          </w:rPr>
          <w:t xml:space="preserve">5.2 </w:t>
        </w:r>
        <w:r>
          <w:rPr>
            <w:rStyle w:val="1267"/>
          </w:rPr>
          <w:t xml:space="preserve">Технико-экономическое сравнение вариантов перспективного развития систем теплоснабжения поселения</w:t>
        </w:r>
        <w:r>
          <w:tab/>
        </w:r>
        <w:r>
          <w:fldChar w:fldCharType="begin"/>
        </w:r>
        <w:r>
          <w:instrText xml:space="preserve"> PAGEREF _Toc165540768 \h </w:instrText>
        </w:r>
        <w:r>
          <w:fldChar w:fldCharType="separate"/>
        </w:r>
        <w:r>
          <w:t xml:space="preserve">78</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69" w:anchor="_Toc165540769" w:history="1">
        <w:r>
          <w:rPr>
            <w:rStyle w:val="1267"/>
            <w:lang w:eastAsia="ru-RU"/>
          </w:rPr>
          <w:t xml:space="preserve">5.3 </w:t>
        </w:r>
        <w:r>
          <w:rPr>
            <w:rStyle w:val="1267"/>
          </w:rPr>
          <w:t xml:space="preserve">Обоснование выбора приоритетного варианта перспективного развития систем</w:t>
        </w:r>
        <w:r>
          <w:rPr>
            <w:rStyle w:val="1267"/>
            <w:spacing w:val="-10"/>
          </w:rPr>
          <w:t xml:space="preserve"> </w:t>
        </w:r>
        <w:r>
          <w:rPr>
            <w:rStyle w:val="1267"/>
          </w:rPr>
          <w:t xml:space="preserve">теплоснабжения</w:t>
        </w:r>
        <w:r>
          <w:rPr>
            <w:rStyle w:val="1267"/>
            <w:spacing w:val="-7"/>
          </w:rPr>
          <w:t xml:space="preserve"> </w:t>
        </w:r>
        <w:r>
          <w:rPr>
            <w:rStyle w:val="1267"/>
          </w:rPr>
          <w:t xml:space="preserve">поселения,</w:t>
        </w:r>
        <w:r>
          <w:rPr>
            <w:rStyle w:val="1267"/>
            <w:spacing w:val="-10"/>
          </w:rPr>
          <w:t xml:space="preserve"> </w:t>
        </w:r>
        <w:r>
          <w:rPr>
            <w:rStyle w:val="1267"/>
          </w:rPr>
          <w:t xml:space="preserve">городского</w:t>
        </w:r>
        <w:r>
          <w:rPr>
            <w:rStyle w:val="1267"/>
            <w:spacing w:val="-9"/>
          </w:rPr>
          <w:t xml:space="preserve"> </w:t>
        </w:r>
        <w:r>
          <w:rPr>
            <w:rStyle w:val="1267"/>
          </w:rPr>
          <w:t xml:space="preserve">округа,</w:t>
        </w:r>
        <w:r>
          <w:rPr>
            <w:rStyle w:val="1267"/>
            <w:spacing w:val="-9"/>
          </w:rPr>
          <w:t xml:space="preserve"> </w:t>
        </w:r>
        <w:r>
          <w:rPr>
            <w:rStyle w:val="1267"/>
          </w:rPr>
          <w:t xml:space="preserve">города</w:t>
        </w:r>
        <w:r>
          <w:rPr>
            <w:rStyle w:val="1267"/>
            <w:spacing w:val="-9"/>
          </w:rPr>
          <w:t xml:space="preserve"> </w:t>
        </w:r>
        <w:r>
          <w:rPr>
            <w:rStyle w:val="1267"/>
          </w:rPr>
          <w:t xml:space="preserve">федерального</w:t>
        </w:r>
        <w:r>
          <w:rPr>
            <w:rStyle w:val="1267"/>
            <w:spacing w:val="-9"/>
          </w:rPr>
          <w:t xml:space="preserve"> </w:t>
        </w:r>
        <w:r>
          <w:rPr>
            <w:rStyle w:val="1267"/>
          </w:rPr>
          <w:t xml:space="preserve">значения</w:t>
        </w:r>
        <w:r>
          <w:rPr>
            <w:rStyle w:val="1267"/>
            <w:spacing w:val="-10"/>
          </w:rPr>
          <w:t xml:space="preserve"> </w:t>
        </w:r>
        <w:r>
          <w:rPr>
            <w:rStyle w:val="1267"/>
          </w:rPr>
          <w:t xml:space="preserve">на основе анализа ценовых (тарифных) последствий для потребителей</w:t>
        </w:r>
        <w:r>
          <w:tab/>
        </w:r>
        <w:r>
          <w:fldChar w:fldCharType="begin"/>
        </w:r>
        <w:r>
          <w:instrText xml:space="preserve"> PAGEREF _Toc165540769 \h </w:instrText>
        </w:r>
        <w:r>
          <w:fldChar w:fldCharType="separate"/>
        </w:r>
        <w:r>
          <w:t xml:space="preserve">79</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70" w:anchor="_Toc165540770" w:history="1">
        <w:r>
          <w:rPr>
            <w:rStyle w:val="1267"/>
            <w:lang w:eastAsia="ru-RU"/>
          </w:rPr>
          <w:t xml:space="preserve">5.4 </w:t>
        </w:r>
        <w:r>
          <w:rPr>
            <w:rStyle w:val="1267"/>
          </w:rPr>
          <w:t xml:space="preserve">Описание изменений в мастер-плане развития систем теплоснабжения поселения, городского округа, города федерального значения за период, предшествующий актуализации схемы теплоснабжения</w:t>
        </w:r>
        <w:r>
          <w:tab/>
        </w:r>
        <w:r>
          <w:fldChar w:fldCharType="begin"/>
        </w:r>
        <w:r>
          <w:instrText xml:space="preserve"> PAGEREF _Toc165540770 \h </w:instrText>
        </w:r>
        <w:r>
          <w:fldChar w:fldCharType="separate"/>
        </w:r>
        <w:r>
          <w:t xml:space="preserve">79</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71" w:anchor="_Toc165540771" w:history="1">
        <w:r>
          <w:rPr>
            <w:rStyle w:val="1267"/>
          </w:rPr>
          <w:t xml:space="preserve">Глава</w:t>
        </w:r>
        <w:r>
          <w:rPr>
            <w:rStyle w:val="1267"/>
            <w:spacing w:val="-3"/>
          </w:rPr>
          <w:t xml:space="preserve"> </w:t>
        </w:r>
        <w:r>
          <w:rPr>
            <w:rStyle w:val="1267"/>
          </w:rPr>
          <w:t xml:space="preserve">6 Существующие</w:t>
        </w:r>
        <w:r>
          <w:rPr>
            <w:rStyle w:val="1267"/>
            <w:spacing w:val="40"/>
          </w:rPr>
          <w:t xml:space="preserve"> </w:t>
        </w:r>
        <w:r>
          <w:rPr>
            <w:rStyle w:val="1267"/>
          </w:rPr>
          <w:t xml:space="preserve">и</w:t>
        </w:r>
        <w:r>
          <w:rPr>
            <w:rStyle w:val="1267"/>
            <w:spacing w:val="40"/>
          </w:rPr>
          <w:t xml:space="preserve"> </w:t>
        </w:r>
        <w:r>
          <w:rPr>
            <w:rStyle w:val="1267"/>
          </w:rPr>
          <w:t xml:space="preserve">перспективные</w:t>
        </w:r>
        <w:r>
          <w:rPr>
            <w:rStyle w:val="1267"/>
            <w:spacing w:val="40"/>
          </w:rPr>
          <w:t xml:space="preserve"> </w:t>
        </w:r>
        <w:r>
          <w:rPr>
            <w:rStyle w:val="1267"/>
          </w:rPr>
          <w:t xml:space="preserve">балансы</w:t>
        </w:r>
        <w:r>
          <w:rPr>
            <w:rStyle w:val="1267"/>
            <w:spacing w:val="40"/>
          </w:rPr>
          <w:t xml:space="preserve"> </w:t>
        </w:r>
        <w:r>
          <w:rPr>
            <w:rStyle w:val="1267"/>
          </w:rPr>
          <w:t xml:space="preserve">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r>
          <w:tab/>
        </w:r>
        <w:r>
          <w:fldChar w:fldCharType="begin"/>
        </w:r>
        <w:r>
          <w:instrText xml:space="preserve"> PAGEREF _Toc165540771 \h </w:instrText>
        </w:r>
        <w:r>
          <w:fldChar w:fldCharType="separate"/>
        </w:r>
        <w:r>
          <w:t xml:space="preserve">80</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72" w:anchor="_Toc165540772" w:history="1">
        <w:r>
          <w:rPr>
            <w:rStyle w:val="1267"/>
          </w:rPr>
          <w:t xml:space="preserve">6.1 Расчётная величин</w:t>
        </w:r>
        <w:r>
          <w:rPr>
            <w:rStyle w:val="1267"/>
          </w:rPr>
          <w:t xml:space="preserve">а нормативных потерь (в ценовых зонах теплоснабжения - расчётную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r>
          <w:tab/>
        </w:r>
        <w:r>
          <w:fldChar w:fldCharType="begin"/>
        </w:r>
        <w:r>
          <w:instrText xml:space="preserve"> PAGEREF _Toc165540772 \h </w:instrText>
        </w:r>
        <w:r>
          <w:fldChar w:fldCharType="separate"/>
        </w:r>
        <w:r>
          <w:t xml:space="preserve">80</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73" w:anchor="_Toc165540773" w:history="1">
        <w:r>
          <w:rPr>
            <w:rStyle w:val="1267"/>
            <w:lang w:eastAsia="ru-RU"/>
          </w:rPr>
          <w:t xml:space="preserve">6.2 </w:t>
        </w:r>
        <w:r>
          <w:rPr>
            <w:rStyle w:val="1267"/>
          </w:rPr>
          <w:t xml:space="preserve">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w:t>
        </w:r>
        <w:r>
          <w:rPr>
            <w:rStyle w:val="1267"/>
            <w:spacing w:val="-15"/>
          </w:rPr>
          <w:t xml:space="preserve"> </w:t>
        </w:r>
        <w:r>
          <w:rPr>
            <w:rStyle w:val="1267"/>
          </w:rPr>
          <w:t xml:space="preserve">в</w:t>
        </w:r>
        <w:r>
          <w:rPr>
            <w:rStyle w:val="1267"/>
            <w:spacing w:val="-15"/>
          </w:rPr>
          <w:t xml:space="preserve"> </w:t>
        </w:r>
        <w:r>
          <w:rPr>
            <w:rStyle w:val="1267"/>
          </w:rPr>
          <w:t xml:space="preserve">зоне</w:t>
        </w:r>
        <w:r>
          <w:rPr>
            <w:rStyle w:val="1267"/>
            <w:spacing w:val="-15"/>
          </w:rPr>
          <w:t xml:space="preserve"> </w:t>
        </w:r>
        <w:r>
          <w:rPr>
            <w:rStyle w:val="1267"/>
          </w:rPr>
          <w:t xml:space="preserve">действия</w:t>
        </w:r>
        <w:r>
          <w:rPr>
            <w:rStyle w:val="1267"/>
            <w:spacing w:val="-15"/>
          </w:rPr>
          <w:t xml:space="preserve"> </w:t>
        </w:r>
        <w:r>
          <w:rPr>
            <w:rStyle w:val="1267"/>
          </w:rPr>
          <w:t xml:space="preserve">каждого</w:t>
        </w:r>
        <w:r>
          <w:rPr>
            <w:rStyle w:val="1267"/>
            <w:spacing w:val="-15"/>
          </w:rPr>
          <w:t xml:space="preserve"> </w:t>
        </w:r>
        <w:r>
          <w:rPr>
            <w:rStyle w:val="1267"/>
          </w:rPr>
          <w:t xml:space="preserve">источника</w:t>
        </w:r>
        <w:r>
          <w:rPr>
            <w:rStyle w:val="1267"/>
            <w:spacing w:val="-15"/>
          </w:rPr>
          <w:t xml:space="preserve"> </w:t>
        </w:r>
        <w:r>
          <w:rPr>
            <w:rStyle w:val="1267"/>
          </w:rPr>
          <w:t xml:space="preserve">тепловой</w:t>
        </w:r>
        <w:r>
          <w:rPr>
            <w:rStyle w:val="1267"/>
            <w:spacing w:val="-15"/>
          </w:rPr>
          <w:t xml:space="preserve"> </w:t>
        </w:r>
        <w:r>
          <w:rPr>
            <w:rStyle w:val="1267"/>
          </w:rPr>
          <w:t xml:space="preserve">энергии,</w:t>
        </w:r>
        <w:r>
          <w:rPr>
            <w:rStyle w:val="1267"/>
            <w:spacing w:val="-15"/>
          </w:rPr>
          <w:t xml:space="preserve"> </w:t>
        </w:r>
        <w:r>
          <w:rPr>
            <w:rStyle w:val="1267"/>
          </w:rPr>
          <w:t xml:space="preserve">рассчитываемый с</w:t>
        </w:r>
        <w:r>
          <w:rPr>
            <w:rStyle w:val="1267"/>
            <w:spacing w:val="-9"/>
          </w:rPr>
          <w:t xml:space="preserve"> </w:t>
        </w:r>
        <w:r>
          <w:rPr>
            <w:rStyle w:val="1267"/>
          </w:rPr>
          <w:t xml:space="preserve">учётом</w:t>
        </w:r>
        <w:r>
          <w:rPr>
            <w:rStyle w:val="1267"/>
            <w:spacing w:val="-11"/>
          </w:rPr>
          <w:t xml:space="preserve"> </w:t>
        </w:r>
        <w:r>
          <w:rPr>
            <w:rStyle w:val="1267"/>
          </w:rPr>
          <w:t xml:space="preserve">прогнозных</w:t>
        </w:r>
        <w:r>
          <w:rPr>
            <w:rStyle w:val="1267"/>
            <w:spacing w:val="-10"/>
          </w:rPr>
          <w:t xml:space="preserve"> </w:t>
        </w:r>
        <w:r>
          <w:rPr>
            <w:rStyle w:val="1267"/>
          </w:rPr>
          <w:t xml:space="preserve">сроков</w:t>
        </w:r>
        <w:r>
          <w:rPr>
            <w:rStyle w:val="1267"/>
            <w:spacing w:val="-9"/>
          </w:rPr>
          <w:t xml:space="preserve"> </w:t>
        </w:r>
        <w:r>
          <w:rPr>
            <w:rStyle w:val="1267"/>
          </w:rPr>
          <w:t xml:space="preserve">перевода</w:t>
        </w:r>
        <w:r>
          <w:rPr>
            <w:rStyle w:val="1267"/>
            <w:spacing w:val="-11"/>
          </w:rPr>
          <w:t xml:space="preserve"> </w:t>
        </w:r>
        <w:r>
          <w:rPr>
            <w:rStyle w:val="1267"/>
          </w:rPr>
          <w:t xml:space="preserve">потребителей,</w:t>
        </w:r>
        <w:r>
          <w:rPr>
            <w:rStyle w:val="1267"/>
            <w:spacing w:val="-11"/>
          </w:rPr>
          <w:t xml:space="preserve"> </w:t>
        </w:r>
        <w:r>
          <w:rPr>
            <w:rStyle w:val="1267"/>
          </w:rPr>
          <w:t xml:space="preserve">подключённых</w:t>
        </w:r>
        <w:r>
          <w:rPr>
            <w:rStyle w:val="1267"/>
            <w:spacing w:val="-8"/>
          </w:rPr>
          <w:t xml:space="preserve"> </w:t>
        </w:r>
        <w:r>
          <w:rPr>
            <w:rStyle w:val="1267"/>
          </w:rPr>
          <w:t xml:space="preserve">к</w:t>
        </w:r>
        <w:r>
          <w:rPr>
            <w:rStyle w:val="1267"/>
            <w:spacing w:val="-10"/>
          </w:rPr>
          <w:t xml:space="preserve"> </w:t>
        </w:r>
        <w:r>
          <w:rPr>
            <w:rStyle w:val="1267"/>
          </w:rPr>
          <w:t xml:space="preserve">открытой</w:t>
        </w:r>
        <w:r>
          <w:rPr>
            <w:rStyle w:val="1267"/>
            <w:spacing w:val="-10"/>
          </w:rPr>
          <w:t xml:space="preserve"> </w:t>
        </w:r>
        <w:r>
          <w:rPr>
            <w:rStyle w:val="1267"/>
          </w:rPr>
          <w:t xml:space="preserve">системе теплоснабжения (горячего водоснабжения), на закрытую систему горячего </w:t>
        </w:r>
        <w:r>
          <w:rPr>
            <w:rStyle w:val="1267"/>
            <w:spacing w:val="-2"/>
          </w:rPr>
          <w:t xml:space="preserve">водоснабжения</w:t>
        </w:r>
        <w:r>
          <w:tab/>
        </w:r>
        <w:r>
          <w:fldChar w:fldCharType="begin"/>
        </w:r>
        <w:r>
          <w:instrText xml:space="preserve"> PAGEREF _Toc165540773 \h </w:instrText>
        </w:r>
        <w:r>
          <w:fldChar w:fldCharType="separate"/>
        </w:r>
        <w:r>
          <w:t xml:space="preserve">80</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74" w:anchor="_Toc165540774" w:history="1">
        <w:r>
          <w:rPr>
            <w:rStyle w:val="1267"/>
            <w:lang w:eastAsia="ru-RU"/>
          </w:rPr>
          <w:t xml:space="preserve">6.3 </w:t>
        </w:r>
        <w:r>
          <w:rPr>
            <w:rStyle w:val="1267"/>
          </w:rPr>
          <w:t xml:space="preserve">Сведения</w:t>
        </w:r>
        <w:r>
          <w:rPr>
            <w:rStyle w:val="1267"/>
            <w:spacing w:val="-4"/>
          </w:rPr>
          <w:t xml:space="preserve"> </w:t>
        </w:r>
        <w:r>
          <w:rPr>
            <w:rStyle w:val="1267"/>
          </w:rPr>
          <w:t xml:space="preserve">о</w:t>
        </w:r>
        <w:r>
          <w:rPr>
            <w:rStyle w:val="1267"/>
            <w:spacing w:val="-3"/>
          </w:rPr>
          <w:t xml:space="preserve"> </w:t>
        </w:r>
        <w:r>
          <w:rPr>
            <w:rStyle w:val="1267"/>
          </w:rPr>
          <w:t xml:space="preserve">наличии</w:t>
        </w:r>
        <w:r>
          <w:rPr>
            <w:rStyle w:val="1267"/>
            <w:spacing w:val="-3"/>
          </w:rPr>
          <w:t xml:space="preserve"> </w:t>
        </w:r>
        <w:r>
          <w:rPr>
            <w:rStyle w:val="1267"/>
          </w:rPr>
          <w:t xml:space="preserve">баков-</w:t>
        </w:r>
        <w:r>
          <w:rPr>
            <w:rStyle w:val="1267"/>
            <w:spacing w:val="-2"/>
          </w:rPr>
          <w:t xml:space="preserve">аккумуляторов</w:t>
        </w:r>
        <w:r>
          <w:tab/>
        </w:r>
        <w:r>
          <w:fldChar w:fldCharType="begin"/>
        </w:r>
        <w:r>
          <w:instrText xml:space="preserve"> PAGEREF _Toc165540774 \h </w:instrText>
        </w:r>
        <w:r>
          <w:fldChar w:fldCharType="separate"/>
        </w:r>
        <w:r>
          <w:t xml:space="preserve">80</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75" w:anchor="_Toc165540775" w:history="1">
        <w:r>
          <w:rPr>
            <w:rStyle w:val="1267"/>
            <w:lang w:eastAsia="ru-RU"/>
          </w:rPr>
          <w:t xml:space="preserve">6.4 </w:t>
        </w:r>
        <w:r>
          <w:rPr>
            <w:rStyle w:val="1267"/>
          </w:rPr>
          <w:t xml:space="preserve">Нормативный</w:t>
        </w:r>
        <w:r>
          <w:rPr>
            <w:rStyle w:val="1267"/>
            <w:spacing w:val="-14"/>
          </w:rPr>
          <w:t xml:space="preserve"> </w:t>
        </w:r>
        <w:r>
          <w:rPr>
            <w:rStyle w:val="1267"/>
          </w:rPr>
          <w:t xml:space="preserve">и</w:t>
        </w:r>
        <w:r>
          <w:rPr>
            <w:rStyle w:val="1267"/>
            <w:spacing w:val="-12"/>
          </w:rPr>
          <w:t xml:space="preserve"> </w:t>
        </w:r>
        <w:r>
          <w:rPr>
            <w:rStyle w:val="1267"/>
          </w:rPr>
          <w:t xml:space="preserve">фактический</w:t>
        </w:r>
        <w:r>
          <w:rPr>
            <w:rStyle w:val="1267"/>
            <w:spacing w:val="-12"/>
          </w:rPr>
          <w:t xml:space="preserve"> </w:t>
        </w:r>
        <w:r>
          <w:rPr>
            <w:rStyle w:val="1267"/>
          </w:rPr>
          <w:t xml:space="preserve">(для</w:t>
        </w:r>
        <w:r>
          <w:rPr>
            <w:rStyle w:val="1267"/>
            <w:spacing w:val="-13"/>
          </w:rPr>
          <w:t xml:space="preserve"> </w:t>
        </w:r>
        <w:r>
          <w:rPr>
            <w:rStyle w:val="1267"/>
          </w:rPr>
          <w:t xml:space="preserve">эксплуатационного</w:t>
        </w:r>
        <w:r>
          <w:rPr>
            <w:rStyle w:val="1267"/>
            <w:spacing w:val="-13"/>
          </w:rPr>
          <w:t xml:space="preserve"> </w:t>
        </w:r>
        <w:r>
          <w:rPr>
            <w:rStyle w:val="1267"/>
          </w:rPr>
          <w:t xml:space="preserve">и</w:t>
        </w:r>
        <w:r>
          <w:rPr>
            <w:rStyle w:val="1267"/>
            <w:spacing w:val="-12"/>
          </w:rPr>
          <w:t xml:space="preserve"> </w:t>
        </w:r>
        <w:r>
          <w:rPr>
            <w:rStyle w:val="1267"/>
          </w:rPr>
          <w:t xml:space="preserve">аварийного</w:t>
        </w:r>
        <w:r>
          <w:rPr>
            <w:rStyle w:val="1267"/>
            <w:spacing w:val="-13"/>
          </w:rPr>
          <w:t xml:space="preserve"> </w:t>
        </w:r>
        <w:r>
          <w:rPr>
            <w:rStyle w:val="1267"/>
          </w:rPr>
          <w:t xml:space="preserve">режимов) часовой расход подпиточной воды в зоне действия источников тепловой энергии</w:t>
        </w:r>
        <w:r>
          <w:tab/>
        </w:r>
        <w:r>
          <w:fldChar w:fldCharType="begin"/>
        </w:r>
        <w:r>
          <w:instrText xml:space="preserve"> PAGEREF _Toc165540775 \h </w:instrText>
        </w:r>
        <w:r>
          <w:fldChar w:fldCharType="separate"/>
        </w:r>
        <w:r>
          <w:t xml:space="preserve">81</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76" w:anchor="_Toc165540776" w:history="1">
        <w:r>
          <w:rPr>
            <w:rStyle w:val="1267"/>
            <w:lang w:eastAsia="ru-RU"/>
          </w:rPr>
          <w:t xml:space="preserve">6.5 </w:t>
        </w:r>
        <w:r>
          <w:rPr>
            <w:rStyle w:val="1267"/>
          </w:rPr>
          <w:t xml:space="preserve">Существующий и перспективный баланс производительности водоподготовительных установок и потерь теплоносителя с учётом развития системы </w:t>
        </w:r>
        <w:r>
          <w:rPr>
            <w:rStyle w:val="1267"/>
            <w:spacing w:val="-2"/>
          </w:rPr>
          <w:t xml:space="preserve">теплоснабжения</w:t>
        </w:r>
        <w:r>
          <w:tab/>
        </w:r>
        <w:r>
          <w:fldChar w:fldCharType="begin"/>
        </w:r>
        <w:r>
          <w:instrText xml:space="preserve"> PAGEREF _Toc165540776 \h </w:instrText>
        </w:r>
        <w:r>
          <w:fldChar w:fldCharType="separate"/>
        </w:r>
        <w:r>
          <w:t xml:space="preserve">83</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77" w:anchor="_Toc165540777" w:history="1">
        <w:r>
          <w:rPr>
            <w:rStyle w:val="1267"/>
            <w:lang w:eastAsia="ru-RU"/>
          </w:rPr>
          <w:t xml:space="preserve">6.6 </w:t>
        </w:r>
        <w:r>
          <w:rPr>
            <w:rStyle w:val="1267"/>
          </w:rPr>
          <w:t xml:space="preserve">Описание изменений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w:t>
        </w:r>
        <w:r>
          <w:rPr>
            <w:rStyle w:val="1267"/>
            <w:spacing w:val="-9"/>
          </w:rPr>
          <w:t xml:space="preserve"> </w:t>
        </w:r>
        <w:r>
          <w:rPr>
            <w:rStyle w:val="1267"/>
          </w:rPr>
          <w:t xml:space="preserve">режимах,</w:t>
        </w:r>
        <w:r>
          <w:rPr>
            <w:rStyle w:val="1267"/>
            <w:spacing w:val="-3"/>
          </w:rPr>
          <w:t xml:space="preserve"> </w:t>
        </w:r>
        <w:r>
          <w:rPr>
            <w:rStyle w:val="1267"/>
          </w:rPr>
          <w:t xml:space="preserve">за</w:t>
        </w:r>
        <w:r>
          <w:rPr>
            <w:rStyle w:val="1267"/>
            <w:spacing w:val="-3"/>
          </w:rPr>
          <w:t xml:space="preserve"> </w:t>
        </w:r>
        <w:r>
          <w:rPr>
            <w:rStyle w:val="1267"/>
          </w:rPr>
          <w:t xml:space="preserve">период,</w:t>
        </w:r>
        <w:r>
          <w:rPr>
            <w:rStyle w:val="1267"/>
            <w:spacing w:val="-4"/>
          </w:rPr>
          <w:t xml:space="preserve"> </w:t>
        </w:r>
        <w:r>
          <w:rPr>
            <w:rStyle w:val="1267"/>
          </w:rPr>
          <w:t xml:space="preserve">предшествующий</w:t>
        </w:r>
        <w:r>
          <w:rPr>
            <w:rStyle w:val="1267"/>
            <w:spacing w:val="-3"/>
          </w:rPr>
          <w:t xml:space="preserve"> </w:t>
        </w:r>
        <w:r>
          <w:rPr>
            <w:rStyle w:val="1267"/>
          </w:rPr>
          <w:t xml:space="preserve">актуализации</w:t>
        </w:r>
        <w:r>
          <w:rPr>
            <w:rStyle w:val="1267"/>
            <w:spacing w:val="-4"/>
          </w:rPr>
          <w:t xml:space="preserve"> </w:t>
        </w:r>
        <w:r>
          <w:rPr>
            <w:rStyle w:val="1267"/>
          </w:rPr>
          <w:t xml:space="preserve">схемы</w:t>
        </w:r>
        <w:r>
          <w:rPr>
            <w:rStyle w:val="1267"/>
            <w:spacing w:val="-4"/>
          </w:rPr>
          <w:t xml:space="preserve"> </w:t>
        </w:r>
        <w:r>
          <w:rPr>
            <w:rStyle w:val="1267"/>
            <w:spacing w:val="-2"/>
          </w:rPr>
          <w:t xml:space="preserve">теплоснабжения</w:t>
        </w:r>
        <w:r>
          <w:tab/>
        </w:r>
        <w:r>
          <w:fldChar w:fldCharType="begin"/>
        </w:r>
        <w:r>
          <w:instrText xml:space="preserve"> PAGEREF _Toc165540777 \h </w:instrText>
        </w:r>
        <w:r>
          <w:fldChar w:fldCharType="separate"/>
        </w:r>
        <w:r>
          <w:t xml:space="preserve">83</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78" w:anchor="_Toc165540778" w:history="1">
        <w:r>
          <w:rPr>
            <w:rStyle w:val="1267"/>
            <w:lang w:eastAsia="ru-RU"/>
          </w:rPr>
          <w:t xml:space="preserve">6.7 </w:t>
        </w:r>
        <w:r>
          <w:rPr>
            <w:rStyle w:val="1267"/>
          </w:rPr>
          <w:t xml:space="preserve">Сравнительный анализ расчётных и фактических потерь теплоносителя для всех зон действия источников тепловой энергии за период, предшествующий актуализации схемы теплоснабжения</w:t>
        </w:r>
        <w:r>
          <w:tab/>
        </w:r>
        <w:r>
          <w:fldChar w:fldCharType="begin"/>
        </w:r>
        <w:r>
          <w:instrText xml:space="preserve"> PAGEREF _Toc165540778 \h </w:instrText>
        </w:r>
        <w:r>
          <w:fldChar w:fldCharType="separate"/>
        </w:r>
        <w:r>
          <w:t xml:space="preserve">83</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79" w:anchor="_Toc165540779" w:history="1">
        <w:r>
          <w:rPr>
            <w:rStyle w:val="1267"/>
          </w:rPr>
          <w:t xml:space="preserve">Глава</w:t>
        </w:r>
        <w:r>
          <w:rPr>
            <w:rStyle w:val="1267"/>
            <w:spacing w:val="-3"/>
          </w:rPr>
          <w:t xml:space="preserve"> </w:t>
        </w:r>
        <w:r>
          <w:rPr>
            <w:rStyle w:val="1267"/>
          </w:rPr>
          <w:t xml:space="preserve">7 Предложения</w:t>
        </w:r>
        <w:r>
          <w:rPr>
            <w:rStyle w:val="1267"/>
            <w:spacing w:val="40"/>
          </w:rPr>
          <w:t xml:space="preserve"> </w:t>
        </w:r>
        <w:r>
          <w:rPr>
            <w:rStyle w:val="1267"/>
          </w:rPr>
          <w:t xml:space="preserve">по</w:t>
        </w:r>
        <w:r>
          <w:rPr>
            <w:rStyle w:val="1267"/>
            <w:spacing w:val="40"/>
          </w:rPr>
          <w:t xml:space="preserve"> </w:t>
        </w:r>
        <w:r>
          <w:rPr>
            <w:rStyle w:val="1267"/>
          </w:rPr>
          <w:t xml:space="preserve">строительству,</w:t>
        </w:r>
        <w:r>
          <w:rPr>
            <w:rStyle w:val="1267"/>
            <w:spacing w:val="40"/>
          </w:rPr>
          <w:t xml:space="preserve"> </w:t>
        </w:r>
        <w:r>
          <w:rPr>
            <w:rStyle w:val="1267"/>
          </w:rPr>
          <w:t xml:space="preserve">реконструкции,</w:t>
        </w:r>
        <w:r>
          <w:rPr>
            <w:rStyle w:val="1267"/>
            <w:spacing w:val="40"/>
          </w:rPr>
          <w:t xml:space="preserve"> </w:t>
        </w:r>
        <w:r>
          <w:rPr>
            <w:rStyle w:val="1267"/>
          </w:rPr>
          <w:t xml:space="preserve">техническому перевооружению и (или) модернизации источников тепловой энергии</w:t>
        </w:r>
        <w:r>
          <w:tab/>
        </w:r>
        <w:r>
          <w:fldChar w:fldCharType="begin"/>
        </w:r>
        <w:r>
          <w:instrText xml:space="preserve"> PAGEREF _Toc165540779 \h </w:instrText>
        </w:r>
        <w:r>
          <w:fldChar w:fldCharType="separate"/>
        </w:r>
        <w:r>
          <w:t xml:space="preserve">84</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80" w:anchor="_Toc165540780" w:history="1">
        <w:r>
          <w:rPr>
            <w:rStyle w:val="1267"/>
            <w:lang w:eastAsia="ru-RU"/>
          </w:rPr>
          <w:t xml:space="preserve">7.1 </w:t>
        </w:r>
        <w:r>
          <w:rPr>
            <w:rStyle w:val="1267"/>
          </w:rPr>
          <w:t xml:space="preserve">Описание условий организации централизованного </w:t>
        </w:r>
        <w:r>
          <w:rPr>
            <w:rStyle w:val="1267"/>
          </w:rPr>
          <w:t xml:space="preserve">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w:t>
        </w:r>
        <w:r>
          <w:rPr>
            <w:rStyle w:val="1267"/>
          </w:rPr>
          <w:t xml:space="preserve">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расчёт которых выполняется в порядке, установленном методическими указаниями по разработке схем теплоснабжения</w:t>
        </w:r>
        <w:r>
          <w:tab/>
        </w:r>
        <w:r>
          <w:fldChar w:fldCharType="begin"/>
        </w:r>
        <w:r>
          <w:instrText xml:space="preserve"> PAGEREF _Toc165540780 \h </w:instrText>
        </w:r>
        <w:r>
          <w:fldChar w:fldCharType="separate"/>
        </w:r>
        <w:r>
          <w:t xml:space="preserve">84</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81" w:anchor="_Toc165540781" w:history="1">
        <w:r>
          <w:rPr>
            <w:rStyle w:val="1267"/>
            <w:lang w:eastAsia="ru-RU"/>
          </w:rPr>
          <w:t xml:space="preserve">7.2 </w:t>
        </w:r>
        <w:r>
          <w:rPr>
            <w:rStyle w:val="1267"/>
          </w:rPr>
          <w:t xml:space="preserve">Описание текущей ситуации, связанной с ран</w:t>
        </w:r>
        <w:r>
          <w:rPr>
            <w:rStyle w:val="1267"/>
          </w:rPr>
          <w:t xml:space="preserve">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надёжного теплоснабжения </w:t>
        </w:r>
        <w:r>
          <w:rPr>
            <w:rStyle w:val="1267"/>
            <w:spacing w:val="-2"/>
          </w:rPr>
          <w:t xml:space="preserve">потребителей</w:t>
        </w:r>
        <w:r>
          <w:tab/>
        </w:r>
        <w:r>
          <w:fldChar w:fldCharType="begin"/>
        </w:r>
        <w:r>
          <w:instrText xml:space="preserve"> PAGEREF _Toc165540781 \h </w:instrText>
        </w:r>
        <w:r>
          <w:fldChar w:fldCharType="separate"/>
        </w:r>
        <w:r>
          <w:t xml:space="preserve">84</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82" w:anchor="_Toc165540782" w:history="1">
        <w:r>
          <w:rPr>
            <w:rStyle w:val="1267"/>
            <w:lang w:eastAsia="ru-RU"/>
          </w:rPr>
          <w:t xml:space="preserve">7.3 </w:t>
        </w:r>
        <w:r>
          <w:rPr>
            <w:rStyle w:val="1267"/>
          </w:rPr>
          <w:t xml:space="preserve">Анализ надёжности и качества теплоснабжения для случаев отнесения генерирующего объекта</w:t>
        </w:r>
        <w:r>
          <w:rPr>
            <w:rStyle w:val="1267"/>
            <w:spacing w:val="-2"/>
          </w:rPr>
          <w:t xml:space="preserve"> </w:t>
        </w:r>
        <w:r>
          <w:rPr>
            <w:rStyle w:val="1267"/>
          </w:rPr>
          <w:t xml:space="preserve">к объектам,</w:t>
        </w:r>
        <w:r>
          <w:rPr>
            <w:rStyle w:val="1267"/>
            <w:spacing w:val="-3"/>
          </w:rPr>
          <w:t xml:space="preserve"> </w:t>
        </w:r>
        <w:r>
          <w:rPr>
            <w:rStyle w:val="1267"/>
          </w:rPr>
          <w:t xml:space="preserve">вывод</w:t>
        </w:r>
        <w:r>
          <w:rPr>
            <w:rStyle w:val="1267"/>
            <w:spacing w:val="-2"/>
          </w:rPr>
          <w:t xml:space="preserve"> </w:t>
        </w:r>
        <w:r>
          <w:rPr>
            <w:rStyle w:val="1267"/>
          </w:rPr>
          <w:t xml:space="preserve">которых из эксплуатации может привести</w:t>
        </w:r>
        <w:r>
          <w:rPr>
            <w:rStyle w:val="1267"/>
            <w:spacing w:val="-2"/>
          </w:rPr>
          <w:t xml:space="preserve"> </w:t>
        </w:r>
        <w:r>
          <w:rPr>
            <w:rStyle w:val="1267"/>
          </w:rPr>
          <w:t xml:space="preserve">к нарушению</w:t>
        </w:r>
        <w:r>
          <w:rPr>
            <w:rStyle w:val="1267"/>
            <w:spacing w:val="-9"/>
          </w:rPr>
          <w:t xml:space="preserve"> </w:t>
        </w:r>
        <w:r>
          <w:rPr>
            <w:rStyle w:val="1267"/>
          </w:rPr>
          <w:t xml:space="preserve">надёжности</w:t>
        </w:r>
        <w:r>
          <w:rPr>
            <w:rStyle w:val="1267"/>
            <w:spacing w:val="-10"/>
          </w:rPr>
          <w:t xml:space="preserve"> </w:t>
        </w:r>
        <w:r>
          <w:rPr>
            <w:rStyle w:val="1267"/>
          </w:rPr>
          <w:t xml:space="preserve">теплоснабжения</w:t>
        </w:r>
        <w:r>
          <w:rPr>
            <w:rStyle w:val="1267"/>
            <w:spacing w:val="-9"/>
          </w:rPr>
          <w:t xml:space="preserve"> </w:t>
        </w:r>
        <w:r>
          <w:rPr>
            <w:rStyle w:val="1267"/>
          </w:rPr>
          <w:t xml:space="preserve">(при</w:t>
        </w:r>
        <w:r>
          <w:rPr>
            <w:rStyle w:val="1267"/>
            <w:spacing w:val="-8"/>
          </w:rPr>
          <w:t xml:space="preserve"> </w:t>
        </w:r>
        <w:r>
          <w:rPr>
            <w:rStyle w:val="1267"/>
          </w:rPr>
          <w:t xml:space="preserve">отнесении</w:t>
        </w:r>
        <w:r>
          <w:rPr>
            <w:rStyle w:val="1267"/>
            <w:spacing w:val="-8"/>
          </w:rPr>
          <w:t xml:space="preserve"> </w:t>
        </w:r>
        <w:r>
          <w:rPr>
            <w:rStyle w:val="1267"/>
          </w:rPr>
          <w:t xml:space="preserve">такого</w:t>
        </w:r>
        <w:r>
          <w:rPr>
            <w:rStyle w:val="1267"/>
            <w:spacing w:val="-8"/>
          </w:rPr>
          <w:t xml:space="preserve"> </w:t>
        </w:r>
        <w:r>
          <w:rPr>
            <w:rStyle w:val="1267"/>
          </w:rPr>
          <w:t xml:space="preserve">генерирующего</w:t>
        </w:r>
        <w:r>
          <w:rPr>
            <w:rStyle w:val="1267"/>
            <w:spacing w:val="-8"/>
          </w:rPr>
          <w:t xml:space="preserve"> </w:t>
        </w:r>
        <w:r>
          <w:rPr>
            <w:rStyle w:val="1267"/>
          </w:rPr>
          <w:t xml:space="preserve">объекта к объектам, электрическая мощность которых поставляется в вынужденном режиме в целях обеспечения над</w:t>
        </w:r>
        <w:r>
          <w:rPr>
            <w:rStyle w:val="1267"/>
          </w:rPr>
          <w:t xml:space="preserve">ёжного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tab/>
        </w:r>
        <w:r>
          <w:fldChar w:fldCharType="begin"/>
        </w:r>
        <w:r>
          <w:instrText xml:space="preserve"> PAGEREF _Toc165540782 \h </w:instrText>
        </w:r>
        <w:r>
          <w:fldChar w:fldCharType="separate"/>
        </w:r>
        <w:r>
          <w:t xml:space="preserve">84</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83" w:anchor="_Toc165540783" w:history="1">
        <w:r>
          <w:rPr>
            <w:rStyle w:val="1267"/>
            <w:lang w:eastAsia="ru-RU"/>
          </w:rPr>
          <w:t xml:space="preserve">7.4 </w:t>
        </w:r>
        <w:r>
          <w:rPr>
            <w:rStyle w:val="1267"/>
          </w:rPr>
          <w:t xml:space="preserve">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r>
          <w:tab/>
        </w:r>
        <w:r>
          <w:fldChar w:fldCharType="begin"/>
        </w:r>
        <w:r>
          <w:instrText xml:space="preserve"> PAGEREF _Toc165540783 \h </w:instrText>
        </w:r>
        <w:r>
          <w:fldChar w:fldCharType="separate"/>
        </w:r>
        <w:r>
          <w:t xml:space="preserve">85</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84" w:anchor="_Toc165540784" w:history="1">
        <w:r>
          <w:rPr>
            <w:rStyle w:val="1267"/>
            <w:lang w:eastAsia="ru-RU"/>
          </w:rPr>
          <w:t xml:space="preserve">7.5 </w:t>
        </w:r>
        <w:r>
          <w:rPr>
            <w:rStyle w:val="1267"/>
          </w:rPr>
          <w:t xml:space="preserve">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r>
          <w:tab/>
        </w:r>
        <w:r>
          <w:fldChar w:fldCharType="begin"/>
        </w:r>
        <w:r>
          <w:instrText xml:space="preserve"> PAGEREF _Toc165540784 \h </w:instrText>
        </w:r>
        <w:r>
          <w:fldChar w:fldCharType="separate"/>
        </w:r>
        <w:r>
          <w:t xml:space="preserve">85</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85" w:anchor="_Toc165540785" w:history="1">
        <w:r>
          <w:rPr>
            <w:rStyle w:val="1267"/>
            <w:lang w:eastAsia="ru-RU"/>
          </w:rPr>
          <w:t xml:space="preserve">7.6 </w:t>
        </w:r>
        <w:r>
          <w:rPr>
            <w:rStyle w:val="1267"/>
          </w:rPr>
          <w:t xml:space="preserve">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w:t>
        </w:r>
        <w:r>
          <w:rPr>
            <w:rStyle w:val="1267"/>
            <w:spacing w:val="-15"/>
          </w:rPr>
          <w:t xml:space="preserve"> </w:t>
        </w:r>
        <w:r>
          <w:rPr>
            <w:rStyle w:val="1267"/>
          </w:rPr>
          <w:t xml:space="preserve">и</w:t>
        </w:r>
        <w:r>
          <w:rPr>
            <w:rStyle w:val="1267"/>
            <w:spacing w:val="-15"/>
          </w:rPr>
          <w:t xml:space="preserve"> </w:t>
        </w:r>
        <w:r>
          <w:rPr>
            <w:rStyle w:val="1267"/>
          </w:rPr>
          <w:t xml:space="preserve">тепловой</w:t>
        </w:r>
        <w:r>
          <w:rPr>
            <w:rStyle w:val="1267"/>
            <w:spacing w:val="-15"/>
          </w:rPr>
          <w:t xml:space="preserve"> </w:t>
        </w:r>
        <w:r>
          <w:rPr>
            <w:rStyle w:val="1267"/>
          </w:rPr>
          <w:t xml:space="preserve">энергии,</w:t>
        </w:r>
        <w:r>
          <w:rPr>
            <w:rStyle w:val="1267"/>
            <w:spacing w:val="-15"/>
          </w:rPr>
          <w:t xml:space="preserve"> </w:t>
        </w:r>
        <w:r>
          <w:rPr>
            <w:rStyle w:val="1267"/>
          </w:rPr>
          <w:t xml:space="preserve">с</w:t>
        </w:r>
        <w:r>
          <w:rPr>
            <w:rStyle w:val="1267"/>
            <w:spacing w:val="-15"/>
          </w:rPr>
          <w:t xml:space="preserve"> </w:t>
        </w:r>
        <w:r>
          <w:rPr>
            <w:rStyle w:val="1267"/>
          </w:rPr>
          <w:t xml:space="preserve">выработкой</w:t>
        </w:r>
        <w:r>
          <w:rPr>
            <w:rStyle w:val="1267"/>
            <w:spacing w:val="-15"/>
          </w:rPr>
          <w:t xml:space="preserve"> </w:t>
        </w:r>
        <w:r>
          <w:rPr>
            <w:rStyle w:val="1267"/>
          </w:rPr>
          <w:t xml:space="preserve">электроэнергии</w:t>
        </w:r>
        <w:r>
          <w:rPr>
            <w:rStyle w:val="1267"/>
            <w:spacing w:val="-15"/>
          </w:rPr>
          <w:t xml:space="preserve"> </w:t>
        </w:r>
        <w:r>
          <w:rPr>
            <w:rStyle w:val="1267"/>
          </w:rPr>
          <w:t xml:space="preserve">на</w:t>
        </w:r>
        <w:r>
          <w:rPr>
            <w:rStyle w:val="1267"/>
            <w:spacing w:val="-15"/>
          </w:rPr>
          <w:t xml:space="preserve"> </w:t>
        </w:r>
        <w:r>
          <w:rPr>
            <w:rStyle w:val="1267"/>
          </w:rPr>
          <w:t xml:space="preserve">собственные</w:t>
        </w:r>
        <w:r>
          <w:rPr>
            <w:rStyle w:val="1267"/>
            <w:spacing w:val="-15"/>
          </w:rPr>
          <w:t xml:space="preserve"> </w:t>
        </w:r>
        <w:r>
          <w:rPr>
            <w:rStyle w:val="1267"/>
          </w:rPr>
          <w:t xml:space="preserve">нужды теплоснабжающей организации в отношении источника тепловой энергии, на базе существующих и перспективных тепловых нагрузок</w:t>
        </w:r>
        <w:r>
          <w:tab/>
        </w:r>
        <w:r>
          <w:fldChar w:fldCharType="begin"/>
        </w:r>
        <w:r>
          <w:instrText xml:space="preserve"> PAGEREF _Toc165540785 \h </w:instrText>
        </w:r>
        <w:r>
          <w:fldChar w:fldCharType="separate"/>
        </w:r>
        <w:r>
          <w:t xml:space="preserve">85</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86" w:anchor="_Toc165540786" w:history="1">
        <w:r>
          <w:rPr>
            <w:rStyle w:val="1267"/>
            <w:lang w:eastAsia="ru-RU"/>
          </w:rPr>
          <w:t xml:space="preserve">7.7 </w:t>
        </w:r>
        <w:r>
          <w:rPr>
            <w:rStyle w:val="1267"/>
          </w:rPr>
          <w:t xml:space="preserve">Обоснование предлагаемых для реконструкции и (или) модернизации котельных с увеличением зоны их действия путём включения в неё зон действия существующих источников тепловой энергии</w:t>
        </w:r>
        <w:r>
          <w:tab/>
        </w:r>
        <w:r>
          <w:fldChar w:fldCharType="begin"/>
        </w:r>
        <w:r>
          <w:instrText xml:space="preserve"> PAGEREF _Toc165540786 \h </w:instrText>
        </w:r>
        <w:r>
          <w:fldChar w:fldCharType="separate"/>
        </w:r>
        <w:r>
          <w:t xml:space="preserve">85</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87" w:anchor="_Toc165540787" w:history="1">
        <w:r>
          <w:rPr>
            <w:rStyle w:val="1267"/>
            <w:lang w:eastAsia="ru-RU"/>
          </w:rPr>
          <w:t xml:space="preserve">7.8 </w:t>
        </w:r>
        <w:r>
          <w:rPr>
            <w:rStyle w:val="1267"/>
          </w:rPr>
          <w:t xml:space="preserve">Обоснование</w:t>
        </w:r>
        <w:r>
          <w:rPr>
            <w:rStyle w:val="1267"/>
            <w:spacing w:val="-15"/>
          </w:rPr>
          <w:t xml:space="preserve"> </w:t>
        </w:r>
        <w:r>
          <w:rPr>
            <w:rStyle w:val="1267"/>
          </w:rPr>
          <w:t xml:space="preserve">предлагаемых</w:t>
        </w:r>
        <w:r>
          <w:rPr>
            <w:rStyle w:val="1267"/>
            <w:spacing w:val="-15"/>
          </w:rPr>
          <w:t xml:space="preserve"> </w:t>
        </w:r>
        <w:r>
          <w:rPr>
            <w:rStyle w:val="1267"/>
          </w:rPr>
          <w:t xml:space="preserve">для</w:t>
        </w:r>
        <w:r>
          <w:rPr>
            <w:rStyle w:val="1267"/>
            <w:spacing w:val="-15"/>
          </w:rPr>
          <w:t xml:space="preserve"> </w:t>
        </w:r>
        <w:r>
          <w:rPr>
            <w:rStyle w:val="1267"/>
          </w:rPr>
          <w:t xml:space="preserve">перевода</w:t>
        </w:r>
        <w:r>
          <w:rPr>
            <w:rStyle w:val="1267"/>
            <w:spacing w:val="-15"/>
          </w:rPr>
          <w:t xml:space="preserve"> </w:t>
        </w:r>
        <w:r>
          <w:rPr>
            <w:rStyle w:val="1267"/>
          </w:rPr>
          <w:t xml:space="preserve">в</w:t>
        </w:r>
        <w:r>
          <w:rPr>
            <w:rStyle w:val="1267"/>
            <w:spacing w:val="-15"/>
          </w:rPr>
          <w:t xml:space="preserve"> </w:t>
        </w:r>
        <w:r>
          <w:rPr>
            <w:rStyle w:val="1267"/>
          </w:rPr>
          <w:t xml:space="preserve">пиковый</w:t>
        </w:r>
        <w:r>
          <w:rPr>
            <w:rStyle w:val="1267"/>
            <w:spacing w:val="-15"/>
          </w:rPr>
          <w:t xml:space="preserve"> </w:t>
        </w:r>
        <w:r>
          <w:rPr>
            <w:rStyle w:val="1267"/>
          </w:rPr>
          <w:t xml:space="preserve">режим</w:t>
        </w:r>
        <w:r>
          <w:rPr>
            <w:rStyle w:val="1267"/>
            <w:spacing w:val="-15"/>
          </w:rPr>
          <w:t xml:space="preserve"> </w:t>
        </w:r>
        <w:r>
          <w:rPr>
            <w:rStyle w:val="1267"/>
          </w:rPr>
          <w:t xml:space="preserve">работы</w:t>
        </w:r>
        <w:r>
          <w:rPr>
            <w:rStyle w:val="1267"/>
            <w:spacing w:val="-15"/>
          </w:rPr>
          <w:t xml:space="preserve"> </w:t>
        </w:r>
        <w:r>
          <w:rPr>
            <w:rStyle w:val="1267"/>
          </w:rPr>
          <w:t xml:space="preserve">котельных по отношению к источникам тепловой энергии, функционирующим в режиме комбинированной выработки электрической и тепловой энергии</w:t>
        </w:r>
        <w:r>
          <w:tab/>
        </w:r>
        <w:r>
          <w:fldChar w:fldCharType="begin"/>
        </w:r>
        <w:r>
          <w:instrText xml:space="preserve"> PAGEREF _Toc165540787 \h </w:instrText>
        </w:r>
        <w:r>
          <w:fldChar w:fldCharType="separate"/>
        </w:r>
        <w:r>
          <w:t xml:space="preserve">85</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88" w:anchor="_Toc165540788" w:history="1">
        <w:r>
          <w:rPr>
            <w:rStyle w:val="1267"/>
            <w:lang w:eastAsia="ru-RU"/>
          </w:rPr>
          <w:t xml:space="preserve">7.9 </w:t>
        </w:r>
        <w:r>
          <w:rPr>
            <w:rStyle w:val="1267"/>
          </w:rPr>
          <w:t xml:space="preserve">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r>
          <w:tab/>
        </w:r>
        <w:r>
          <w:fldChar w:fldCharType="begin"/>
        </w:r>
        <w:r>
          <w:instrText xml:space="preserve"> PAGEREF _Toc165540788 \h </w:instrText>
        </w:r>
        <w:r>
          <w:fldChar w:fldCharType="separate"/>
        </w:r>
        <w:r>
          <w:t xml:space="preserve">85</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89" w:anchor="_Toc165540789" w:history="1">
        <w:r>
          <w:rPr>
            <w:rStyle w:val="1267"/>
            <w:lang w:eastAsia="ru-RU"/>
          </w:rPr>
          <w:t xml:space="preserve">7.10 </w:t>
        </w:r>
        <w:r>
          <w:rPr>
            <w:rStyle w:val="1267"/>
          </w:rPr>
          <w:t xml:space="preserve">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tab/>
        </w:r>
        <w:r>
          <w:fldChar w:fldCharType="begin"/>
        </w:r>
        <w:r>
          <w:instrText xml:space="preserve"> PAGEREF _Toc165540789 \h </w:instrText>
        </w:r>
        <w:r>
          <w:fldChar w:fldCharType="separate"/>
        </w:r>
        <w:r>
          <w:t xml:space="preserve">86</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90" w:anchor="_Toc165540790" w:history="1">
        <w:r>
          <w:rPr>
            <w:rStyle w:val="1267"/>
            <w:lang w:eastAsia="ru-RU"/>
          </w:rPr>
          <w:t xml:space="preserve">7.11 </w:t>
        </w:r>
        <w:r>
          <w:rPr>
            <w:rStyle w:val="1267"/>
          </w:rPr>
          <w:t xml:space="preserve">Обоснование организации индивидуального теплоснабжения в зонах застройки поселения малоэтажными жилыми зданиями</w:t>
        </w:r>
        <w:r>
          <w:tab/>
        </w:r>
        <w:r>
          <w:fldChar w:fldCharType="begin"/>
        </w:r>
        <w:r>
          <w:instrText xml:space="preserve"> PAGEREF _Toc165540790 \h </w:instrText>
        </w:r>
        <w:r>
          <w:fldChar w:fldCharType="separate"/>
        </w:r>
        <w:r>
          <w:t xml:space="preserve">86</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91" w:anchor="_Toc165540791" w:history="1">
        <w:r>
          <w:rPr>
            <w:rStyle w:val="1267"/>
            <w:lang w:eastAsia="ru-RU"/>
          </w:rPr>
          <w:t xml:space="preserve">7.12 </w:t>
        </w:r>
        <w:r>
          <w:rPr>
            <w:rStyle w:val="1267"/>
          </w:rPr>
          <w:t xml:space="preserve">Обоснование</w:t>
        </w:r>
        <w:r>
          <w:rPr>
            <w:rStyle w:val="1267"/>
            <w:spacing w:val="-11"/>
          </w:rPr>
          <w:t xml:space="preserve"> </w:t>
        </w:r>
        <w:r>
          <w:rPr>
            <w:rStyle w:val="1267"/>
          </w:rPr>
          <w:t xml:space="preserve">перспективных</w:t>
        </w:r>
        <w:r>
          <w:rPr>
            <w:rStyle w:val="1267"/>
            <w:spacing w:val="-10"/>
          </w:rPr>
          <w:t xml:space="preserve"> </w:t>
        </w:r>
        <w:r>
          <w:rPr>
            <w:rStyle w:val="1267"/>
          </w:rPr>
          <w:t xml:space="preserve">балансов</w:t>
        </w:r>
        <w:r>
          <w:rPr>
            <w:rStyle w:val="1267"/>
            <w:spacing w:val="-10"/>
          </w:rPr>
          <w:t xml:space="preserve"> </w:t>
        </w:r>
        <w:r>
          <w:rPr>
            <w:rStyle w:val="1267"/>
          </w:rPr>
          <w:t xml:space="preserve">производства</w:t>
        </w:r>
        <w:r>
          <w:rPr>
            <w:rStyle w:val="1267"/>
            <w:spacing w:val="-10"/>
          </w:rPr>
          <w:t xml:space="preserve"> </w:t>
        </w:r>
        <w:r>
          <w:rPr>
            <w:rStyle w:val="1267"/>
          </w:rPr>
          <w:t xml:space="preserve">и</w:t>
        </w:r>
        <w:r>
          <w:rPr>
            <w:rStyle w:val="1267"/>
            <w:spacing w:val="-12"/>
          </w:rPr>
          <w:t xml:space="preserve"> </w:t>
        </w:r>
        <w:r>
          <w:rPr>
            <w:rStyle w:val="1267"/>
          </w:rPr>
          <w:t xml:space="preserve">потребления</w:t>
        </w:r>
        <w:r>
          <w:rPr>
            <w:rStyle w:val="1267"/>
            <w:spacing w:val="-11"/>
          </w:rPr>
          <w:t xml:space="preserve"> </w:t>
        </w:r>
        <w:r>
          <w:rPr>
            <w:rStyle w:val="1267"/>
          </w:rPr>
          <w:t xml:space="preserve">тепловой мощности источников тепловой энергии и теплоносителя и присоединённой тепловой нагрузки в каждой из систем теплоснабжения поселения</w:t>
        </w:r>
        <w:r>
          <w:tab/>
        </w:r>
        <w:r>
          <w:fldChar w:fldCharType="begin"/>
        </w:r>
        <w:r>
          <w:instrText xml:space="preserve"> PAGEREF _Toc165540791 \h </w:instrText>
        </w:r>
        <w:r>
          <w:fldChar w:fldCharType="separate"/>
        </w:r>
        <w:r>
          <w:t xml:space="preserve">86</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92" w:anchor="_Toc165540792" w:history="1">
        <w:r>
          <w:rPr>
            <w:rStyle w:val="1267"/>
            <w:lang w:eastAsia="ru-RU"/>
          </w:rPr>
          <w:t xml:space="preserve">7.13 </w:t>
        </w:r>
        <w:r>
          <w:rPr>
            <w:rStyle w:val="1267"/>
          </w:rPr>
          <w:t xml:space="preserve">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r>
          <w:tab/>
        </w:r>
        <w:r>
          <w:fldChar w:fldCharType="begin"/>
        </w:r>
        <w:r>
          <w:instrText xml:space="preserve"> PAGEREF _Toc165540792 \h </w:instrText>
        </w:r>
        <w:r>
          <w:fldChar w:fldCharType="separate"/>
        </w:r>
        <w:r>
          <w:t xml:space="preserve">86</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93" w:anchor="_Toc165540793" w:history="1">
        <w:r>
          <w:rPr>
            <w:rStyle w:val="1267"/>
            <w:lang w:eastAsia="ru-RU"/>
          </w:rPr>
          <w:t xml:space="preserve">7.14 </w:t>
        </w:r>
        <w:r>
          <w:rPr>
            <w:rStyle w:val="1267"/>
          </w:rPr>
          <w:t xml:space="preserve">Обоснование</w:t>
        </w:r>
        <w:r>
          <w:rPr>
            <w:rStyle w:val="1267"/>
            <w:spacing w:val="40"/>
          </w:rPr>
          <w:t xml:space="preserve"> </w:t>
        </w:r>
        <w:r>
          <w:rPr>
            <w:rStyle w:val="1267"/>
          </w:rPr>
          <w:t xml:space="preserve">организации</w:t>
        </w:r>
        <w:r>
          <w:rPr>
            <w:rStyle w:val="1267"/>
            <w:spacing w:val="40"/>
          </w:rPr>
          <w:t xml:space="preserve"> </w:t>
        </w:r>
        <w:r>
          <w:rPr>
            <w:rStyle w:val="1267"/>
          </w:rPr>
          <w:t xml:space="preserve">теплоснабжения</w:t>
        </w:r>
        <w:r>
          <w:rPr>
            <w:rStyle w:val="1267"/>
            <w:spacing w:val="40"/>
          </w:rPr>
          <w:t xml:space="preserve"> </w:t>
        </w:r>
        <w:r>
          <w:rPr>
            <w:rStyle w:val="1267"/>
          </w:rPr>
          <w:t xml:space="preserve">в</w:t>
        </w:r>
        <w:r>
          <w:rPr>
            <w:rStyle w:val="1267"/>
            <w:spacing w:val="40"/>
          </w:rPr>
          <w:t xml:space="preserve"> </w:t>
        </w:r>
        <w:r>
          <w:rPr>
            <w:rStyle w:val="1267"/>
          </w:rPr>
          <w:t xml:space="preserve">производственных</w:t>
        </w:r>
        <w:r>
          <w:rPr>
            <w:rStyle w:val="1267"/>
            <w:spacing w:val="40"/>
          </w:rPr>
          <w:t xml:space="preserve"> </w:t>
        </w:r>
        <w:r>
          <w:rPr>
            <w:rStyle w:val="1267"/>
          </w:rPr>
          <w:t xml:space="preserve">зонах</w:t>
        </w:r>
        <w:r>
          <w:rPr>
            <w:rStyle w:val="1267"/>
            <w:spacing w:val="40"/>
          </w:rPr>
          <w:t xml:space="preserve"> </w:t>
        </w:r>
        <w:r>
          <w:rPr>
            <w:rStyle w:val="1267"/>
          </w:rPr>
          <w:t xml:space="preserve">на территории поселения</w:t>
        </w:r>
        <w:r>
          <w:tab/>
        </w:r>
        <w:r>
          <w:fldChar w:fldCharType="begin"/>
        </w:r>
        <w:r>
          <w:instrText xml:space="preserve"> PAGEREF _Toc165540793 \h </w:instrText>
        </w:r>
        <w:r>
          <w:fldChar w:fldCharType="separate"/>
        </w:r>
        <w:r>
          <w:t xml:space="preserve">86</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94" w:anchor="_Toc165540794" w:history="1">
        <w:r>
          <w:rPr>
            <w:rStyle w:val="1267"/>
            <w:lang w:eastAsia="ru-RU"/>
          </w:rPr>
          <w:t xml:space="preserve">7.15 </w:t>
        </w:r>
        <w:r>
          <w:rPr>
            <w:rStyle w:val="1267"/>
          </w:rPr>
          <w:t xml:space="preserve">Результаты</w:t>
        </w:r>
        <w:r>
          <w:rPr>
            <w:rStyle w:val="1267"/>
            <w:spacing w:val="-5"/>
          </w:rPr>
          <w:t xml:space="preserve"> </w:t>
        </w:r>
        <w:r>
          <w:rPr>
            <w:rStyle w:val="1267"/>
          </w:rPr>
          <w:t xml:space="preserve">расчётов</w:t>
        </w:r>
        <w:r>
          <w:rPr>
            <w:rStyle w:val="1267"/>
            <w:spacing w:val="-5"/>
          </w:rPr>
          <w:t xml:space="preserve"> </w:t>
        </w:r>
        <w:r>
          <w:rPr>
            <w:rStyle w:val="1267"/>
          </w:rPr>
          <w:t xml:space="preserve">ради</w:t>
        </w:r>
        <w:r>
          <w:rPr>
            <w:rStyle w:val="1267"/>
          </w:rPr>
          <w:t xml:space="preserve">у</w:t>
        </w:r>
        <w:r>
          <w:rPr>
            <w:rStyle w:val="1267"/>
          </w:rPr>
          <w:t xml:space="preserve">са</w:t>
        </w:r>
        <w:r>
          <w:rPr>
            <w:rStyle w:val="1267"/>
            <w:spacing w:val="-2"/>
          </w:rPr>
          <w:t xml:space="preserve"> </w:t>
        </w:r>
        <w:r>
          <w:rPr>
            <w:rStyle w:val="1267"/>
          </w:rPr>
          <w:t xml:space="preserve">э</w:t>
        </w:r>
        <w:r>
          <w:rPr>
            <w:rStyle w:val="1267"/>
          </w:rPr>
          <w:t xml:space="preserve">ффективного</w:t>
        </w:r>
        <w:r>
          <w:rPr>
            <w:rStyle w:val="1267"/>
            <w:spacing w:val="-2"/>
          </w:rPr>
          <w:t xml:space="preserve"> теплоснабжения</w:t>
        </w:r>
        <w:r>
          <w:tab/>
        </w:r>
        <w:r>
          <w:fldChar w:fldCharType="begin"/>
        </w:r>
        <w:r>
          <w:instrText xml:space="preserve"> PAGEREF _Toc165540794 \h </w:instrText>
        </w:r>
        <w:r>
          <w:fldChar w:fldCharType="separate"/>
        </w:r>
        <w:r>
          <w:t xml:space="preserve">87</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95" w:anchor="_Toc165540795" w:history="1">
        <w:r>
          <w:rPr>
            <w:rStyle w:val="1267"/>
            <w:lang w:eastAsia="ru-RU"/>
          </w:rPr>
          <w:t xml:space="preserve">7.16 </w:t>
        </w:r>
        <w:r>
          <w:rPr>
            <w:rStyle w:val="1267"/>
          </w:rPr>
          <w:t xml:space="preserve">Описание изменений в предложениях по строительству, реконструкции, техническому перевооружению и (или) модер</w:t>
        </w:r>
        <w:r>
          <w:rPr>
            <w:rStyle w:val="1267"/>
          </w:rPr>
          <w:t xml:space="preserve">низации источников тепловой энергии за период, предшествующий актуализации схемы теплоснабжения, в том числе с учётом введённых в эксплуатацию новых, реконструированных и прошедших техническое перевооружение и (или) модернизацию источников тепловой энергии</w:t>
        </w:r>
        <w:r>
          <w:tab/>
        </w:r>
        <w:r>
          <w:fldChar w:fldCharType="begin"/>
        </w:r>
        <w:r>
          <w:instrText xml:space="preserve"> PAGEREF _Toc165540795 \h </w:instrText>
        </w:r>
        <w:r>
          <w:fldChar w:fldCharType="separate"/>
        </w:r>
        <w:r>
          <w:t xml:space="preserve">87</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96" w:anchor="_Toc165540796" w:history="1">
        <w:r>
          <w:rPr>
            <w:rStyle w:val="1267"/>
            <w:lang w:eastAsia="ru-RU"/>
          </w:rPr>
          <w:t xml:space="preserve">7.17 </w:t>
        </w:r>
        <w:r>
          <w:rPr>
            <w:rStyle w:val="1267"/>
          </w:rPr>
          <w:t xml:space="preserve">Обоснование покрытия перспективной тепловой нагрузки, не обеспеченной тепловой мощностью</w:t>
        </w:r>
        <w:r>
          <w:tab/>
        </w:r>
        <w:r>
          <w:fldChar w:fldCharType="begin"/>
        </w:r>
        <w:r>
          <w:instrText xml:space="preserve"> PAGEREF _Toc165540796 \h </w:instrText>
        </w:r>
        <w:r>
          <w:fldChar w:fldCharType="separate"/>
        </w:r>
        <w:r>
          <w:t xml:space="preserve">87</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97" w:anchor="_Toc165540797" w:history="1">
        <w:r>
          <w:rPr>
            <w:rStyle w:val="1267"/>
            <w:lang w:eastAsia="ru-RU"/>
          </w:rPr>
          <w:t xml:space="preserve">7.18 </w:t>
        </w:r>
        <w:r>
          <w:rPr>
            <w:rStyle w:val="1267"/>
          </w:rPr>
          <w:t xml:space="preserve">Максимальная выработка электрической энергии на базе прироста теплового потребления на коллекторах существующих источников тепловой энергии, функционирующих в режиме комбинированной выработки электрической и тепловой </w:t>
        </w:r>
        <w:r>
          <w:rPr>
            <w:rStyle w:val="1267"/>
            <w:spacing w:val="-2"/>
          </w:rPr>
          <w:t xml:space="preserve">энергии</w:t>
        </w:r>
        <w:r>
          <w:tab/>
        </w:r>
        <w:r>
          <w:fldChar w:fldCharType="begin"/>
        </w:r>
        <w:r>
          <w:instrText xml:space="preserve"> PAGEREF _Toc165540797 \h </w:instrText>
        </w:r>
        <w:r>
          <w:fldChar w:fldCharType="separate"/>
        </w:r>
        <w:r>
          <w:t xml:space="preserve">87</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left" w:pos="2059" w:leader="none"/>
          <w:tab w:val="right" w:pos="9860" w:leader="dot"/>
        </w:tabs>
        <w:rPr>
          <w:rFonts w:asciiTheme="minorHAnsi" w:hAnsiTheme="minorHAnsi" w:eastAsiaTheme="minorEastAsia"/>
          <w:sz w:val="22"/>
          <w:lang w:eastAsia="ru-RU"/>
        </w:rPr>
      </w:pPr>
      <w:r/>
      <w:hyperlink w:tooltip="#_Toc165540798" w:anchor="_Toc165540798" w:history="1">
        <w:r>
          <w:rPr>
            <w:rStyle w:val="1267"/>
            <w:lang w:eastAsia="ru-RU"/>
          </w:rPr>
          <w:t xml:space="preserve">7.19 </w:t>
        </w:r>
        <w:r>
          <w:rPr>
            <w:rStyle w:val="1267"/>
            <w:spacing w:val="-2"/>
          </w:rPr>
          <w:t xml:space="preserve">Определение</w:t>
        </w:r>
        <w:r>
          <w:rPr>
            <w:rFonts w:asciiTheme="minorHAnsi" w:hAnsiTheme="minorHAnsi" w:eastAsiaTheme="minorEastAsia"/>
            <w:sz w:val="22"/>
            <w:lang w:eastAsia="ru-RU"/>
          </w:rPr>
          <w:tab/>
        </w:r>
        <w:r>
          <w:rPr>
            <w:rStyle w:val="1267"/>
            <w:spacing w:val="-2"/>
          </w:rPr>
          <w:t xml:space="preserve">перспективных</w:t>
        </w:r>
        <w:r>
          <w:rPr>
            <w:rStyle w:val="1267"/>
          </w:rPr>
          <w:t xml:space="preserve"> </w:t>
        </w:r>
        <w:r>
          <w:rPr>
            <w:rStyle w:val="1267"/>
            <w:spacing w:val="-2"/>
          </w:rPr>
          <w:t xml:space="preserve">режимов</w:t>
        </w:r>
        <w:r>
          <w:rPr>
            <w:rStyle w:val="1267"/>
          </w:rPr>
          <w:t xml:space="preserve"> </w:t>
        </w:r>
        <w:r>
          <w:rPr>
            <w:rStyle w:val="1267"/>
            <w:spacing w:val="-2"/>
          </w:rPr>
          <w:t xml:space="preserve">загрузки</w:t>
        </w:r>
        <w:r>
          <w:rPr>
            <w:rStyle w:val="1267"/>
          </w:rPr>
          <w:t xml:space="preserve"> </w:t>
        </w:r>
        <w:r>
          <w:rPr>
            <w:rStyle w:val="1267"/>
            <w:spacing w:val="-2"/>
          </w:rPr>
          <w:t xml:space="preserve">источников</w:t>
        </w:r>
        <w:r>
          <w:rPr>
            <w:rStyle w:val="1267"/>
          </w:rPr>
          <w:t xml:space="preserve"> </w:t>
        </w:r>
        <w:r>
          <w:rPr>
            <w:rStyle w:val="1267"/>
            <w:spacing w:val="-2"/>
          </w:rPr>
          <w:t xml:space="preserve">тепловой </w:t>
        </w:r>
        <w:r>
          <w:rPr>
            <w:rStyle w:val="1267"/>
          </w:rPr>
          <w:t xml:space="preserve">энергии по присоединённой нагрузке</w:t>
        </w:r>
        <w:r>
          <w:tab/>
        </w:r>
        <w:r>
          <w:fldChar w:fldCharType="begin"/>
        </w:r>
        <w:r>
          <w:instrText xml:space="preserve"> PAGEREF _Toc165540798 \h </w:instrText>
        </w:r>
        <w:r>
          <w:fldChar w:fldCharType="separate"/>
        </w:r>
        <w:r>
          <w:t xml:space="preserve">88</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799" w:anchor="_Toc165540799" w:history="1">
        <w:r>
          <w:rPr>
            <w:rStyle w:val="1267"/>
            <w:lang w:eastAsia="ru-RU"/>
          </w:rPr>
          <w:t xml:space="preserve">7.20 </w:t>
        </w:r>
        <w:r>
          <w:rPr>
            <w:rStyle w:val="1267"/>
          </w:rPr>
          <w:t xml:space="preserve">Определение</w:t>
        </w:r>
        <w:r>
          <w:rPr>
            <w:rStyle w:val="1267"/>
            <w:spacing w:val="-14"/>
          </w:rPr>
          <w:t xml:space="preserve"> </w:t>
        </w:r>
        <w:r>
          <w:rPr>
            <w:rStyle w:val="1267"/>
          </w:rPr>
          <w:t xml:space="preserve">потребности</w:t>
        </w:r>
        <w:r>
          <w:rPr>
            <w:rStyle w:val="1267"/>
            <w:spacing w:val="-9"/>
          </w:rPr>
          <w:t xml:space="preserve"> </w:t>
        </w:r>
        <w:r>
          <w:rPr>
            <w:rStyle w:val="1267"/>
          </w:rPr>
          <w:t xml:space="preserve">в</w:t>
        </w:r>
        <w:r>
          <w:rPr>
            <w:rStyle w:val="1267"/>
            <w:spacing w:val="-13"/>
          </w:rPr>
          <w:t xml:space="preserve"> </w:t>
        </w:r>
        <w:r>
          <w:rPr>
            <w:rStyle w:val="1267"/>
          </w:rPr>
          <w:t xml:space="preserve">топливе</w:t>
        </w:r>
        <w:r>
          <w:rPr>
            <w:rStyle w:val="1267"/>
            <w:spacing w:val="-11"/>
          </w:rPr>
          <w:t xml:space="preserve"> </w:t>
        </w:r>
        <w:r>
          <w:rPr>
            <w:rStyle w:val="1267"/>
          </w:rPr>
          <w:t xml:space="preserve">и</w:t>
        </w:r>
        <w:r>
          <w:rPr>
            <w:rStyle w:val="1267"/>
            <w:spacing w:val="-9"/>
          </w:rPr>
          <w:t xml:space="preserve"> </w:t>
        </w:r>
        <w:r>
          <w:rPr>
            <w:rStyle w:val="1267"/>
          </w:rPr>
          <w:t xml:space="preserve">рекомендации</w:t>
        </w:r>
        <w:r>
          <w:rPr>
            <w:rStyle w:val="1267"/>
            <w:spacing w:val="-12"/>
          </w:rPr>
          <w:t xml:space="preserve"> </w:t>
        </w:r>
        <w:r>
          <w:rPr>
            <w:rStyle w:val="1267"/>
          </w:rPr>
          <w:t xml:space="preserve">по</w:t>
        </w:r>
        <w:r>
          <w:rPr>
            <w:rStyle w:val="1267"/>
            <w:spacing w:val="-10"/>
          </w:rPr>
          <w:t xml:space="preserve"> </w:t>
        </w:r>
        <w:r>
          <w:rPr>
            <w:rStyle w:val="1267"/>
          </w:rPr>
          <w:t xml:space="preserve">видам</w:t>
        </w:r>
        <w:r>
          <w:rPr>
            <w:rStyle w:val="1267"/>
            <w:spacing w:val="-10"/>
          </w:rPr>
          <w:t xml:space="preserve"> </w:t>
        </w:r>
        <w:r>
          <w:rPr>
            <w:rStyle w:val="1267"/>
            <w:spacing w:val="-2"/>
          </w:rPr>
          <w:t xml:space="preserve">используемого</w:t>
        </w:r>
        <w:r>
          <w:tab/>
        </w:r>
        <w:r>
          <w:fldChar w:fldCharType="begin"/>
        </w:r>
        <w:r>
          <w:instrText xml:space="preserve"> PAGEREF _Toc165540799 \h </w:instrText>
        </w:r>
        <w:r>
          <w:fldChar w:fldCharType="separate"/>
        </w:r>
        <w:r>
          <w:t xml:space="preserve">88</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00" w:anchor="_Toc165540800" w:history="1">
        <w:r>
          <w:rPr>
            <w:rStyle w:val="1267"/>
          </w:rPr>
          <w:t xml:space="preserve">Глава</w:t>
        </w:r>
        <w:r>
          <w:rPr>
            <w:rStyle w:val="1267"/>
            <w:spacing w:val="-4"/>
          </w:rPr>
          <w:t xml:space="preserve"> </w:t>
        </w:r>
        <w:r>
          <w:rPr>
            <w:rStyle w:val="1267"/>
          </w:rPr>
          <w:t xml:space="preserve">8 Предложения по строительству, реконструкции и (или) модернизации тепловых сетей</w:t>
        </w:r>
        <w:r>
          <w:tab/>
        </w:r>
        <w:r>
          <w:fldChar w:fldCharType="begin"/>
        </w:r>
        <w:r>
          <w:instrText xml:space="preserve"> PAGEREF _Toc165540800 \h </w:instrText>
        </w:r>
        <w:r>
          <w:fldChar w:fldCharType="separate"/>
        </w:r>
        <w:r>
          <w:t xml:space="preserve">89</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01" w:anchor="_Toc165540801" w:history="1">
        <w:r>
          <w:rPr>
            <w:rStyle w:val="1267"/>
            <w:lang w:eastAsia="ru-RU"/>
          </w:rPr>
          <w:t xml:space="preserve">8.1 </w:t>
        </w:r>
        <w:r>
          <w:rPr>
            <w:rStyle w:val="1267"/>
          </w:rPr>
          <w:t xml:space="preserve">Предложения по реконструкции и (или) модернизации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tab/>
        </w:r>
        <w:r>
          <w:fldChar w:fldCharType="begin"/>
        </w:r>
        <w:r>
          <w:instrText xml:space="preserve"> PAGEREF _Toc165540801 \h </w:instrText>
        </w:r>
        <w:r>
          <w:fldChar w:fldCharType="separate"/>
        </w:r>
        <w:r>
          <w:t xml:space="preserve">89</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02" w:anchor="_Toc165540802" w:history="1">
        <w:r>
          <w:rPr>
            <w:rStyle w:val="1267"/>
            <w:lang w:eastAsia="ru-RU"/>
          </w:rPr>
          <w:t xml:space="preserve">8.2 </w:t>
        </w:r>
        <w:r>
          <w:rPr>
            <w:rStyle w:val="1267"/>
          </w:rPr>
          <w:t xml:space="preserve">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r>
          <w:tab/>
        </w:r>
        <w:r>
          <w:fldChar w:fldCharType="begin"/>
        </w:r>
        <w:r>
          <w:instrText xml:space="preserve"> PAGEREF _Toc165540802 \h </w:instrText>
        </w:r>
        <w:r>
          <w:fldChar w:fldCharType="separate"/>
        </w:r>
        <w:r>
          <w:t xml:space="preserve">89</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03" w:anchor="_Toc165540803" w:history="1">
        <w:r>
          <w:rPr>
            <w:rStyle w:val="1267"/>
            <w:lang w:eastAsia="ru-RU"/>
          </w:rPr>
          <w:t xml:space="preserve">8.3 </w:t>
        </w:r>
        <w:r>
          <w:rPr>
            <w:rStyle w:val="1267"/>
          </w:rPr>
          <w:t xml:space="preserve">Предложения</w:t>
        </w:r>
        <w:r>
          <w:rPr>
            <w:rStyle w:val="1267"/>
            <w:spacing w:val="-15"/>
          </w:rPr>
          <w:t xml:space="preserve"> </w:t>
        </w:r>
        <w:r>
          <w:rPr>
            <w:rStyle w:val="1267"/>
          </w:rPr>
          <w:t xml:space="preserve">по</w:t>
        </w:r>
        <w:r>
          <w:rPr>
            <w:rStyle w:val="1267"/>
            <w:spacing w:val="-15"/>
          </w:rPr>
          <w:t xml:space="preserve"> </w:t>
        </w:r>
        <w:r>
          <w:rPr>
            <w:rStyle w:val="1267"/>
          </w:rPr>
          <w:t xml:space="preserve">строительству</w:t>
        </w:r>
        <w:r>
          <w:rPr>
            <w:rStyle w:val="1267"/>
            <w:spacing w:val="-15"/>
          </w:rPr>
          <w:t xml:space="preserve"> </w:t>
        </w:r>
        <w:r>
          <w:rPr>
            <w:rStyle w:val="1267"/>
          </w:rPr>
          <w:t xml:space="preserve">тепловых</w:t>
        </w:r>
        <w:r>
          <w:rPr>
            <w:rStyle w:val="1267"/>
            <w:spacing w:val="-15"/>
          </w:rPr>
          <w:t xml:space="preserve"> </w:t>
        </w:r>
        <w:r>
          <w:rPr>
            <w:rStyle w:val="1267"/>
          </w:rPr>
          <w:t xml:space="preserve">сетей,</w:t>
        </w:r>
        <w:r>
          <w:rPr>
            <w:rStyle w:val="1267"/>
            <w:spacing w:val="-15"/>
          </w:rPr>
          <w:t xml:space="preserve"> </w:t>
        </w:r>
        <w:r>
          <w:rPr>
            <w:rStyle w:val="1267"/>
          </w:rPr>
          <w:t xml:space="preserve">обеспечивающих</w:t>
        </w:r>
        <w:r>
          <w:rPr>
            <w:rStyle w:val="1267"/>
            <w:spacing w:val="-15"/>
          </w:rPr>
          <w:t xml:space="preserve"> </w:t>
        </w:r>
        <w:r>
          <w:rPr>
            <w:rStyle w:val="1267"/>
          </w:rPr>
          <w:t xml:space="preserve">условия,</w:t>
        </w:r>
        <w:r>
          <w:rPr>
            <w:rStyle w:val="1267"/>
            <w:spacing w:val="-15"/>
          </w:rPr>
          <w:t xml:space="preserve"> </w:t>
        </w:r>
        <w:r>
          <w:rPr>
            <w:rStyle w:val="1267"/>
          </w:rPr>
          <w:t xml:space="preserve">при наличии</w:t>
        </w:r>
        <w:r>
          <w:rPr>
            <w:rStyle w:val="1267"/>
            <w:spacing w:val="-3"/>
          </w:rPr>
          <w:t xml:space="preserve"> </w:t>
        </w:r>
        <w:r>
          <w:rPr>
            <w:rStyle w:val="1267"/>
          </w:rPr>
          <w:t xml:space="preserve">которых</w:t>
        </w:r>
        <w:r>
          <w:rPr>
            <w:rStyle w:val="1267"/>
            <w:spacing w:val="-4"/>
          </w:rPr>
          <w:t xml:space="preserve"> </w:t>
        </w:r>
        <w:r>
          <w:rPr>
            <w:rStyle w:val="1267"/>
          </w:rPr>
          <w:t xml:space="preserve">существует</w:t>
        </w:r>
        <w:r>
          <w:rPr>
            <w:rStyle w:val="1267"/>
            <w:spacing w:val="-3"/>
          </w:rPr>
          <w:t xml:space="preserve"> </w:t>
        </w:r>
        <w:r>
          <w:rPr>
            <w:rStyle w:val="1267"/>
          </w:rPr>
          <w:t xml:space="preserve">возможность</w:t>
        </w:r>
        <w:r>
          <w:rPr>
            <w:rStyle w:val="1267"/>
            <w:spacing w:val="-2"/>
          </w:rPr>
          <w:t xml:space="preserve"> </w:t>
        </w:r>
        <w:r>
          <w:rPr>
            <w:rStyle w:val="1267"/>
          </w:rPr>
          <w:t xml:space="preserve">поставок</w:t>
        </w:r>
        <w:r>
          <w:rPr>
            <w:rStyle w:val="1267"/>
            <w:spacing w:val="-6"/>
          </w:rPr>
          <w:t xml:space="preserve"> </w:t>
        </w:r>
        <w:r>
          <w:rPr>
            <w:rStyle w:val="1267"/>
          </w:rPr>
          <w:t xml:space="preserve">тепловой</w:t>
        </w:r>
        <w:r>
          <w:rPr>
            <w:rStyle w:val="1267"/>
            <w:spacing w:val="-5"/>
          </w:rPr>
          <w:t xml:space="preserve"> </w:t>
        </w:r>
        <w:r>
          <w:rPr>
            <w:rStyle w:val="1267"/>
          </w:rPr>
          <w:t xml:space="preserve">энергии</w:t>
        </w:r>
        <w:r>
          <w:rPr>
            <w:rStyle w:val="1267"/>
            <w:spacing w:val="-4"/>
          </w:rPr>
          <w:t xml:space="preserve"> </w:t>
        </w:r>
        <w:r>
          <w:rPr>
            <w:rStyle w:val="1267"/>
          </w:rPr>
          <w:t xml:space="preserve">потребителям</w:t>
        </w:r>
        <w:r>
          <w:rPr>
            <w:rStyle w:val="1267"/>
            <w:spacing w:val="-5"/>
          </w:rPr>
          <w:t xml:space="preserve"> </w:t>
        </w:r>
        <w:r>
          <w:rPr>
            <w:rStyle w:val="1267"/>
          </w:rPr>
          <w:t xml:space="preserve">от различных источников тепловой энергии при сохранении надёжности теплоснабжения</w:t>
        </w:r>
        <w:r>
          <w:tab/>
        </w:r>
        <w:r>
          <w:fldChar w:fldCharType="begin"/>
        </w:r>
        <w:r>
          <w:instrText xml:space="preserve"> PAGEREF _Toc165540803 \h </w:instrText>
        </w:r>
        <w:r>
          <w:fldChar w:fldCharType="separate"/>
        </w:r>
        <w:r>
          <w:t xml:space="preserve">89</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04" w:anchor="_Toc165540804" w:history="1">
        <w:r>
          <w:rPr>
            <w:rStyle w:val="1267"/>
            <w:lang w:eastAsia="ru-RU"/>
          </w:rPr>
          <w:t xml:space="preserve">8.4 </w:t>
        </w:r>
        <w:r>
          <w:rPr>
            <w:rStyle w:val="1267"/>
          </w:rPr>
          <w:t xml:space="preserve">Предложения по строительству, реконструкции и (или) модернизации тепловых сетей для повышения эффективности функционирования системы теплоснабжения,</w:t>
        </w:r>
        <w:r>
          <w:rPr>
            <w:rStyle w:val="1267"/>
            <w:spacing w:val="-2"/>
          </w:rPr>
          <w:t xml:space="preserve"> </w:t>
        </w:r>
        <w:r>
          <w:rPr>
            <w:rStyle w:val="1267"/>
          </w:rPr>
          <w:t xml:space="preserve">в</w:t>
        </w:r>
        <w:r>
          <w:rPr>
            <w:rStyle w:val="1267"/>
            <w:spacing w:val="-1"/>
          </w:rPr>
          <w:t xml:space="preserve"> </w:t>
        </w:r>
        <w:r>
          <w:rPr>
            <w:rStyle w:val="1267"/>
          </w:rPr>
          <w:t xml:space="preserve">том</w:t>
        </w:r>
        <w:r>
          <w:rPr>
            <w:rStyle w:val="1267"/>
            <w:spacing w:val="-2"/>
          </w:rPr>
          <w:t xml:space="preserve"> </w:t>
        </w:r>
        <w:r>
          <w:rPr>
            <w:rStyle w:val="1267"/>
          </w:rPr>
          <w:t xml:space="preserve">числе</w:t>
        </w:r>
        <w:r>
          <w:rPr>
            <w:rStyle w:val="1267"/>
            <w:spacing w:val="-3"/>
          </w:rPr>
          <w:t xml:space="preserve"> </w:t>
        </w:r>
        <w:r>
          <w:rPr>
            <w:rStyle w:val="1267"/>
          </w:rPr>
          <w:t xml:space="preserve">за</w:t>
        </w:r>
        <w:r>
          <w:rPr>
            <w:rStyle w:val="1267"/>
            <w:spacing w:val="-2"/>
          </w:rPr>
          <w:t xml:space="preserve"> </w:t>
        </w:r>
        <w:r>
          <w:rPr>
            <w:rStyle w:val="1267"/>
          </w:rPr>
          <w:t xml:space="preserve">счёт перевода</w:t>
        </w:r>
        <w:r>
          <w:rPr>
            <w:rStyle w:val="1267"/>
            <w:spacing w:val="-1"/>
          </w:rPr>
          <w:t xml:space="preserve"> </w:t>
        </w:r>
        <w:r>
          <w:rPr>
            <w:rStyle w:val="1267"/>
          </w:rPr>
          <w:t xml:space="preserve">котельных</w:t>
        </w:r>
        <w:r>
          <w:rPr>
            <w:rStyle w:val="1267"/>
            <w:spacing w:val="-1"/>
          </w:rPr>
          <w:t xml:space="preserve"> </w:t>
        </w:r>
        <w:r>
          <w:rPr>
            <w:rStyle w:val="1267"/>
          </w:rPr>
          <w:t xml:space="preserve">в</w:t>
        </w:r>
        <w:r>
          <w:rPr>
            <w:rStyle w:val="1267"/>
            <w:spacing w:val="-4"/>
          </w:rPr>
          <w:t xml:space="preserve"> </w:t>
        </w:r>
        <w:r>
          <w:rPr>
            <w:rStyle w:val="1267"/>
          </w:rPr>
          <w:t xml:space="preserve">пиковый режим</w:t>
        </w:r>
        <w:r>
          <w:rPr>
            <w:rStyle w:val="1267"/>
            <w:spacing w:val="-2"/>
          </w:rPr>
          <w:t xml:space="preserve"> </w:t>
        </w:r>
        <w:r>
          <w:rPr>
            <w:rStyle w:val="1267"/>
          </w:rPr>
          <w:t xml:space="preserve">работы</w:t>
        </w:r>
        <w:r>
          <w:rPr>
            <w:rStyle w:val="1267"/>
            <w:spacing w:val="-1"/>
          </w:rPr>
          <w:t xml:space="preserve"> </w:t>
        </w:r>
        <w:r>
          <w:rPr>
            <w:rStyle w:val="1267"/>
          </w:rPr>
          <w:t xml:space="preserve">или ликвидации котельных</w:t>
        </w:r>
        <w:r>
          <w:tab/>
        </w:r>
        <w:r>
          <w:fldChar w:fldCharType="begin"/>
        </w:r>
        <w:r>
          <w:instrText xml:space="preserve"> PAGEREF _Toc165540804 \h </w:instrText>
        </w:r>
        <w:r>
          <w:fldChar w:fldCharType="separate"/>
        </w:r>
        <w:r>
          <w:t xml:space="preserve">89</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05" w:anchor="_Toc165540805" w:history="1">
        <w:r>
          <w:rPr>
            <w:rStyle w:val="1267"/>
            <w:lang w:eastAsia="ru-RU"/>
          </w:rPr>
          <w:t xml:space="preserve">8.5 </w:t>
        </w:r>
        <w:r>
          <w:rPr>
            <w:rStyle w:val="1267"/>
          </w:rPr>
          <w:t xml:space="preserve">Предложения</w:t>
        </w:r>
        <w:r>
          <w:rPr>
            <w:rStyle w:val="1267"/>
            <w:spacing w:val="-6"/>
          </w:rPr>
          <w:t xml:space="preserve"> </w:t>
        </w:r>
        <w:r>
          <w:rPr>
            <w:rStyle w:val="1267"/>
          </w:rPr>
          <w:t xml:space="preserve">по</w:t>
        </w:r>
        <w:r>
          <w:rPr>
            <w:rStyle w:val="1267"/>
            <w:spacing w:val="-6"/>
          </w:rPr>
          <w:t xml:space="preserve"> </w:t>
        </w:r>
        <w:r>
          <w:rPr>
            <w:rStyle w:val="1267"/>
          </w:rPr>
          <w:t xml:space="preserve">строительству</w:t>
        </w:r>
        <w:r>
          <w:rPr>
            <w:rStyle w:val="1267"/>
            <w:spacing w:val="-8"/>
          </w:rPr>
          <w:t xml:space="preserve"> </w:t>
        </w:r>
        <w:r>
          <w:rPr>
            <w:rStyle w:val="1267"/>
          </w:rPr>
          <w:t xml:space="preserve">тепловых</w:t>
        </w:r>
        <w:r>
          <w:rPr>
            <w:rStyle w:val="1267"/>
            <w:spacing w:val="-7"/>
          </w:rPr>
          <w:t xml:space="preserve"> </w:t>
        </w:r>
        <w:r>
          <w:rPr>
            <w:rStyle w:val="1267"/>
          </w:rPr>
          <w:t xml:space="preserve">сетей</w:t>
        </w:r>
        <w:r>
          <w:rPr>
            <w:rStyle w:val="1267"/>
            <w:spacing w:val="-1"/>
          </w:rPr>
          <w:t xml:space="preserve"> </w:t>
        </w:r>
        <w:r>
          <w:rPr>
            <w:rStyle w:val="1267"/>
          </w:rPr>
          <w:t xml:space="preserve">для</w:t>
        </w:r>
        <w:r>
          <w:rPr>
            <w:rStyle w:val="1267"/>
            <w:spacing w:val="-7"/>
          </w:rPr>
          <w:t xml:space="preserve"> </w:t>
        </w:r>
        <w:r>
          <w:rPr>
            <w:rStyle w:val="1267"/>
          </w:rPr>
          <w:t xml:space="preserve">обеспечения</w:t>
        </w:r>
        <w:r>
          <w:rPr>
            <w:rStyle w:val="1267"/>
            <w:spacing w:val="-6"/>
          </w:rPr>
          <w:t xml:space="preserve"> </w:t>
        </w:r>
        <w:r>
          <w:rPr>
            <w:rStyle w:val="1267"/>
          </w:rPr>
          <w:t xml:space="preserve">нормативной надёжности теплоснабжения</w:t>
        </w:r>
        <w:r>
          <w:tab/>
        </w:r>
        <w:r>
          <w:fldChar w:fldCharType="begin"/>
        </w:r>
        <w:r>
          <w:instrText xml:space="preserve"> PAGEREF _Toc165540805 \h </w:instrText>
        </w:r>
        <w:r>
          <w:fldChar w:fldCharType="separate"/>
        </w:r>
        <w:r>
          <w:t xml:space="preserve">89</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06" w:anchor="_Toc165540806" w:history="1">
        <w:r>
          <w:rPr>
            <w:rStyle w:val="1267"/>
            <w:lang w:eastAsia="ru-RU"/>
          </w:rPr>
          <w:t xml:space="preserve">8.6 </w:t>
        </w:r>
        <w:r>
          <w:rPr>
            <w:rStyle w:val="1267"/>
          </w:rPr>
          <w:t xml:space="preserve">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r>
          <w:tab/>
        </w:r>
        <w:r>
          <w:fldChar w:fldCharType="begin"/>
        </w:r>
        <w:r>
          <w:instrText xml:space="preserve"> PAGEREF _Toc165540806 \h </w:instrText>
        </w:r>
        <w:r>
          <w:fldChar w:fldCharType="separate"/>
        </w:r>
        <w:r>
          <w:t xml:space="preserve">89</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07" w:anchor="_Toc165540807" w:history="1">
        <w:r>
          <w:rPr>
            <w:rStyle w:val="1267"/>
            <w:lang w:eastAsia="ru-RU"/>
          </w:rPr>
          <w:t xml:space="preserve">8.7 </w:t>
        </w:r>
        <w:r>
          <w:rPr>
            <w:rStyle w:val="1267"/>
          </w:rPr>
          <w:t xml:space="preserve">Предложения по реконструкции и (или) модернизации тепловых сетей, подлежащих замене в связи с исчерпанием эксплуатационного ресурса</w:t>
        </w:r>
        <w:r>
          <w:tab/>
        </w:r>
        <w:r>
          <w:fldChar w:fldCharType="begin"/>
        </w:r>
        <w:r>
          <w:instrText xml:space="preserve"> PAGEREF _Toc165540807 \h </w:instrText>
        </w:r>
        <w:r>
          <w:fldChar w:fldCharType="separate"/>
        </w:r>
        <w:r>
          <w:t xml:space="preserve">90</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08" w:anchor="_Toc165540808" w:history="1">
        <w:r>
          <w:rPr>
            <w:rStyle w:val="1267"/>
            <w:lang w:eastAsia="ru-RU"/>
          </w:rPr>
          <w:t xml:space="preserve">8.8 </w:t>
        </w:r>
        <w:r>
          <w:rPr>
            <w:rStyle w:val="1267"/>
          </w:rPr>
          <w:t xml:space="preserve">Предложения по строительству, реконструкции и (или) модернизации насосных станций</w:t>
        </w:r>
        <w:r>
          <w:tab/>
        </w:r>
        <w:r>
          <w:fldChar w:fldCharType="begin"/>
        </w:r>
        <w:r>
          <w:instrText xml:space="preserve"> PAGEREF _Toc165540808 \h </w:instrText>
        </w:r>
        <w:r>
          <w:fldChar w:fldCharType="separate"/>
        </w:r>
        <w:r>
          <w:t xml:space="preserve">90</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09" w:anchor="_Toc165540809" w:history="1">
        <w:r>
          <w:rPr>
            <w:rStyle w:val="1267"/>
            <w:lang w:eastAsia="ru-RU"/>
          </w:rPr>
          <w:t xml:space="preserve">8.9 </w:t>
        </w:r>
        <w:r>
          <w:rPr>
            <w:rStyle w:val="1267"/>
            <w:spacing w:val="-2"/>
          </w:rPr>
          <w:t xml:space="preserve">Описание</w:t>
        </w:r>
        <w:r>
          <w:rPr>
            <w:rStyle w:val="1267"/>
            <w:spacing w:val="-4"/>
          </w:rPr>
          <w:t xml:space="preserve"> </w:t>
        </w:r>
        <w:r>
          <w:rPr>
            <w:rStyle w:val="1267"/>
            <w:spacing w:val="-2"/>
          </w:rPr>
          <w:t xml:space="preserve">изменений</w:t>
        </w:r>
        <w:r>
          <w:rPr>
            <w:rStyle w:val="1267"/>
            <w:spacing w:val="-5"/>
          </w:rPr>
          <w:t xml:space="preserve"> </w:t>
        </w:r>
        <w:r>
          <w:rPr>
            <w:rStyle w:val="1267"/>
            <w:spacing w:val="-2"/>
          </w:rPr>
          <w:t xml:space="preserve">в</w:t>
        </w:r>
        <w:r>
          <w:rPr>
            <w:rStyle w:val="1267"/>
            <w:spacing w:val="-3"/>
          </w:rPr>
          <w:t xml:space="preserve"> </w:t>
        </w:r>
        <w:r>
          <w:rPr>
            <w:rStyle w:val="1267"/>
            <w:spacing w:val="-2"/>
          </w:rPr>
          <w:t xml:space="preserve">предложениях</w:t>
        </w:r>
        <w:r>
          <w:rPr>
            <w:rStyle w:val="1267"/>
            <w:spacing w:val="-3"/>
          </w:rPr>
          <w:t xml:space="preserve"> </w:t>
        </w:r>
        <w:r>
          <w:rPr>
            <w:rStyle w:val="1267"/>
            <w:spacing w:val="-2"/>
          </w:rPr>
          <w:t xml:space="preserve">по</w:t>
        </w:r>
        <w:r>
          <w:rPr>
            <w:rStyle w:val="1267"/>
            <w:spacing w:val="-3"/>
          </w:rPr>
          <w:t xml:space="preserve"> </w:t>
        </w:r>
        <w:r>
          <w:rPr>
            <w:rStyle w:val="1267"/>
            <w:spacing w:val="-2"/>
          </w:rPr>
          <w:t xml:space="preserve">строительству,</w:t>
        </w:r>
        <w:r>
          <w:rPr>
            <w:rStyle w:val="1267"/>
            <w:spacing w:val="-5"/>
          </w:rPr>
          <w:t xml:space="preserve"> </w:t>
        </w:r>
        <w:r>
          <w:rPr>
            <w:rStyle w:val="1267"/>
            <w:spacing w:val="-2"/>
          </w:rPr>
          <w:t xml:space="preserve">реконструкции и (или) </w:t>
        </w:r>
        <w:r>
          <w:rPr>
            <w:rStyle w:val="1267"/>
          </w:rPr>
          <w:t xml:space="preserve">модернизации тепловых сетей за период, предшествующий актуализации схемы теплоснабжения, в том числе с учётом введённых в эксплуатацию новых и реконструированных тепловых сетей и сооружений на них</w:t>
        </w:r>
        <w:r>
          <w:tab/>
        </w:r>
        <w:r>
          <w:fldChar w:fldCharType="begin"/>
        </w:r>
        <w:r>
          <w:instrText xml:space="preserve"> PAGEREF _Toc165540809 \h </w:instrText>
        </w:r>
        <w:r>
          <w:fldChar w:fldCharType="separate"/>
        </w:r>
        <w:r>
          <w:t xml:space="preserve">90</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10" w:anchor="_Toc165540810" w:history="1">
        <w:r>
          <w:rPr>
            <w:rStyle w:val="1267"/>
          </w:rPr>
          <w:t xml:space="preserve">Глава</w:t>
        </w:r>
        <w:r>
          <w:rPr>
            <w:rStyle w:val="1267"/>
            <w:spacing w:val="-4"/>
          </w:rPr>
          <w:t xml:space="preserve"> </w:t>
        </w:r>
        <w:r>
          <w:rPr>
            <w:rStyle w:val="1267"/>
          </w:rPr>
          <w:t xml:space="preserve">9 Предложения по переводу открытых систем теплоснабжения (горячего водоснабжения) в закрытые системы горячего водоснабжения</w:t>
        </w:r>
        <w:r>
          <w:tab/>
        </w:r>
        <w:r>
          <w:fldChar w:fldCharType="begin"/>
        </w:r>
        <w:r>
          <w:instrText xml:space="preserve"> PAGEREF _Toc165540810 \h </w:instrText>
        </w:r>
        <w:r>
          <w:fldChar w:fldCharType="separate"/>
        </w:r>
        <w:r>
          <w:t xml:space="preserve">91</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11" w:anchor="_Toc165540811" w:history="1">
        <w:r>
          <w:rPr>
            <w:rStyle w:val="1267"/>
            <w:lang w:eastAsia="ru-RU"/>
          </w:rPr>
          <w:t xml:space="preserve">9.1 </w:t>
        </w:r>
        <w:r>
          <w:rPr>
            <w:rStyle w:val="1267"/>
          </w:rPr>
          <w:t xml:space="preserve">Технико-экономическое обоснование предложений по т</w:t>
        </w:r>
        <w:r>
          <w:rPr>
            <w:rStyle w:val="1267"/>
          </w:rPr>
          <w:t xml:space="preserve">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подключённых к открытой системе теплоснабжения (горячего водоснабжения), на закрытую систему горячего </w:t>
        </w:r>
        <w:r>
          <w:rPr>
            <w:rStyle w:val="1267"/>
            <w:spacing w:val="-2"/>
          </w:rPr>
          <w:t xml:space="preserve">водоснабжения</w:t>
        </w:r>
        <w:r>
          <w:tab/>
        </w:r>
        <w:r>
          <w:fldChar w:fldCharType="begin"/>
        </w:r>
        <w:r>
          <w:instrText xml:space="preserve"> PAGEREF _Toc165540811 \h </w:instrText>
        </w:r>
        <w:r>
          <w:fldChar w:fldCharType="separate"/>
        </w:r>
        <w:r>
          <w:t xml:space="preserve">91</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12" w:anchor="_Toc165540812" w:history="1">
        <w:r>
          <w:rPr>
            <w:rStyle w:val="1267"/>
            <w:lang w:eastAsia="ru-RU"/>
          </w:rPr>
          <w:t xml:space="preserve">9.2 </w:t>
        </w:r>
        <w:r>
          <w:rPr>
            <w:rStyle w:val="1267"/>
          </w:rPr>
          <w:t xml:space="preserve">Выбор</w:t>
        </w:r>
        <w:r>
          <w:rPr>
            <w:rStyle w:val="1267"/>
            <w:spacing w:val="40"/>
          </w:rPr>
          <w:t xml:space="preserve"> </w:t>
        </w:r>
        <w:r>
          <w:rPr>
            <w:rStyle w:val="1267"/>
          </w:rPr>
          <w:t xml:space="preserve">и</w:t>
        </w:r>
        <w:r>
          <w:rPr>
            <w:rStyle w:val="1267"/>
            <w:spacing w:val="40"/>
          </w:rPr>
          <w:t xml:space="preserve"> </w:t>
        </w:r>
        <w:r>
          <w:rPr>
            <w:rStyle w:val="1267"/>
          </w:rPr>
          <w:t xml:space="preserve">обоснование</w:t>
        </w:r>
        <w:r>
          <w:rPr>
            <w:rStyle w:val="1267"/>
            <w:spacing w:val="40"/>
          </w:rPr>
          <w:t xml:space="preserve"> </w:t>
        </w:r>
        <w:r>
          <w:rPr>
            <w:rStyle w:val="1267"/>
          </w:rPr>
          <w:t xml:space="preserve">метода</w:t>
        </w:r>
        <w:r>
          <w:rPr>
            <w:rStyle w:val="1267"/>
            <w:spacing w:val="40"/>
          </w:rPr>
          <w:t xml:space="preserve"> </w:t>
        </w:r>
        <w:r>
          <w:rPr>
            <w:rStyle w:val="1267"/>
          </w:rPr>
          <w:t xml:space="preserve">регулирования</w:t>
        </w:r>
        <w:r>
          <w:rPr>
            <w:rStyle w:val="1267"/>
            <w:spacing w:val="40"/>
          </w:rPr>
          <w:t xml:space="preserve"> </w:t>
        </w:r>
        <w:r>
          <w:rPr>
            <w:rStyle w:val="1267"/>
          </w:rPr>
          <w:t xml:space="preserve">отпуска</w:t>
        </w:r>
        <w:r>
          <w:rPr>
            <w:rStyle w:val="1267"/>
            <w:spacing w:val="40"/>
          </w:rPr>
          <w:t xml:space="preserve"> </w:t>
        </w:r>
        <w:r>
          <w:rPr>
            <w:rStyle w:val="1267"/>
          </w:rPr>
          <w:t xml:space="preserve">тепловой</w:t>
        </w:r>
        <w:r>
          <w:rPr>
            <w:rStyle w:val="1267"/>
            <w:spacing w:val="40"/>
          </w:rPr>
          <w:t xml:space="preserve"> </w:t>
        </w:r>
        <w:r>
          <w:rPr>
            <w:rStyle w:val="1267"/>
          </w:rPr>
          <w:t xml:space="preserve">энергии</w:t>
        </w:r>
        <w:r>
          <w:rPr>
            <w:rStyle w:val="1267"/>
            <w:spacing w:val="40"/>
          </w:rPr>
          <w:t xml:space="preserve"> </w:t>
        </w:r>
        <w:r>
          <w:rPr>
            <w:rStyle w:val="1267"/>
          </w:rPr>
          <w:t xml:space="preserve">от источников тепловой энергии</w:t>
        </w:r>
        <w:r>
          <w:tab/>
        </w:r>
        <w:r>
          <w:fldChar w:fldCharType="begin"/>
        </w:r>
        <w:r>
          <w:instrText xml:space="preserve"> PAGEREF _Toc165540812 \h </w:instrText>
        </w:r>
        <w:r>
          <w:fldChar w:fldCharType="separate"/>
        </w:r>
        <w:r>
          <w:t xml:space="preserve">91</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13" w:anchor="_Toc165540813" w:history="1">
        <w:r>
          <w:rPr>
            <w:rStyle w:val="1267"/>
            <w:lang w:eastAsia="ru-RU"/>
          </w:rPr>
          <w:t xml:space="preserve">9.3 </w:t>
        </w:r>
        <w:r>
          <w:rPr>
            <w:rStyle w:val="1267"/>
          </w:rPr>
          <w:t xml:space="preserve">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r>
          <w:tab/>
        </w:r>
        <w:r>
          <w:fldChar w:fldCharType="begin"/>
        </w:r>
        <w:r>
          <w:instrText xml:space="preserve"> PAGEREF _Toc165540813 \h </w:instrText>
        </w:r>
        <w:r>
          <w:fldChar w:fldCharType="separate"/>
        </w:r>
        <w:r>
          <w:t xml:space="preserve">91</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14" w:anchor="_Toc165540814" w:history="1">
        <w:r>
          <w:rPr>
            <w:rStyle w:val="1267"/>
            <w:lang w:eastAsia="ru-RU"/>
          </w:rPr>
          <w:t xml:space="preserve">9.5 </w:t>
        </w:r>
        <w:r>
          <w:rPr>
            <w:rStyle w:val="1267"/>
          </w:rPr>
          <w:t xml:space="preserve">Оценка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r>
          <w:tab/>
        </w:r>
        <w:r>
          <w:fldChar w:fldCharType="begin"/>
        </w:r>
        <w:r>
          <w:instrText xml:space="preserve"> PAGEREF _Toc165540814 \h </w:instrText>
        </w:r>
        <w:r>
          <w:fldChar w:fldCharType="separate"/>
        </w:r>
        <w:r>
          <w:t xml:space="preserve">91</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15" w:anchor="_Toc165540815" w:history="1">
        <w:r>
          <w:rPr>
            <w:rStyle w:val="1267"/>
            <w:lang w:eastAsia="ru-RU"/>
          </w:rPr>
          <w:t xml:space="preserve">9.6 </w:t>
        </w:r>
        <w:r>
          <w:rPr>
            <w:rStyle w:val="1267"/>
          </w:rPr>
          <w:t xml:space="preserve">Предложения</w:t>
        </w:r>
        <w:r>
          <w:rPr>
            <w:rStyle w:val="1267"/>
            <w:spacing w:val="-4"/>
          </w:rPr>
          <w:t xml:space="preserve"> </w:t>
        </w:r>
        <w:r>
          <w:rPr>
            <w:rStyle w:val="1267"/>
          </w:rPr>
          <w:t xml:space="preserve">по</w:t>
        </w:r>
        <w:r>
          <w:rPr>
            <w:rStyle w:val="1267"/>
            <w:spacing w:val="-2"/>
          </w:rPr>
          <w:t xml:space="preserve"> </w:t>
        </w:r>
        <w:r>
          <w:rPr>
            <w:rStyle w:val="1267"/>
          </w:rPr>
          <w:t xml:space="preserve">источникам</w:t>
        </w:r>
        <w:r>
          <w:rPr>
            <w:rStyle w:val="1267"/>
            <w:spacing w:val="-2"/>
          </w:rPr>
          <w:t xml:space="preserve"> инвестиций</w:t>
        </w:r>
        <w:r>
          <w:tab/>
        </w:r>
        <w:r>
          <w:fldChar w:fldCharType="begin"/>
        </w:r>
        <w:r>
          <w:instrText xml:space="preserve"> PAGEREF _Toc165540815 \h </w:instrText>
        </w:r>
        <w:r>
          <w:fldChar w:fldCharType="separate"/>
        </w:r>
        <w:r>
          <w:t xml:space="preserve">91</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16" w:anchor="_Toc165540816" w:history="1">
        <w:r>
          <w:rPr>
            <w:rStyle w:val="1267"/>
            <w:lang w:eastAsia="ru-RU"/>
          </w:rPr>
          <w:t xml:space="preserve">9.7 </w:t>
        </w:r>
        <w:r>
          <w:rPr>
            <w:rStyle w:val="1267"/>
          </w:rPr>
          <w:t xml:space="preserve">Описание актуальных изменений в предложениях по переводу открытых систем теплоснабжения (горячего водоснабжения) в закрытые системы горячего водоснабжения</w:t>
        </w:r>
        <w:r>
          <w:rPr>
            <w:rStyle w:val="1267"/>
            <w:spacing w:val="-14"/>
          </w:rPr>
          <w:t xml:space="preserve"> </w:t>
        </w:r>
        <w:r>
          <w:rPr>
            <w:rStyle w:val="1267"/>
          </w:rPr>
          <w:t xml:space="preserve">за</w:t>
        </w:r>
        <w:r>
          <w:rPr>
            <w:rStyle w:val="1267"/>
            <w:spacing w:val="-15"/>
          </w:rPr>
          <w:t xml:space="preserve"> </w:t>
        </w:r>
        <w:r>
          <w:rPr>
            <w:rStyle w:val="1267"/>
          </w:rPr>
          <w:t xml:space="preserve">период,</w:t>
        </w:r>
        <w:r>
          <w:rPr>
            <w:rStyle w:val="1267"/>
            <w:spacing w:val="-14"/>
          </w:rPr>
          <w:t xml:space="preserve"> </w:t>
        </w:r>
        <w:r>
          <w:rPr>
            <w:rStyle w:val="1267"/>
          </w:rPr>
          <w:t xml:space="preserve">предшествующий</w:t>
        </w:r>
        <w:r>
          <w:rPr>
            <w:rStyle w:val="1267"/>
            <w:spacing w:val="-13"/>
          </w:rPr>
          <w:t xml:space="preserve"> </w:t>
        </w:r>
        <w:r>
          <w:rPr>
            <w:rStyle w:val="1267"/>
          </w:rPr>
          <w:t xml:space="preserve">актуализации</w:t>
        </w:r>
        <w:r>
          <w:rPr>
            <w:rStyle w:val="1267"/>
            <w:spacing w:val="-13"/>
          </w:rPr>
          <w:t xml:space="preserve"> </w:t>
        </w:r>
        <w:r>
          <w:rPr>
            <w:rStyle w:val="1267"/>
          </w:rPr>
          <w:t xml:space="preserve">схемы</w:t>
        </w:r>
        <w:r>
          <w:rPr>
            <w:rStyle w:val="1267"/>
            <w:spacing w:val="-12"/>
          </w:rPr>
          <w:t xml:space="preserve"> </w:t>
        </w:r>
        <w:r>
          <w:rPr>
            <w:rStyle w:val="1267"/>
          </w:rPr>
          <w:t xml:space="preserve">теплоснабжения,</w:t>
        </w:r>
        <w:r>
          <w:rPr>
            <w:rStyle w:val="1267"/>
            <w:spacing w:val="-14"/>
          </w:rPr>
          <w:t xml:space="preserve"> </w:t>
        </w:r>
        <w:r>
          <w:rPr>
            <w:rStyle w:val="1267"/>
          </w:rPr>
          <w:t xml:space="preserve">в</w:t>
        </w:r>
        <w:r>
          <w:rPr>
            <w:rStyle w:val="1267"/>
            <w:spacing w:val="-14"/>
          </w:rPr>
          <w:t xml:space="preserve"> </w:t>
        </w:r>
        <w:r>
          <w:rPr>
            <w:rStyle w:val="1267"/>
          </w:rPr>
          <w:t xml:space="preserve">том числе с учётом введённых в эксплуатацию переоборудованных центральных и индивидуальных тепловых пунктов</w:t>
        </w:r>
        <w:r>
          <w:tab/>
        </w:r>
        <w:r>
          <w:fldChar w:fldCharType="begin"/>
        </w:r>
        <w:r>
          <w:instrText xml:space="preserve"> PAGEREF _Toc165540816 \h </w:instrText>
        </w:r>
        <w:r>
          <w:fldChar w:fldCharType="separate"/>
        </w:r>
        <w:r>
          <w:t xml:space="preserve">91</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17" w:anchor="_Toc165540817" w:history="1">
        <w:r>
          <w:rPr>
            <w:rStyle w:val="1267"/>
          </w:rPr>
          <w:t xml:space="preserve">Глава</w:t>
        </w:r>
        <w:r>
          <w:rPr>
            <w:rStyle w:val="1267"/>
            <w:spacing w:val="-3"/>
          </w:rPr>
          <w:t xml:space="preserve"> </w:t>
        </w:r>
        <w:r>
          <w:rPr>
            <w:rStyle w:val="1267"/>
          </w:rPr>
          <w:t xml:space="preserve">10</w:t>
        </w:r>
        <w:r>
          <w:rPr>
            <w:rStyle w:val="1267"/>
            <w:spacing w:val="4"/>
          </w:rPr>
          <w:t xml:space="preserve"> </w:t>
        </w:r>
        <w:r>
          <w:rPr>
            <w:rStyle w:val="1267"/>
          </w:rPr>
          <w:t xml:space="preserve">Перспективные</w:t>
        </w:r>
        <w:r>
          <w:rPr>
            <w:rStyle w:val="1267"/>
            <w:spacing w:val="-4"/>
          </w:rPr>
          <w:t xml:space="preserve"> </w:t>
        </w:r>
        <w:r>
          <w:rPr>
            <w:rStyle w:val="1267"/>
          </w:rPr>
          <w:t xml:space="preserve">топливные</w:t>
        </w:r>
        <w:r>
          <w:rPr>
            <w:rStyle w:val="1267"/>
            <w:spacing w:val="-3"/>
          </w:rPr>
          <w:t xml:space="preserve"> </w:t>
        </w:r>
        <w:r>
          <w:rPr>
            <w:rStyle w:val="1267"/>
            <w:spacing w:val="-2"/>
          </w:rPr>
          <w:t xml:space="preserve">балансы</w:t>
        </w:r>
        <w:r>
          <w:tab/>
        </w:r>
        <w:r>
          <w:fldChar w:fldCharType="begin"/>
        </w:r>
        <w:r>
          <w:instrText xml:space="preserve"> PAGEREF _Toc165540817 \h </w:instrText>
        </w:r>
        <w:r>
          <w:fldChar w:fldCharType="separate"/>
        </w:r>
        <w:r>
          <w:t xml:space="preserve">92</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18" w:anchor="_Toc165540818" w:history="1">
        <w:r>
          <w:rPr>
            <w:rStyle w:val="1267"/>
            <w:lang w:eastAsia="ru-RU"/>
          </w:rPr>
          <w:t xml:space="preserve">10.1 </w:t>
        </w:r>
        <w:r>
          <w:rPr>
            <w:rStyle w:val="1267"/>
          </w:rPr>
          <w:t xml:space="preserve">Расчёты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w:t>
        </w:r>
        <w:r>
          <w:rPr>
            <w:rStyle w:val="1267"/>
          </w:rPr>
          <w:t xml:space="preserve">муниципального округа</w:t>
        </w:r>
        <w:r>
          <w:tab/>
        </w:r>
        <w:r>
          <w:fldChar w:fldCharType="begin"/>
        </w:r>
        <w:r>
          <w:instrText xml:space="preserve"> PAGEREF _Toc165540818 \h </w:instrText>
        </w:r>
        <w:r>
          <w:fldChar w:fldCharType="separate"/>
        </w:r>
        <w:r>
          <w:t xml:space="preserve">92</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19" w:anchor="_Toc165540819" w:history="1">
        <w:r>
          <w:rPr>
            <w:rStyle w:val="1267"/>
            <w:lang w:eastAsia="ru-RU"/>
          </w:rPr>
          <w:t xml:space="preserve">10.2 </w:t>
        </w:r>
        <w:r>
          <w:rPr>
            <w:rStyle w:val="1267"/>
          </w:rPr>
          <w:t xml:space="preserve">Результаты</w:t>
        </w:r>
        <w:r>
          <w:rPr>
            <w:rStyle w:val="1267"/>
            <w:spacing w:val="-3"/>
          </w:rPr>
          <w:t xml:space="preserve"> </w:t>
        </w:r>
        <w:r>
          <w:rPr>
            <w:rStyle w:val="1267"/>
          </w:rPr>
          <w:t xml:space="preserve">расчётов</w:t>
        </w:r>
        <w:r>
          <w:rPr>
            <w:rStyle w:val="1267"/>
            <w:spacing w:val="-1"/>
          </w:rPr>
          <w:t xml:space="preserve"> </w:t>
        </w:r>
        <w:r>
          <w:rPr>
            <w:rStyle w:val="1267"/>
          </w:rPr>
          <w:t xml:space="preserve">по</w:t>
        </w:r>
        <w:r>
          <w:rPr>
            <w:rStyle w:val="1267"/>
            <w:spacing w:val="-1"/>
          </w:rPr>
          <w:t xml:space="preserve"> </w:t>
        </w:r>
        <w:r>
          <w:rPr>
            <w:rStyle w:val="1267"/>
          </w:rPr>
          <w:t xml:space="preserve">каждому</w:t>
        </w:r>
        <w:r>
          <w:rPr>
            <w:rStyle w:val="1267"/>
            <w:spacing w:val="-1"/>
          </w:rPr>
          <w:t xml:space="preserve"> </w:t>
        </w:r>
        <w:r>
          <w:rPr>
            <w:rStyle w:val="1267"/>
          </w:rPr>
          <w:t xml:space="preserve">и</w:t>
        </w:r>
        <w:r>
          <w:rPr>
            <w:rStyle w:val="1267"/>
          </w:rPr>
          <w:t xml:space="preserve">с</w:t>
        </w:r>
        <w:r>
          <w:rPr>
            <w:rStyle w:val="1267"/>
          </w:rPr>
          <w:t xml:space="preserve">точнику</w:t>
        </w:r>
        <w:r>
          <w:rPr>
            <w:rStyle w:val="1267"/>
            <w:spacing w:val="-1"/>
          </w:rPr>
          <w:t xml:space="preserve"> </w:t>
        </w:r>
        <w:r>
          <w:rPr>
            <w:rStyle w:val="1267"/>
          </w:rPr>
          <w:t xml:space="preserve">тепловой энергии нормати</w:t>
        </w:r>
        <w:r>
          <w:rPr>
            <w:rStyle w:val="1267"/>
          </w:rPr>
          <w:t xml:space="preserve">в</w:t>
        </w:r>
        <w:r>
          <w:rPr>
            <w:rStyle w:val="1267"/>
          </w:rPr>
          <w:t xml:space="preserve">ных запасов топлива</w:t>
        </w:r>
        <w:r>
          <w:tab/>
        </w:r>
        <w:r>
          <w:fldChar w:fldCharType="begin"/>
        </w:r>
        <w:r>
          <w:instrText xml:space="preserve"> PAGEREF _Toc165540819 \h </w:instrText>
        </w:r>
        <w:r>
          <w:fldChar w:fldCharType="separate"/>
        </w:r>
        <w:r>
          <w:t xml:space="preserve">92</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20" w:anchor="_Toc165540820" w:history="1">
        <w:r>
          <w:rPr>
            <w:rStyle w:val="1267"/>
            <w:lang w:eastAsia="ru-RU"/>
          </w:rPr>
          <w:t xml:space="preserve">10.3 </w:t>
        </w:r>
        <w:r>
          <w:rPr>
            <w:rStyle w:val="1267"/>
          </w:rPr>
          <w:t xml:space="preserve">Вид топлива, потребляемый источником тепловой энергии, в том числе с использованием возобновляемых источников энергии и местных видов топлива</w:t>
        </w:r>
        <w:r>
          <w:tab/>
        </w:r>
        <w:r>
          <w:fldChar w:fldCharType="begin"/>
        </w:r>
        <w:r>
          <w:instrText xml:space="preserve"> PAGEREF _Toc165540820 \h </w:instrText>
        </w:r>
        <w:r>
          <w:fldChar w:fldCharType="separate"/>
        </w:r>
        <w:r>
          <w:t xml:space="preserve">92</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21" w:anchor="_Toc165540821" w:history="1">
        <w:r>
          <w:rPr>
            <w:rStyle w:val="1267"/>
            <w:lang w:eastAsia="ru-RU"/>
          </w:rPr>
          <w:t xml:space="preserve">10.4 </w:t>
        </w:r>
        <w:r>
          <w:rPr>
            <w:rStyle w:val="1267"/>
          </w:rPr>
          <w:t xml:space="preserve">Виды топлива (в случае, если топливом является уголь, - вид ископаемого угля</w:t>
        </w:r>
        <w:r>
          <w:rPr>
            <w:rStyle w:val="1267"/>
            <w:spacing w:val="-6"/>
          </w:rPr>
          <w:t xml:space="preserve"> </w:t>
        </w:r>
        <w:r>
          <w:rPr>
            <w:rStyle w:val="1267"/>
          </w:rPr>
          <w:t xml:space="preserve">в</w:t>
        </w:r>
        <w:r>
          <w:rPr>
            <w:rStyle w:val="1267"/>
            <w:spacing w:val="-4"/>
          </w:rPr>
          <w:t xml:space="preserve"> </w:t>
        </w:r>
        <w:r>
          <w:rPr>
            <w:rStyle w:val="1267"/>
          </w:rPr>
          <w:t xml:space="preserve">соответствии</w:t>
        </w:r>
        <w:r>
          <w:rPr>
            <w:rStyle w:val="1267"/>
            <w:spacing w:val="-5"/>
          </w:rPr>
          <w:t xml:space="preserve"> </w:t>
        </w:r>
        <w:r>
          <w:rPr>
            <w:rStyle w:val="1267"/>
          </w:rPr>
          <w:t xml:space="preserve">с</w:t>
        </w:r>
        <w:r>
          <w:rPr>
            <w:rStyle w:val="1267"/>
            <w:spacing w:val="-7"/>
          </w:rPr>
          <w:t xml:space="preserve"> </w:t>
        </w:r>
        <w:r>
          <w:rPr>
            <w:rStyle w:val="1267"/>
          </w:rPr>
          <w:t xml:space="preserve">Межгосударственным</w:t>
        </w:r>
        <w:r>
          <w:rPr>
            <w:rStyle w:val="1267"/>
            <w:spacing w:val="-6"/>
          </w:rPr>
          <w:t xml:space="preserve"> </w:t>
        </w:r>
        <w:r>
          <w:rPr>
            <w:rStyle w:val="1267"/>
          </w:rPr>
          <w:t xml:space="preserve">стандартом</w:t>
        </w:r>
        <w:r>
          <w:rPr>
            <w:rStyle w:val="1267"/>
            <w:spacing w:val="-6"/>
          </w:rPr>
          <w:t xml:space="preserve"> </w:t>
        </w:r>
        <w:r>
          <w:rPr>
            <w:rStyle w:val="1267"/>
          </w:rPr>
          <w:t xml:space="preserve">ГОСТ</w:t>
        </w:r>
        <w:r>
          <w:rPr>
            <w:rStyle w:val="1267"/>
            <w:spacing w:val="-5"/>
          </w:rPr>
          <w:t xml:space="preserve"> </w:t>
        </w:r>
        <w:r>
          <w:rPr>
            <w:rStyle w:val="1267"/>
          </w:rPr>
          <w:t xml:space="preserve">25543-2013</w:t>
        </w:r>
        <w:r>
          <w:rPr>
            <w:rStyle w:val="1267"/>
            <w:spacing w:val="-6"/>
          </w:rPr>
          <w:t xml:space="preserve"> </w:t>
        </w:r>
        <w:r>
          <w:rPr>
            <w:rStyle w:val="1267"/>
          </w:rPr>
          <w:t xml:space="preserve">"Угли</w:t>
        </w:r>
        <w:r>
          <w:rPr>
            <w:rStyle w:val="1267"/>
            <w:spacing w:val="-5"/>
          </w:rPr>
          <w:t xml:space="preserve"> </w:t>
        </w:r>
        <w:r>
          <w:rPr>
            <w:rStyle w:val="1267"/>
          </w:rPr>
          <w:t xml:space="preserve">бурые, каменные и антрациты. Классификация по генетическим и технологическим параметрам"),</w:t>
        </w:r>
        <w:r>
          <w:rPr>
            <w:rStyle w:val="1267"/>
            <w:spacing w:val="-15"/>
          </w:rPr>
          <w:t xml:space="preserve"> </w:t>
        </w:r>
        <w:r>
          <w:rPr>
            <w:rStyle w:val="1267"/>
          </w:rPr>
          <w:t xml:space="preserve">их</w:t>
        </w:r>
        <w:r>
          <w:rPr>
            <w:rStyle w:val="1267"/>
            <w:spacing w:val="-15"/>
          </w:rPr>
          <w:t xml:space="preserve"> </w:t>
        </w:r>
        <w:r>
          <w:rPr>
            <w:rStyle w:val="1267"/>
          </w:rPr>
          <w:t xml:space="preserve">долю</w:t>
        </w:r>
        <w:r>
          <w:rPr>
            <w:rStyle w:val="1267"/>
            <w:spacing w:val="-15"/>
          </w:rPr>
          <w:t xml:space="preserve"> </w:t>
        </w:r>
        <w:r>
          <w:rPr>
            <w:rStyle w:val="1267"/>
          </w:rPr>
          <w:t xml:space="preserve">и</w:t>
        </w:r>
        <w:r>
          <w:rPr>
            <w:rStyle w:val="1267"/>
            <w:spacing w:val="-14"/>
          </w:rPr>
          <w:t xml:space="preserve"> </w:t>
        </w:r>
        <w:r>
          <w:rPr>
            <w:rStyle w:val="1267"/>
          </w:rPr>
          <w:t xml:space="preserve">значение</w:t>
        </w:r>
        <w:r>
          <w:rPr>
            <w:rStyle w:val="1267"/>
            <w:spacing w:val="-15"/>
          </w:rPr>
          <w:t xml:space="preserve"> </w:t>
        </w:r>
        <w:r>
          <w:rPr>
            <w:rStyle w:val="1267"/>
          </w:rPr>
          <w:t xml:space="preserve">низшей</w:t>
        </w:r>
        <w:r>
          <w:rPr>
            <w:rStyle w:val="1267"/>
            <w:spacing w:val="-14"/>
          </w:rPr>
          <w:t xml:space="preserve"> </w:t>
        </w:r>
        <w:r>
          <w:rPr>
            <w:rStyle w:val="1267"/>
          </w:rPr>
          <w:t xml:space="preserve">теплоты</w:t>
        </w:r>
        <w:r>
          <w:rPr>
            <w:rStyle w:val="1267"/>
            <w:spacing w:val="-15"/>
          </w:rPr>
          <w:t xml:space="preserve"> </w:t>
        </w:r>
        <w:r>
          <w:rPr>
            <w:rStyle w:val="1267"/>
          </w:rPr>
          <w:t xml:space="preserve">сгорания</w:t>
        </w:r>
        <w:r>
          <w:rPr>
            <w:rStyle w:val="1267"/>
            <w:spacing w:val="-15"/>
          </w:rPr>
          <w:t xml:space="preserve"> </w:t>
        </w:r>
        <w:r>
          <w:rPr>
            <w:rStyle w:val="1267"/>
          </w:rPr>
          <w:t xml:space="preserve">топлива,</w:t>
        </w:r>
        <w:r>
          <w:rPr>
            <w:rStyle w:val="1267"/>
            <w:spacing w:val="-15"/>
          </w:rPr>
          <w:t xml:space="preserve"> </w:t>
        </w:r>
        <w:r>
          <w:rPr>
            <w:rStyle w:val="1267"/>
          </w:rPr>
          <w:t xml:space="preserve">используемые</w:t>
        </w:r>
        <w:r>
          <w:rPr>
            <w:rStyle w:val="1267"/>
            <w:spacing w:val="-15"/>
          </w:rPr>
          <w:t xml:space="preserve"> </w:t>
        </w:r>
        <w:r>
          <w:rPr>
            <w:rStyle w:val="1267"/>
          </w:rPr>
          <w:t xml:space="preserve">для производства тепловой энергии по каждой системе теплоснабжения</w:t>
        </w:r>
        <w:r>
          <w:tab/>
        </w:r>
        <w:r>
          <w:fldChar w:fldCharType="begin"/>
        </w:r>
        <w:r>
          <w:instrText xml:space="preserve"> PAGEREF _Toc165540821 \h </w:instrText>
        </w:r>
        <w:r>
          <w:fldChar w:fldCharType="separate"/>
        </w:r>
        <w:r>
          <w:t xml:space="preserve">93</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22" w:anchor="_Toc165540822" w:history="1">
        <w:r>
          <w:rPr>
            <w:rStyle w:val="1267"/>
            <w:lang w:eastAsia="ru-RU"/>
          </w:rPr>
          <w:t xml:space="preserve">10.5 </w:t>
        </w:r>
        <w:r>
          <w:rPr>
            <w:rStyle w:val="1267"/>
          </w:rPr>
          <w:t xml:space="preserve">Преобладающий в поселении, городском округе вид топлива, определяемый по совокупности всех систем теплоснабжения, находящихся в соответствующем </w:t>
        </w:r>
        <w:r>
          <w:rPr>
            <w:rStyle w:val="1267"/>
            <w:spacing w:val="-2"/>
          </w:rPr>
          <w:t xml:space="preserve">поселении</w:t>
        </w:r>
        <w:r>
          <w:tab/>
        </w:r>
        <w:r>
          <w:fldChar w:fldCharType="begin"/>
        </w:r>
        <w:r>
          <w:instrText xml:space="preserve"> PAGEREF _Toc165540822 \h </w:instrText>
        </w:r>
        <w:r>
          <w:fldChar w:fldCharType="separate"/>
        </w:r>
        <w:r>
          <w:t xml:space="preserve">94</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23" w:anchor="_Toc165540823" w:history="1">
        <w:r>
          <w:rPr>
            <w:rStyle w:val="1267"/>
            <w:lang w:eastAsia="ru-RU"/>
          </w:rPr>
          <w:t xml:space="preserve">10.6 </w:t>
        </w:r>
        <w:r>
          <w:rPr>
            <w:rStyle w:val="1267"/>
          </w:rPr>
          <w:t xml:space="preserve">Приоритетное</w:t>
        </w:r>
        <w:r>
          <w:rPr>
            <w:rStyle w:val="1267"/>
            <w:spacing w:val="-7"/>
          </w:rPr>
          <w:t xml:space="preserve"> </w:t>
        </w:r>
        <w:r>
          <w:rPr>
            <w:rStyle w:val="1267"/>
          </w:rPr>
          <w:t xml:space="preserve">направление</w:t>
        </w:r>
        <w:r>
          <w:rPr>
            <w:rStyle w:val="1267"/>
            <w:spacing w:val="-4"/>
          </w:rPr>
          <w:t xml:space="preserve"> </w:t>
        </w:r>
        <w:r>
          <w:rPr>
            <w:rStyle w:val="1267"/>
          </w:rPr>
          <w:t xml:space="preserve">развития</w:t>
        </w:r>
        <w:r>
          <w:rPr>
            <w:rStyle w:val="1267"/>
            <w:spacing w:val="-3"/>
          </w:rPr>
          <w:t xml:space="preserve"> </w:t>
        </w:r>
        <w:r>
          <w:rPr>
            <w:rStyle w:val="1267"/>
          </w:rPr>
          <w:t xml:space="preserve">топливного</w:t>
        </w:r>
        <w:r>
          <w:rPr>
            <w:rStyle w:val="1267"/>
            <w:spacing w:val="-3"/>
          </w:rPr>
          <w:t xml:space="preserve"> </w:t>
        </w:r>
        <w:r>
          <w:rPr>
            <w:rStyle w:val="1267"/>
          </w:rPr>
          <w:t xml:space="preserve">баланса</w:t>
        </w:r>
        <w:r>
          <w:rPr>
            <w:rStyle w:val="1267"/>
            <w:spacing w:val="-3"/>
          </w:rPr>
          <w:t xml:space="preserve"> </w:t>
        </w:r>
        <w:r>
          <w:rPr>
            <w:rStyle w:val="1267"/>
            <w:spacing w:val="-2"/>
          </w:rPr>
          <w:t xml:space="preserve">поселения</w:t>
        </w:r>
        <w:r>
          <w:tab/>
        </w:r>
        <w:r>
          <w:fldChar w:fldCharType="begin"/>
        </w:r>
        <w:r>
          <w:instrText xml:space="preserve"> PAGEREF _Toc165540823 \h </w:instrText>
        </w:r>
        <w:r>
          <w:fldChar w:fldCharType="separate"/>
        </w:r>
        <w:r>
          <w:t xml:space="preserve">95</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24" w:anchor="_Toc165540824" w:history="1">
        <w:r>
          <w:rPr>
            <w:rStyle w:val="1267"/>
            <w:lang w:eastAsia="ru-RU"/>
          </w:rPr>
          <w:t xml:space="preserve">10.7 </w:t>
        </w:r>
        <w:r>
          <w:rPr>
            <w:rStyle w:val="1267"/>
          </w:rPr>
          <w:t xml:space="preserve">Описание изменений в перспективных топливных балансах за период, предшествующий</w:t>
        </w:r>
        <w:r>
          <w:rPr>
            <w:rStyle w:val="1267"/>
            <w:spacing w:val="-15"/>
          </w:rPr>
          <w:t xml:space="preserve"> </w:t>
        </w:r>
        <w:r>
          <w:rPr>
            <w:rStyle w:val="1267"/>
          </w:rPr>
          <w:t xml:space="preserve">актуализации</w:t>
        </w:r>
        <w:r>
          <w:rPr>
            <w:rStyle w:val="1267"/>
            <w:spacing w:val="-14"/>
          </w:rPr>
          <w:t xml:space="preserve"> </w:t>
        </w:r>
        <w:r>
          <w:rPr>
            <w:rStyle w:val="1267"/>
          </w:rPr>
          <w:t xml:space="preserve">схемы</w:t>
        </w:r>
        <w:r>
          <w:rPr>
            <w:rStyle w:val="1267"/>
            <w:spacing w:val="-15"/>
          </w:rPr>
          <w:t xml:space="preserve"> </w:t>
        </w:r>
        <w:r>
          <w:rPr>
            <w:rStyle w:val="1267"/>
          </w:rPr>
          <w:t xml:space="preserve">теплоснабжения,</w:t>
        </w:r>
        <w:r>
          <w:rPr>
            <w:rStyle w:val="1267"/>
            <w:spacing w:val="-15"/>
          </w:rPr>
          <w:t xml:space="preserve"> </w:t>
        </w:r>
        <w:r>
          <w:rPr>
            <w:rStyle w:val="1267"/>
          </w:rPr>
          <w:t xml:space="preserve">в</w:t>
        </w:r>
        <w:r>
          <w:rPr>
            <w:rStyle w:val="1267"/>
            <w:spacing w:val="-15"/>
          </w:rPr>
          <w:t xml:space="preserve"> </w:t>
        </w:r>
        <w:r>
          <w:rPr>
            <w:rStyle w:val="1267"/>
          </w:rPr>
          <w:t xml:space="preserve">том</w:t>
        </w:r>
        <w:r>
          <w:rPr>
            <w:rStyle w:val="1267"/>
            <w:spacing w:val="-15"/>
          </w:rPr>
          <w:t xml:space="preserve"> </w:t>
        </w:r>
        <w:r>
          <w:rPr>
            <w:rStyle w:val="1267"/>
          </w:rPr>
          <w:t xml:space="preserve">числе</w:t>
        </w:r>
        <w:r>
          <w:rPr>
            <w:rStyle w:val="1267"/>
            <w:spacing w:val="-15"/>
          </w:rPr>
          <w:t xml:space="preserve"> </w:t>
        </w:r>
        <w:r>
          <w:rPr>
            <w:rStyle w:val="1267"/>
          </w:rPr>
          <w:t xml:space="preserve">с</w:t>
        </w:r>
        <w:r>
          <w:rPr>
            <w:rStyle w:val="1267"/>
            <w:spacing w:val="-14"/>
          </w:rPr>
          <w:t xml:space="preserve"> </w:t>
        </w:r>
        <w:r>
          <w:rPr>
            <w:rStyle w:val="1267"/>
          </w:rPr>
          <w:t xml:space="preserve">учётом</w:t>
        </w:r>
        <w:r>
          <w:rPr>
            <w:rStyle w:val="1267"/>
            <w:spacing w:val="-15"/>
          </w:rPr>
          <w:t xml:space="preserve"> </w:t>
        </w:r>
        <w:r>
          <w:rPr>
            <w:rStyle w:val="1267"/>
          </w:rPr>
          <w:t xml:space="preserve">введённых в эксплуатацию построенных и реконструированных источников тепловой энергии</w:t>
        </w:r>
        <w:r>
          <w:tab/>
        </w:r>
        <w:r>
          <w:fldChar w:fldCharType="begin"/>
        </w:r>
        <w:r>
          <w:instrText xml:space="preserve"> PAGEREF _Toc165540824 \h </w:instrText>
        </w:r>
        <w:r>
          <w:fldChar w:fldCharType="separate"/>
        </w:r>
        <w:r>
          <w:t xml:space="preserve">95</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25" w:anchor="_Toc165540825" w:history="1">
        <w:r>
          <w:rPr>
            <w:rStyle w:val="1267"/>
          </w:rPr>
          <w:t xml:space="preserve">Глава</w:t>
        </w:r>
        <w:r>
          <w:rPr>
            <w:rStyle w:val="1267"/>
            <w:spacing w:val="-4"/>
          </w:rPr>
          <w:t xml:space="preserve"> </w:t>
        </w:r>
        <w:r>
          <w:rPr>
            <w:rStyle w:val="1267"/>
          </w:rPr>
          <w:t xml:space="preserve">11</w:t>
        </w:r>
        <w:r>
          <w:rPr>
            <w:rStyle w:val="1267"/>
            <w:spacing w:val="4"/>
          </w:rPr>
          <w:t xml:space="preserve"> </w:t>
        </w:r>
        <w:r>
          <w:rPr>
            <w:rStyle w:val="1267"/>
          </w:rPr>
          <w:t xml:space="preserve">Оценка</w:t>
        </w:r>
        <w:r>
          <w:rPr>
            <w:rStyle w:val="1267"/>
            <w:spacing w:val="-3"/>
          </w:rPr>
          <w:t xml:space="preserve"> </w:t>
        </w:r>
        <w:r>
          <w:rPr>
            <w:rStyle w:val="1267"/>
          </w:rPr>
          <w:t xml:space="preserve">надёжности</w:t>
        </w:r>
        <w:r>
          <w:rPr>
            <w:rStyle w:val="1267"/>
            <w:spacing w:val="-2"/>
          </w:rPr>
          <w:t xml:space="preserve"> теплоснабжения</w:t>
        </w:r>
        <w:r>
          <w:tab/>
        </w:r>
        <w:r>
          <w:fldChar w:fldCharType="begin"/>
        </w:r>
        <w:r>
          <w:instrText xml:space="preserve"> PAGEREF _Toc165540825 \h </w:instrText>
        </w:r>
        <w:r>
          <w:fldChar w:fldCharType="separate"/>
        </w:r>
        <w:r>
          <w:t xml:space="preserve">96</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26" w:anchor="_Toc165540826" w:history="1">
        <w:r>
          <w:rPr>
            <w:rStyle w:val="1267"/>
            <w:lang w:eastAsia="ru-RU"/>
          </w:rPr>
          <w:t xml:space="preserve">11.1 </w:t>
        </w:r>
        <w:r>
          <w:rPr>
            <w:rStyle w:val="1267"/>
          </w:rPr>
          <w:t xml:space="preserve">Обоснование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tab/>
        </w:r>
        <w:r>
          <w:fldChar w:fldCharType="begin"/>
        </w:r>
        <w:r>
          <w:instrText xml:space="preserve"> PAGEREF _Toc165540826 \h </w:instrText>
        </w:r>
        <w:r>
          <w:fldChar w:fldCharType="separate"/>
        </w:r>
        <w:r>
          <w:t xml:space="preserve">96</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27" w:anchor="_Toc165540827" w:history="1">
        <w:r>
          <w:rPr>
            <w:rStyle w:val="1267"/>
            <w:lang w:eastAsia="ru-RU"/>
          </w:rPr>
          <w:t xml:space="preserve">11.2 </w:t>
        </w:r>
        <w:r>
          <w:rPr>
            <w:rStyle w:val="1267"/>
          </w:rPr>
          <w:t xml:space="preserve">Обоснование метода и результатов обработки данных по восстановлениям отказавших</w:t>
        </w:r>
        <w:r>
          <w:rPr>
            <w:rStyle w:val="1267"/>
            <w:spacing w:val="-4"/>
          </w:rPr>
          <w:t xml:space="preserve"> </w:t>
        </w:r>
        <w:r>
          <w:rPr>
            <w:rStyle w:val="1267"/>
          </w:rPr>
          <w:t xml:space="preserve">участков</w:t>
        </w:r>
        <w:r>
          <w:rPr>
            <w:rStyle w:val="1267"/>
            <w:spacing w:val="-4"/>
          </w:rPr>
          <w:t xml:space="preserve"> </w:t>
        </w:r>
        <w:r>
          <w:rPr>
            <w:rStyle w:val="1267"/>
          </w:rPr>
          <w:t xml:space="preserve">тепловых</w:t>
        </w:r>
        <w:r>
          <w:rPr>
            <w:rStyle w:val="1267"/>
            <w:spacing w:val="-5"/>
          </w:rPr>
          <w:t xml:space="preserve"> </w:t>
        </w:r>
        <w:r>
          <w:rPr>
            <w:rStyle w:val="1267"/>
          </w:rPr>
          <w:t xml:space="preserve">сетей</w:t>
        </w:r>
        <w:r>
          <w:rPr>
            <w:rStyle w:val="1267"/>
            <w:spacing w:val="-4"/>
          </w:rPr>
          <w:t xml:space="preserve"> </w:t>
        </w:r>
        <w:r>
          <w:rPr>
            <w:rStyle w:val="1267"/>
          </w:rPr>
          <w:t xml:space="preserve">(участков</w:t>
        </w:r>
        <w:r>
          <w:rPr>
            <w:rStyle w:val="1267"/>
            <w:spacing w:val="-4"/>
          </w:rPr>
          <w:t xml:space="preserve"> </w:t>
        </w:r>
        <w:r>
          <w:rPr>
            <w:rStyle w:val="1267"/>
          </w:rPr>
          <w:t xml:space="preserve">тепловых</w:t>
        </w:r>
        <w:r>
          <w:rPr>
            <w:rStyle w:val="1267"/>
            <w:spacing w:val="-5"/>
          </w:rPr>
          <w:t xml:space="preserve"> </w:t>
        </w:r>
        <w:r>
          <w:rPr>
            <w:rStyle w:val="1267"/>
          </w:rPr>
          <w:t xml:space="preserve">сетей,</w:t>
        </w:r>
        <w:r>
          <w:rPr>
            <w:rStyle w:val="1267"/>
            <w:spacing w:val="-4"/>
          </w:rPr>
          <w:t xml:space="preserve"> </w:t>
        </w:r>
        <w:r>
          <w:rPr>
            <w:rStyle w:val="1267"/>
          </w:rPr>
          <w:t xml:space="preserve">на</w:t>
        </w:r>
        <w:r>
          <w:rPr>
            <w:rStyle w:val="1267"/>
            <w:spacing w:val="-4"/>
          </w:rPr>
          <w:t xml:space="preserve"> </w:t>
        </w:r>
        <w:r>
          <w:rPr>
            <w:rStyle w:val="1267"/>
          </w:rPr>
          <w:t xml:space="preserve">которых произошли аварийные</w:t>
        </w:r>
        <w:r>
          <w:rPr>
            <w:rStyle w:val="1267"/>
            <w:spacing w:val="-15"/>
          </w:rPr>
          <w:t xml:space="preserve"> </w:t>
        </w:r>
        <w:r>
          <w:rPr>
            <w:rStyle w:val="1267"/>
          </w:rPr>
          <w:t xml:space="preserve">ситуации),</w:t>
        </w:r>
        <w:r>
          <w:rPr>
            <w:rStyle w:val="1267"/>
            <w:spacing w:val="-15"/>
          </w:rPr>
          <w:t xml:space="preserve"> </w:t>
        </w:r>
        <w:r>
          <w:rPr>
            <w:rStyle w:val="1267"/>
          </w:rPr>
          <w:t xml:space="preserve">среднего</w:t>
        </w:r>
        <w:r>
          <w:rPr>
            <w:rStyle w:val="1267"/>
            <w:spacing w:val="-15"/>
          </w:rPr>
          <w:t xml:space="preserve"> </w:t>
        </w:r>
        <w:r>
          <w:rPr>
            <w:rStyle w:val="1267"/>
          </w:rPr>
          <w:t xml:space="preserve">времени</w:t>
        </w:r>
        <w:r>
          <w:rPr>
            <w:rStyle w:val="1267"/>
            <w:spacing w:val="-15"/>
          </w:rPr>
          <w:t xml:space="preserve"> </w:t>
        </w:r>
        <w:r>
          <w:rPr>
            <w:rStyle w:val="1267"/>
          </w:rPr>
          <w:t xml:space="preserve">восстановления</w:t>
        </w:r>
        <w:r>
          <w:rPr>
            <w:rStyle w:val="1267"/>
            <w:spacing w:val="-15"/>
          </w:rPr>
          <w:t xml:space="preserve"> </w:t>
        </w:r>
        <w:r>
          <w:rPr>
            <w:rStyle w:val="1267"/>
          </w:rPr>
          <w:t xml:space="preserve">отказавших</w:t>
        </w:r>
        <w:r>
          <w:rPr>
            <w:rStyle w:val="1267"/>
            <w:spacing w:val="-15"/>
          </w:rPr>
          <w:t xml:space="preserve"> </w:t>
        </w:r>
        <w:r>
          <w:rPr>
            <w:rStyle w:val="1267"/>
          </w:rPr>
          <w:t xml:space="preserve">участков</w:t>
        </w:r>
        <w:r>
          <w:rPr>
            <w:rStyle w:val="1267"/>
            <w:spacing w:val="-15"/>
          </w:rPr>
          <w:t xml:space="preserve"> </w:t>
        </w:r>
        <w:r>
          <w:rPr>
            <w:rStyle w:val="1267"/>
          </w:rPr>
          <w:t xml:space="preserve">тепловых сетей в каждой системе теплоснабжения</w:t>
        </w:r>
        <w:r>
          <w:tab/>
        </w:r>
        <w:r>
          <w:fldChar w:fldCharType="begin"/>
        </w:r>
        <w:r>
          <w:instrText xml:space="preserve"> PAGEREF _Toc165540827 \h </w:instrText>
        </w:r>
        <w:r>
          <w:fldChar w:fldCharType="separate"/>
        </w:r>
        <w:r>
          <w:t xml:space="preserve">96</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28" w:anchor="_Toc165540828" w:history="1">
        <w:r>
          <w:rPr>
            <w:rStyle w:val="1267"/>
            <w:lang w:eastAsia="ru-RU"/>
          </w:rPr>
          <w:t xml:space="preserve">11.3 </w:t>
        </w:r>
        <w:r>
          <w:rPr>
            <w:rStyle w:val="1267"/>
          </w:rPr>
          <w:t xml:space="preserve">Обоснование</w:t>
        </w:r>
        <w:r>
          <w:rPr>
            <w:rStyle w:val="1267"/>
            <w:spacing w:val="-15"/>
          </w:rPr>
          <w:t xml:space="preserve"> </w:t>
        </w:r>
        <w:r>
          <w:rPr>
            <w:rStyle w:val="1267"/>
          </w:rPr>
          <w:t xml:space="preserve">результатов</w:t>
        </w:r>
        <w:r>
          <w:rPr>
            <w:rStyle w:val="1267"/>
            <w:spacing w:val="-14"/>
          </w:rPr>
          <w:t xml:space="preserve"> </w:t>
        </w:r>
        <w:r>
          <w:rPr>
            <w:rStyle w:val="1267"/>
          </w:rPr>
          <w:t xml:space="preserve">оценки</w:t>
        </w:r>
        <w:r>
          <w:rPr>
            <w:rStyle w:val="1267"/>
            <w:spacing w:val="-13"/>
          </w:rPr>
          <w:t xml:space="preserve"> </w:t>
        </w:r>
        <w:r>
          <w:rPr>
            <w:rStyle w:val="1267"/>
          </w:rPr>
          <w:t xml:space="preserve">вероятности</w:t>
        </w:r>
        <w:r>
          <w:rPr>
            <w:rStyle w:val="1267"/>
            <w:spacing w:val="-13"/>
          </w:rPr>
          <w:t xml:space="preserve"> </w:t>
        </w:r>
        <w:r>
          <w:rPr>
            <w:rStyle w:val="1267"/>
          </w:rPr>
          <w:t xml:space="preserve">отказа</w:t>
        </w:r>
        <w:r>
          <w:rPr>
            <w:rStyle w:val="1267"/>
            <w:spacing w:val="-15"/>
          </w:rPr>
          <w:t xml:space="preserve"> </w:t>
        </w:r>
        <w:r>
          <w:rPr>
            <w:rStyle w:val="1267"/>
          </w:rPr>
          <w:t xml:space="preserve">(аварийной</w:t>
        </w:r>
        <w:r>
          <w:rPr>
            <w:rStyle w:val="1267"/>
            <w:spacing w:val="-15"/>
          </w:rPr>
          <w:t xml:space="preserve"> </w:t>
        </w:r>
        <w:r>
          <w:rPr>
            <w:rStyle w:val="1267"/>
          </w:rPr>
          <w:t xml:space="preserve">ситуации)</w:t>
        </w:r>
        <w:r>
          <w:rPr>
            <w:rStyle w:val="1267"/>
            <w:spacing w:val="-15"/>
          </w:rPr>
          <w:t xml:space="preserve"> </w:t>
        </w:r>
        <w:r>
          <w:rPr>
            <w:rStyle w:val="1267"/>
          </w:rPr>
          <w:t xml:space="preserve">и безотказной (безаварийной) работы системы теплоснабжения по отношению к потребителям, присоединённым к магистральным и распределительным </w:t>
        </w:r>
        <w:r>
          <w:rPr>
            <w:rStyle w:val="1267"/>
            <w:spacing w:val="-2"/>
          </w:rPr>
          <w:t xml:space="preserve">теплопроводам</w:t>
        </w:r>
        <w:r>
          <w:tab/>
        </w:r>
        <w:r>
          <w:fldChar w:fldCharType="begin"/>
        </w:r>
        <w:r>
          <w:instrText xml:space="preserve"> PAGEREF _Toc165540828 \h </w:instrText>
        </w:r>
        <w:r>
          <w:fldChar w:fldCharType="separate"/>
        </w:r>
        <w:r>
          <w:t xml:space="preserve">96</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29" w:anchor="_Toc165540829" w:history="1">
        <w:r>
          <w:rPr>
            <w:rStyle w:val="1267"/>
            <w:lang w:eastAsia="ru-RU"/>
          </w:rPr>
          <w:t xml:space="preserve">11.4 </w:t>
        </w:r>
        <w:r>
          <w:rPr>
            <w:rStyle w:val="1267"/>
          </w:rPr>
          <w:t xml:space="preserve">Обоснование результатов оценки коэффициентов готовности теплопроводов к несению тепловой нагрузки</w:t>
        </w:r>
        <w:r>
          <w:tab/>
        </w:r>
        <w:r>
          <w:fldChar w:fldCharType="begin"/>
        </w:r>
        <w:r>
          <w:instrText xml:space="preserve"> PAGEREF _Toc165540829 \h </w:instrText>
        </w:r>
        <w:r>
          <w:fldChar w:fldCharType="separate"/>
        </w:r>
        <w:r>
          <w:t xml:space="preserve">98</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30" w:anchor="_Toc165540830" w:history="1">
        <w:r>
          <w:rPr>
            <w:rStyle w:val="1267"/>
            <w:lang w:eastAsia="ru-RU"/>
          </w:rPr>
          <w:t xml:space="preserve">10.5 </w:t>
        </w:r>
        <w:r>
          <w:rPr>
            <w:rStyle w:val="1267"/>
          </w:rPr>
          <w:t xml:space="preserve">Обоснование результатов оценки недоотпуска тепловой энергии по причине отказов (аварийных ситуаций) и простоев тепловых сетей и источников тепловой </w:t>
        </w:r>
        <w:r>
          <w:rPr>
            <w:rStyle w:val="1267"/>
            <w:spacing w:val="-2"/>
          </w:rPr>
          <w:t xml:space="preserve">энергии</w:t>
        </w:r>
        <w:r>
          <w:tab/>
        </w:r>
        <w:r>
          <w:fldChar w:fldCharType="begin"/>
        </w:r>
        <w:r>
          <w:instrText xml:space="preserve"> PAGEREF _Toc165540830 \h </w:instrText>
        </w:r>
        <w:r>
          <w:fldChar w:fldCharType="separate"/>
        </w:r>
        <w:r>
          <w:t xml:space="preserve">99</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31" w:anchor="_Toc165540831" w:history="1">
        <w:r>
          <w:rPr>
            <w:rStyle w:val="1267"/>
            <w:lang w:eastAsia="ru-RU"/>
          </w:rPr>
          <w:t xml:space="preserve">11.6 </w:t>
        </w:r>
        <w:r>
          <w:rPr>
            <w:rStyle w:val="1267"/>
          </w:rPr>
          <w:t xml:space="preserve">Предложения,</w:t>
        </w:r>
        <w:r>
          <w:rPr>
            <w:rStyle w:val="1267"/>
            <w:spacing w:val="-6"/>
          </w:rPr>
          <w:t xml:space="preserve"> </w:t>
        </w:r>
        <w:r>
          <w:rPr>
            <w:rStyle w:val="1267"/>
          </w:rPr>
          <w:t xml:space="preserve">обеспечивающие</w:t>
        </w:r>
        <w:r>
          <w:rPr>
            <w:rStyle w:val="1267"/>
            <w:spacing w:val="-1"/>
          </w:rPr>
          <w:t xml:space="preserve"> </w:t>
        </w:r>
        <w:r>
          <w:rPr>
            <w:rStyle w:val="1267"/>
          </w:rPr>
          <w:t xml:space="preserve">надёжность</w:t>
        </w:r>
        <w:r>
          <w:rPr>
            <w:rStyle w:val="1267"/>
            <w:spacing w:val="-3"/>
          </w:rPr>
          <w:t xml:space="preserve"> </w:t>
        </w:r>
        <w:r>
          <w:rPr>
            <w:rStyle w:val="1267"/>
          </w:rPr>
          <w:t xml:space="preserve">систем</w:t>
        </w:r>
        <w:r>
          <w:rPr>
            <w:rStyle w:val="1267"/>
            <w:spacing w:val="-4"/>
          </w:rPr>
          <w:t xml:space="preserve"> </w:t>
        </w:r>
        <w:r>
          <w:rPr>
            <w:rStyle w:val="1267"/>
            <w:spacing w:val="-2"/>
          </w:rPr>
          <w:t xml:space="preserve">теплоснабжения</w:t>
        </w:r>
        <w:r>
          <w:tab/>
        </w:r>
        <w:r>
          <w:fldChar w:fldCharType="begin"/>
        </w:r>
        <w:r>
          <w:instrText xml:space="preserve"> PAGEREF _Toc165540831 \h </w:instrText>
        </w:r>
        <w:r>
          <w:fldChar w:fldCharType="separate"/>
        </w:r>
        <w:r>
          <w:t xml:space="preserve">100</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32" w:anchor="_Toc165540832" w:history="1">
        <w:r>
          <w:rPr>
            <w:rStyle w:val="1267"/>
            <w:lang w:eastAsia="ru-RU"/>
          </w:rPr>
          <w:t xml:space="preserve">11.6.1 </w:t>
        </w:r>
        <w:r>
          <w:rPr>
            <w:rStyle w:val="1267"/>
          </w:rPr>
          <w:t xml:space="preserve">Применение</w:t>
        </w:r>
        <w:r>
          <w:rPr>
            <w:rStyle w:val="1267"/>
            <w:spacing w:val="-15"/>
          </w:rPr>
          <w:t xml:space="preserve"> </w:t>
        </w:r>
        <w:r>
          <w:rPr>
            <w:rStyle w:val="1267"/>
          </w:rPr>
          <w:t xml:space="preserve">на</w:t>
        </w:r>
        <w:r>
          <w:rPr>
            <w:rStyle w:val="1267"/>
            <w:spacing w:val="-15"/>
          </w:rPr>
          <w:t xml:space="preserve"> </w:t>
        </w:r>
        <w:r>
          <w:rPr>
            <w:rStyle w:val="1267"/>
          </w:rPr>
          <w:t xml:space="preserve">источниках</w:t>
        </w:r>
        <w:r>
          <w:rPr>
            <w:rStyle w:val="1267"/>
            <w:spacing w:val="-15"/>
          </w:rPr>
          <w:t xml:space="preserve"> </w:t>
        </w:r>
        <w:r>
          <w:rPr>
            <w:rStyle w:val="1267"/>
          </w:rPr>
          <w:t xml:space="preserve">тепловой</w:t>
        </w:r>
        <w:r>
          <w:rPr>
            <w:rStyle w:val="1267"/>
            <w:spacing w:val="-15"/>
          </w:rPr>
          <w:t xml:space="preserve"> </w:t>
        </w:r>
        <w:r>
          <w:rPr>
            <w:rStyle w:val="1267"/>
          </w:rPr>
          <w:t xml:space="preserve">энергии</w:t>
        </w:r>
        <w:r>
          <w:rPr>
            <w:rStyle w:val="1267"/>
            <w:spacing w:val="-15"/>
          </w:rPr>
          <w:t xml:space="preserve"> </w:t>
        </w:r>
        <w:r>
          <w:rPr>
            <w:rStyle w:val="1267"/>
          </w:rPr>
          <w:t xml:space="preserve">рациональных</w:t>
        </w:r>
        <w:r>
          <w:rPr>
            <w:rStyle w:val="1267"/>
            <w:spacing w:val="-15"/>
          </w:rPr>
          <w:t xml:space="preserve"> </w:t>
        </w:r>
        <w:r>
          <w:rPr>
            <w:rStyle w:val="1267"/>
          </w:rPr>
          <w:t xml:space="preserve">тепловых</w:t>
        </w:r>
        <w:r>
          <w:rPr>
            <w:rStyle w:val="1267"/>
            <w:spacing w:val="-15"/>
          </w:rPr>
          <w:t xml:space="preserve"> </w:t>
        </w:r>
        <w:r>
          <w:rPr>
            <w:rStyle w:val="1267"/>
          </w:rPr>
          <w:t xml:space="preserve">схем с дублированными связями и новых технологий, обеспечивающих нормативную готовность энергетического оборудования</w:t>
        </w:r>
        <w:r>
          <w:tab/>
        </w:r>
        <w:r>
          <w:fldChar w:fldCharType="begin"/>
        </w:r>
        <w:r>
          <w:instrText xml:space="preserve"> PAGEREF _Toc165540832 \h </w:instrText>
        </w:r>
        <w:r>
          <w:fldChar w:fldCharType="separate"/>
        </w:r>
        <w:r>
          <w:t xml:space="preserve">100</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33" w:anchor="_Toc165540833" w:history="1">
        <w:r>
          <w:rPr>
            <w:rStyle w:val="1267"/>
            <w:lang w:eastAsia="ru-RU"/>
          </w:rPr>
          <w:t xml:space="preserve">11.6.2 </w:t>
        </w:r>
        <w:r>
          <w:rPr>
            <w:rStyle w:val="1267"/>
          </w:rPr>
          <w:t xml:space="preserve">Установка</w:t>
        </w:r>
        <w:r>
          <w:rPr>
            <w:rStyle w:val="1267"/>
            <w:spacing w:val="-3"/>
          </w:rPr>
          <w:t xml:space="preserve"> </w:t>
        </w:r>
        <w:r>
          <w:rPr>
            <w:rStyle w:val="1267"/>
          </w:rPr>
          <w:t xml:space="preserve">резервного</w:t>
        </w:r>
        <w:r>
          <w:rPr>
            <w:rStyle w:val="1267"/>
            <w:spacing w:val="-4"/>
          </w:rPr>
          <w:t xml:space="preserve"> </w:t>
        </w:r>
        <w:r>
          <w:rPr>
            <w:rStyle w:val="1267"/>
            <w:spacing w:val="-2"/>
          </w:rPr>
          <w:t xml:space="preserve">оборудования</w:t>
        </w:r>
        <w:r>
          <w:tab/>
        </w:r>
        <w:r>
          <w:fldChar w:fldCharType="begin"/>
        </w:r>
        <w:r>
          <w:instrText xml:space="preserve"> PAGEREF _Toc165540833 \h </w:instrText>
        </w:r>
        <w:r>
          <w:fldChar w:fldCharType="separate"/>
        </w:r>
        <w:r>
          <w:t xml:space="preserve">100</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34" w:anchor="_Toc165540834" w:history="1">
        <w:r>
          <w:rPr>
            <w:rStyle w:val="1267"/>
            <w:lang w:eastAsia="ru-RU"/>
          </w:rPr>
          <w:t xml:space="preserve">11.6.3 </w:t>
        </w:r>
        <w:r>
          <w:rPr>
            <w:rStyle w:val="1267"/>
          </w:rPr>
          <w:t xml:space="preserve">Организация</w:t>
        </w:r>
        <w:r>
          <w:rPr>
            <w:rStyle w:val="1267"/>
            <w:spacing w:val="-9"/>
          </w:rPr>
          <w:t xml:space="preserve"> </w:t>
        </w:r>
        <w:r>
          <w:rPr>
            <w:rStyle w:val="1267"/>
          </w:rPr>
          <w:t xml:space="preserve">совместной</w:t>
        </w:r>
        <w:r>
          <w:rPr>
            <w:rStyle w:val="1267"/>
            <w:spacing w:val="-8"/>
          </w:rPr>
          <w:t xml:space="preserve"> </w:t>
        </w:r>
        <w:r>
          <w:rPr>
            <w:rStyle w:val="1267"/>
          </w:rPr>
          <w:t xml:space="preserve">работы</w:t>
        </w:r>
        <w:r>
          <w:rPr>
            <w:rStyle w:val="1267"/>
            <w:spacing w:val="-9"/>
          </w:rPr>
          <w:t xml:space="preserve"> </w:t>
        </w:r>
        <w:r>
          <w:rPr>
            <w:rStyle w:val="1267"/>
          </w:rPr>
          <w:t xml:space="preserve">нескольких</w:t>
        </w:r>
        <w:r>
          <w:rPr>
            <w:rStyle w:val="1267"/>
            <w:spacing w:val="-9"/>
          </w:rPr>
          <w:t xml:space="preserve"> </w:t>
        </w:r>
        <w:r>
          <w:rPr>
            <w:rStyle w:val="1267"/>
          </w:rPr>
          <w:t xml:space="preserve">источников</w:t>
        </w:r>
        <w:r>
          <w:rPr>
            <w:rStyle w:val="1267"/>
            <w:spacing w:val="-11"/>
          </w:rPr>
          <w:t xml:space="preserve"> </w:t>
        </w:r>
        <w:r>
          <w:rPr>
            <w:rStyle w:val="1267"/>
          </w:rPr>
          <w:t xml:space="preserve">тепловой</w:t>
        </w:r>
        <w:r>
          <w:rPr>
            <w:rStyle w:val="1267"/>
            <w:spacing w:val="-8"/>
          </w:rPr>
          <w:t xml:space="preserve"> </w:t>
        </w:r>
        <w:r>
          <w:rPr>
            <w:rStyle w:val="1267"/>
          </w:rPr>
          <w:t xml:space="preserve">энергии на единую тепловую сеть</w:t>
        </w:r>
        <w:r>
          <w:tab/>
        </w:r>
        <w:r>
          <w:fldChar w:fldCharType="begin"/>
        </w:r>
        <w:r>
          <w:instrText xml:space="preserve"> PAGEREF _Toc165540834 \h </w:instrText>
        </w:r>
        <w:r>
          <w:fldChar w:fldCharType="separate"/>
        </w:r>
        <w:r>
          <w:t xml:space="preserve">100</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35" w:anchor="_Toc165540835" w:history="1">
        <w:r>
          <w:rPr>
            <w:rStyle w:val="1267"/>
            <w:lang w:eastAsia="ru-RU"/>
          </w:rPr>
          <w:t xml:space="preserve">11.6.4 </w:t>
        </w:r>
        <w:r>
          <w:rPr>
            <w:rStyle w:val="1267"/>
          </w:rPr>
          <w:t xml:space="preserve">Резервирование</w:t>
        </w:r>
        <w:r>
          <w:rPr>
            <w:rStyle w:val="1267"/>
            <w:spacing w:val="-7"/>
          </w:rPr>
          <w:t xml:space="preserve"> </w:t>
        </w:r>
        <w:r>
          <w:rPr>
            <w:rStyle w:val="1267"/>
          </w:rPr>
          <w:t xml:space="preserve">тепловых</w:t>
        </w:r>
        <w:r>
          <w:rPr>
            <w:rStyle w:val="1267"/>
            <w:spacing w:val="-4"/>
          </w:rPr>
          <w:t xml:space="preserve"> </w:t>
        </w:r>
        <w:r>
          <w:rPr>
            <w:rStyle w:val="1267"/>
          </w:rPr>
          <w:t xml:space="preserve">сетей</w:t>
        </w:r>
        <w:r>
          <w:rPr>
            <w:rStyle w:val="1267"/>
            <w:spacing w:val="-3"/>
          </w:rPr>
          <w:t xml:space="preserve"> </w:t>
        </w:r>
        <w:r>
          <w:rPr>
            <w:rStyle w:val="1267"/>
          </w:rPr>
          <w:t xml:space="preserve">смежных</w:t>
        </w:r>
        <w:r>
          <w:rPr>
            <w:rStyle w:val="1267"/>
            <w:spacing w:val="-3"/>
          </w:rPr>
          <w:t xml:space="preserve"> </w:t>
        </w:r>
        <w:r>
          <w:rPr>
            <w:rStyle w:val="1267"/>
          </w:rPr>
          <w:t xml:space="preserve">районов</w:t>
        </w:r>
        <w:r>
          <w:rPr>
            <w:rStyle w:val="1267"/>
            <w:spacing w:val="-3"/>
          </w:rPr>
          <w:t xml:space="preserve"> </w:t>
        </w:r>
        <w:r>
          <w:rPr>
            <w:rStyle w:val="1267"/>
            <w:spacing w:val="-2"/>
          </w:rPr>
          <w:t xml:space="preserve">поселения</w:t>
        </w:r>
        <w:r>
          <w:tab/>
        </w:r>
        <w:r>
          <w:fldChar w:fldCharType="begin"/>
        </w:r>
        <w:r>
          <w:instrText xml:space="preserve"> PAGEREF _Toc165540835 \h </w:instrText>
        </w:r>
        <w:r>
          <w:fldChar w:fldCharType="separate"/>
        </w:r>
        <w:r>
          <w:t xml:space="preserve">100</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36" w:anchor="_Toc165540836" w:history="1">
        <w:r>
          <w:rPr>
            <w:rStyle w:val="1267"/>
            <w:lang w:eastAsia="ru-RU"/>
          </w:rPr>
          <w:t xml:space="preserve">11.6.5 </w:t>
        </w:r>
        <w:r>
          <w:rPr>
            <w:rStyle w:val="1267"/>
          </w:rPr>
          <w:t xml:space="preserve">Устройство</w:t>
        </w:r>
        <w:r>
          <w:rPr>
            <w:rStyle w:val="1267"/>
            <w:spacing w:val="-8"/>
          </w:rPr>
          <w:t xml:space="preserve"> </w:t>
        </w:r>
        <w:r>
          <w:rPr>
            <w:rStyle w:val="1267"/>
          </w:rPr>
          <w:t xml:space="preserve">резервных</w:t>
        </w:r>
        <w:r>
          <w:rPr>
            <w:rStyle w:val="1267"/>
            <w:spacing w:val="-2"/>
          </w:rPr>
          <w:t xml:space="preserve"> </w:t>
        </w:r>
        <w:r>
          <w:rPr>
            <w:rStyle w:val="1267"/>
          </w:rPr>
          <w:t xml:space="preserve">насосных</w:t>
        </w:r>
        <w:r>
          <w:rPr>
            <w:rStyle w:val="1267"/>
            <w:spacing w:val="-2"/>
          </w:rPr>
          <w:t xml:space="preserve"> станций</w:t>
        </w:r>
        <w:r>
          <w:tab/>
        </w:r>
        <w:r>
          <w:fldChar w:fldCharType="begin"/>
        </w:r>
        <w:r>
          <w:instrText xml:space="preserve"> PAGEREF _Toc165540836 \h </w:instrText>
        </w:r>
        <w:r>
          <w:fldChar w:fldCharType="separate"/>
        </w:r>
        <w:r>
          <w:t xml:space="preserve">100</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37" w:anchor="_Toc165540837" w:history="1">
        <w:r>
          <w:rPr>
            <w:rStyle w:val="1267"/>
            <w:lang w:eastAsia="ru-RU"/>
          </w:rPr>
          <w:t xml:space="preserve">11.6.6 </w:t>
        </w:r>
        <w:r>
          <w:rPr>
            <w:rStyle w:val="1267"/>
          </w:rPr>
          <w:t xml:space="preserve">Установка</w:t>
        </w:r>
        <w:r>
          <w:rPr>
            <w:rStyle w:val="1267"/>
            <w:spacing w:val="-1"/>
          </w:rPr>
          <w:t xml:space="preserve"> </w:t>
        </w:r>
        <w:r>
          <w:rPr>
            <w:rStyle w:val="1267"/>
          </w:rPr>
          <w:t xml:space="preserve">баков-</w:t>
        </w:r>
        <w:r>
          <w:rPr>
            <w:rStyle w:val="1267"/>
            <w:spacing w:val="-2"/>
          </w:rPr>
          <w:t xml:space="preserve">аккумуляторов</w:t>
        </w:r>
        <w:r>
          <w:tab/>
        </w:r>
        <w:r>
          <w:fldChar w:fldCharType="begin"/>
        </w:r>
        <w:r>
          <w:instrText xml:space="preserve"> PAGEREF _Toc165540837 \h </w:instrText>
        </w:r>
        <w:r>
          <w:fldChar w:fldCharType="separate"/>
        </w:r>
        <w:r>
          <w:t xml:space="preserve">101</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38" w:anchor="_Toc165540838" w:history="1">
        <w:r>
          <w:rPr>
            <w:rStyle w:val="1267"/>
            <w:lang w:eastAsia="ru-RU"/>
          </w:rPr>
          <w:t xml:space="preserve">11.7 </w:t>
        </w:r>
        <w:r>
          <w:rPr>
            <w:rStyle w:val="1267"/>
          </w:rPr>
          <w:t xml:space="preserve">Описание изменений в показателях надёжности теплоснабжения за период, предшествующий актуализации схемы теплоснабжения, с учётом введённых в эксплуатацию новых и реконструированных тепловых сетей и сооружений на них</w:t>
        </w:r>
        <w:r>
          <w:tab/>
        </w:r>
        <w:r>
          <w:fldChar w:fldCharType="begin"/>
        </w:r>
        <w:r>
          <w:instrText xml:space="preserve"> PAGEREF _Toc165540838 \h </w:instrText>
        </w:r>
        <w:r>
          <w:fldChar w:fldCharType="separate"/>
        </w:r>
        <w:r>
          <w:t xml:space="preserve">101</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39" w:anchor="_Toc165540839" w:history="1">
        <w:r>
          <w:rPr>
            <w:rStyle w:val="1267"/>
          </w:rPr>
          <w:t xml:space="preserve">Глава</w:t>
        </w:r>
        <w:r>
          <w:rPr>
            <w:rStyle w:val="1267"/>
            <w:spacing w:val="-6"/>
          </w:rPr>
          <w:t xml:space="preserve"> </w:t>
        </w:r>
        <w:r>
          <w:rPr>
            <w:rStyle w:val="1267"/>
          </w:rPr>
          <w:t xml:space="preserve">12 Обоснование</w:t>
        </w:r>
        <w:r>
          <w:rPr>
            <w:rStyle w:val="1267"/>
            <w:spacing w:val="-2"/>
          </w:rPr>
          <w:t xml:space="preserve"> </w:t>
        </w:r>
        <w:r>
          <w:rPr>
            <w:rStyle w:val="1267"/>
          </w:rPr>
          <w:t xml:space="preserve">инвестиций</w:t>
        </w:r>
        <w:r>
          <w:rPr>
            <w:rStyle w:val="1267"/>
            <w:spacing w:val="-2"/>
          </w:rPr>
          <w:t xml:space="preserve"> </w:t>
        </w:r>
        <w:r>
          <w:rPr>
            <w:rStyle w:val="1267"/>
          </w:rPr>
          <w:t xml:space="preserve">в</w:t>
        </w:r>
        <w:r>
          <w:rPr>
            <w:rStyle w:val="1267"/>
            <w:spacing w:val="-1"/>
          </w:rPr>
          <w:t xml:space="preserve"> </w:t>
        </w:r>
        <w:r>
          <w:rPr>
            <w:rStyle w:val="1267"/>
          </w:rPr>
          <w:t xml:space="preserve">строительство,</w:t>
        </w:r>
        <w:r>
          <w:rPr>
            <w:rStyle w:val="1267"/>
            <w:spacing w:val="-6"/>
          </w:rPr>
          <w:t xml:space="preserve"> </w:t>
        </w:r>
        <w:r>
          <w:rPr>
            <w:rStyle w:val="1267"/>
          </w:rPr>
          <w:t xml:space="preserve">реконструкцию,</w:t>
        </w:r>
        <w:r>
          <w:rPr>
            <w:rStyle w:val="1267"/>
            <w:spacing w:val="-3"/>
          </w:rPr>
          <w:t xml:space="preserve"> </w:t>
        </w:r>
        <w:r>
          <w:rPr>
            <w:rStyle w:val="1267"/>
          </w:rPr>
          <w:t xml:space="preserve">техническое перевооружение и (или) модернизацию</w:t>
        </w:r>
        <w:r>
          <w:tab/>
        </w:r>
        <w:r>
          <w:fldChar w:fldCharType="begin"/>
        </w:r>
        <w:r>
          <w:instrText xml:space="preserve"> PAGEREF _Toc165540839 \h </w:instrText>
        </w:r>
        <w:r>
          <w:fldChar w:fldCharType="separate"/>
        </w:r>
        <w:r>
          <w:t xml:space="preserve">102</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40" w:anchor="_Toc165540840" w:history="1">
        <w:r>
          <w:rPr>
            <w:rStyle w:val="1267"/>
            <w:lang w:eastAsia="ru-RU"/>
          </w:rPr>
          <w:t xml:space="preserve">12.1 </w:t>
        </w:r>
        <w:r>
          <w:rPr>
            <w:rStyle w:val="1267"/>
          </w:rPr>
          <w:t xml:space="preserve">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r>
          <w:tab/>
        </w:r>
        <w:r>
          <w:fldChar w:fldCharType="begin"/>
        </w:r>
        <w:r>
          <w:instrText xml:space="preserve"> PAGEREF _Toc165540840 \h </w:instrText>
        </w:r>
        <w:r>
          <w:fldChar w:fldCharType="separate"/>
        </w:r>
        <w:r>
          <w:t xml:space="preserve">102</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41" w:anchor="_Toc165540841" w:history="1">
        <w:r>
          <w:rPr>
            <w:rStyle w:val="1267"/>
            <w:lang w:eastAsia="ru-RU"/>
          </w:rPr>
          <w:t xml:space="preserve">12.3 </w:t>
        </w:r>
        <w:r>
          <w:rPr>
            <w:rStyle w:val="1267"/>
          </w:rPr>
          <w:t xml:space="preserve">Расчёты</w:t>
        </w:r>
        <w:r>
          <w:rPr>
            <w:rStyle w:val="1267"/>
            <w:spacing w:val="-5"/>
          </w:rPr>
          <w:t xml:space="preserve"> </w:t>
        </w:r>
        <w:r>
          <w:rPr>
            <w:rStyle w:val="1267"/>
          </w:rPr>
          <w:t xml:space="preserve">экономической</w:t>
        </w:r>
        <w:r>
          <w:rPr>
            <w:rStyle w:val="1267"/>
            <w:spacing w:val="-4"/>
          </w:rPr>
          <w:t xml:space="preserve"> </w:t>
        </w:r>
        <w:r>
          <w:rPr>
            <w:rStyle w:val="1267"/>
          </w:rPr>
          <w:t xml:space="preserve">эффективности</w:t>
        </w:r>
        <w:r>
          <w:rPr>
            <w:rStyle w:val="1267"/>
            <w:spacing w:val="-6"/>
          </w:rPr>
          <w:t xml:space="preserve"> </w:t>
        </w:r>
        <w:r>
          <w:rPr>
            <w:rStyle w:val="1267"/>
            <w:spacing w:val="-2"/>
          </w:rPr>
          <w:t xml:space="preserve">инвестиций</w:t>
        </w:r>
        <w:r>
          <w:tab/>
        </w:r>
        <w:r>
          <w:fldChar w:fldCharType="begin"/>
        </w:r>
        <w:r>
          <w:instrText xml:space="preserve"> PAGEREF _Toc165540841 \h </w:instrText>
        </w:r>
        <w:r>
          <w:fldChar w:fldCharType="separate"/>
        </w:r>
        <w:r>
          <w:t xml:space="preserve">103</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42" w:anchor="_Toc165540842" w:history="1">
        <w:r>
          <w:rPr>
            <w:rStyle w:val="1267"/>
            <w:lang w:eastAsia="ru-RU"/>
          </w:rPr>
          <w:t xml:space="preserve">12.4 </w:t>
        </w:r>
        <w:r>
          <w:rPr>
            <w:rStyle w:val="1267"/>
          </w:rPr>
          <w:t xml:space="preserve">Расчёты</w:t>
        </w:r>
        <w:r>
          <w:rPr>
            <w:rStyle w:val="1267"/>
            <w:spacing w:val="-7"/>
          </w:rPr>
          <w:t xml:space="preserve"> </w:t>
        </w:r>
        <w:r>
          <w:rPr>
            <w:rStyle w:val="1267"/>
          </w:rPr>
          <w:t xml:space="preserve">ценовых</w:t>
        </w:r>
        <w:r>
          <w:rPr>
            <w:rStyle w:val="1267"/>
            <w:spacing w:val="-7"/>
          </w:rPr>
          <w:t xml:space="preserve"> </w:t>
        </w:r>
        <w:r>
          <w:rPr>
            <w:rStyle w:val="1267"/>
          </w:rPr>
          <w:t xml:space="preserve">(тарифных)</w:t>
        </w:r>
        <w:r>
          <w:rPr>
            <w:rStyle w:val="1267"/>
            <w:spacing w:val="-8"/>
          </w:rPr>
          <w:t xml:space="preserve"> </w:t>
        </w:r>
        <w:r>
          <w:rPr>
            <w:rStyle w:val="1267"/>
          </w:rPr>
          <w:t xml:space="preserve">последствий</w:t>
        </w:r>
        <w:r>
          <w:rPr>
            <w:rStyle w:val="1267"/>
            <w:spacing w:val="-6"/>
          </w:rPr>
          <w:t xml:space="preserve"> </w:t>
        </w:r>
        <w:r>
          <w:rPr>
            <w:rStyle w:val="1267"/>
          </w:rPr>
          <w:t xml:space="preserve">для</w:t>
        </w:r>
        <w:r>
          <w:rPr>
            <w:rStyle w:val="1267"/>
            <w:spacing w:val="-7"/>
          </w:rPr>
          <w:t xml:space="preserve"> </w:t>
        </w:r>
        <w:r>
          <w:rPr>
            <w:rStyle w:val="1267"/>
          </w:rPr>
          <w:t xml:space="preserve">потребителей</w:t>
        </w:r>
        <w:r>
          <w:rPr>
            <w:rStyle w:val="1267"/>
            <w:spacing w:val="-6"/>
          </w:rPr>
          <w:t xml:space="preserve"> </w:t>
        </w:r>
        <w:r>
          <w:rPr>
            <w:rStyle w:val="1267"/>
          </w:rPr>
          <w:t xml:space="preserve">при</w:t>
        </w:r>
        <w:r>
          <w:rPr>
            <w:rStyle w:val="1267"/>
            <w:spacing w:val="-9"/>
          </w:rPr>
          <w:t xml:space="preserve"> </w:t>
        </w:r>
        <w:r>
          <w:rPr>
            <w:rStyle w:val="1267"/>
          </w:rPr>
          <w:t xml:space="preserve">реализации программ строительства, реконструкции, технического перевооружения и (или) модернизации систем теплоснабжения</w:t>
        </w:r>
        <w:r>
          <w:tab/>
        </w:r>
        <w:r>
          <w:fldChar w:fldCharType="begin"/>
        </w:r>
        <w:r>
          <w:instrText xml:space="preserve"> PAGEREF _Toc165540842 \h </w:instrText>
        </w:r>
        <w:r>
          <w:fldChar w:fldCharType="separate"/>
        </w:r>
        <w:r>
          <w:t xml:space="preserve">103</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43" w:anchor="_Toc165540843" w:history="1">
        <w:r>
          <w:rPr>
            <w:rStyle w:val="1267"/>
            <w:lang w:eastAsia="ru-RU"/>
          </w:rPr>
          <w:t xml:space="preserve">12.5 </w:t>
        </w:r>
        <w:r>
          <w:rPr>
            <w:rStyle w:val="1267"/>
          </w:rPr>
          <w:t xml:space="preserve">Расчёт экономической эффективности инвестиций в стро</w:t>
        </w:r>
        <w:r>
          <w:rPr>
            <w:rStyle w:val="1267"/>
          </w:rPr>
          <w:t xml:space="preserve">ительство источников тепловой энергии, функционирующих в режиме комбинированной выработки электрической и тепловой энергии, по которым имеются источники финансирования, выполненный в соответствии с методическими указаниями по разработке схем теплоснабжения</w:t>
        </w:r>
        <w:r>
          <w:tab/>
        </w:r>
        <w:r>
          <w:fldChar w:fldCharType="begin"/>
        </w:r>
        <w:r>
          <w:instrText xml:space="preserve"> PAGEREF _Toc165540843 \h </w:instrText>
        </w:r>
        <w:r>
          <w:fldChar w:fldCharType="separate"/>
        </w:r>
        <w:r>
          <w:t xml:space="preserve">104</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44" w:anchor="_Toc165540844" w:history="1">
        <w:r>
          <w:rPr>
            <w:rStyle w:val="1267"/>
            <w:lang w:eastAsia="ru-RU"/>
          </w:rPr>
          <w:t xml:space="preserve">12.6 </w:t>
        </w:r>
        <w:r>
          <w:rPr>
            <w:rStyle w:val="1267"/>
          </w:rPr>
          <w:t xml:space="preserve">Описание изменений в обосновании инвестиций (оценке финансовых потребностей, предложениях по источникам инвестиций) в строительство, реконструкцию, техническое перевооружение и (или) модернизацию источников тепловой</w:t>
        </w:r>
        <w:r>
          <w:rPr>
            <w:rStyle w:val="1267"/>
            <w:spacing w:val="-7"/>
          </w:rPr>
          <w:t xml:space="preserve"> </w:t>
        </w:r>
        <w:r>
          <w:rPr>
            <w:rStyle w:val="1267"/>
          </w:rPr>
          <w:t xml:space="preserve">энергии</w:t>
        </w:r>
        <w:r>
          <w:rPr>
            <w:rStyle w:val="1267"/>
            <w:spacing w:val="-6"/>
          </w:rPr>
          <w:t xml:space="preserve"> </w:t>
        </w:r>
        <w:r>
          <w:rPr>
            <w:rStyle w:val="1267"/>
          </w:rPr>
          <w:t xml:space="preserve">и</w:t>
        </w:r>
        <w:r>
          <w:rPr>
            <w:rStyle w:val="1267"/>
            <w:spacing w:val="-9"/>
          </w:rPr>
          <w:t xml:space="preserve"> </w:t>
        </w:r>
        <w:r>
          <w:rPr>
            <w:rStyle w:val="1267"/>
          </w:rPr>
          <w:t xml:space="preserve">тепловых</w:t>
        </w:r>
        <w:r>
          <w:rPr>
            <w:rStyle w:val="1267"/>
            <w:spacing w:val="-8"/>
          </w:rPr>
          <w:t xml:space="preserve"> </w:t>
        </w:r>
        <w:r>
          <w:rPr>
            <w:rStyle w:val="1267"/>
          </w:rPr>
          <w:t xml:space="preserve">сетей</w:t>
        </w:r>
        <w:r>
          <w:rPr>
            <w:rStyle w:val="1267"/>
            <w:spacing w:val="-7"/>
          </w:rPr>
          <w:t xml:space="preserve"> </w:t>
        </w:r>
        <w:r>
          <w:rPr>
            <w:rStyle w:val="1267"/>
          </w:rPr>
          <w:t xml:space="preserve">с</w:t>
        </w:r>
        <w:r>
          <w:rPr>
            <w:rStyle w:val="1267"/>
            <w:spacing w:val="-8"/>
          </w:rPr>
          <w:t xml:space="preserve"> </w:t>
        </w:r>
        <w:r>
          <w:rPr>
            <w:rStyle w:val="1267"/>
          </w:rPr>
          <w:t xml:space="preserve">учётом</w:t>
        </w:r>
        <w:r>
          <w:rPr>
            <w:rStyle w:val="1267"/>
            <w:spacing w:val="-8"/>
          </w:rPr>
          <w:t xml:space="preserve"> </w:t>
        </w:r>
        <w:r>
          <w:rPr>
            <w:rStyle w:val="1267"/>
          </w:rPr>
          <w:t xml:space="preserve">фактически</w:t>
        </w:r>
        <w:r>
          <w:rPr>
            <w:rStyle w:val="1267"/>
            <w:spacing w:val="-7"/>
          </w:rPr>
          <w:t xml:space="preserve"> </w:t>
        </w:r>
        <w:r>
          <w:rPr>
            <w:rStyle w:val="1267"/>
          </w:rPr>
          <w:t xml:space="preserve">осуществлённых</w:t>
        </w:r>
        <w:r>
          <w:rPr>
            <w:rStyle w:val="1267"/>
            <w:spacing w:val="-7"/>
          </w:rPr>
          <w:t xml:space="preserve"> </w:t>
        </w:r>
        <w:r>
          <w:rPr>
            <w:rStyle w:val="1267"/>
          </w:rPr>
          <w:t xml:space="preserve">инвестиций</w:t>
        </w:r>
        <w:r>
          <w:rPr>
            <w:rStyle w:val="1267"/>
            <w:spacing w:val="-7"/>
          </w:rPr>
          <w:t xml:space="preserve"> </w:t>
        </w:r>
        <w:r>
          <w:rPr>
            <w:rStyle w:val="1267"/>
          </w:rPr>
          <w:t xml:space="preserve">и показателей их фактической эффективности</w:t>
        </w:r>
        <w:r>
          <w:tab/>
        </w:r>
        <w:r>
          <w:fldChar w:fldCharType="begin"/>
        </w:r>
        <w:r>
          <w:instrText xml:space="preserve"> PAGEREF _Toc165540844 \h </w:instrText>
        </w:r>
        <w:r>
          <w:fldChar w:fldCharType="separate"/>
        </w:r>
        <w:r>
          <w:t xml:space="preserve">104</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45" w:anchor="_Toc165540845" w:history="1">
        <w:r>
          <w:rPr>
            <w:rStyle w:val="1267"/>
          </w:rPr>
          <w:t xml:space="preserve">Глава</w:t>
        </w:r>
        <w:r>
          <w:rPr>
            <w:rStyle w:val="1267"/>
            <w:spacing w:val="-7"/>
          </w:rPr>
          <w:t xml:space="preserve"> </w:t>
        </w:r>
        <w:r>
          <w:rPr>
            <w:rStyle w:val="1267"/>
          </w:rPr>
          <w:t xml:space="preserve">13</w:t>
        </w:r>
        <w:r>
          <w:rPr>
            <w:rStyle w:val="1267"/>
            <w:spacing w:val="4"/>
          </w:rPr>
          <w:t xml:space="preserve"> </w:t>
        </w:r>
        <w:r>
          <w:rPr>
            <w:rStyle w:val="1267"/>
          </w:rPr>
          <w:t xml:space="preserve">Индикаторы</w:t>
        </w:r>
        <w:r>
          <w:rPr>
            <w:rStyle w:val="1267"/>
            <w:spacing w:val="-4"/>
          </w:rPr>
          <w:t xml:space="preserve"> </w:t>
        </w:r>
        <w:r>
          <w:rPr>
            <w:rStyle w:val="1267"/>
          </w:rPr>
          <w:t xml:space="preserve">развития</w:t>
        </w:r>
        <w:r>
          <w:rPr>
            <w:rStyle w:val="1267"/>
            <w:spacing w:val="-3"/>
          </w:rPr>
          <w:t xml:space="preserve"> </w:t>
        </w:r>
        <w:r>
          <w:rPr>
            <w:rStyle w:val="1267"/>
          </w:rPr>
          <w:t xml:space="preserve">систем</w:t>
        </w:r>
        <w:r>
          <w:rPr>
            <w:rStyle w:val="1267"/>
            <w:spacing w:val="-4"/>
          </w:rPr>
          <w:t xml:space="preserve"> </w:t>
        </w:r>
        <w:r>
          <w:rPr>
            <w:rStyle w:val="1267"/>
          </w:rPr>
          <w:t xml:space="preserve">теплоснабжения</w:t>
        </w:r>
        <w:r>
          <w:rPr>
            <w:rStyle w:val="1267"/>
            <w:spacing w:val="-3"/>
          </w:rPr>
          <w:t xml:space="preserve"> </w:t>
        </w:r>
        <w:r>
          <w:rPr>
            <w:rStyle w:val="1267"/>
            <w:spacing w:val="-2"/>
          </w:rPr>
          <w:t xml:space="preserve">поселения</w:t>
        </w:r>
        <w:r>
          <w:tab/>
        </w:r>
        <w:r>
          <w:fldChar w:fldCharType="begin"/>
        </w:r>
        <w:r>
          <w:instrText xml:space="preserve"> PAGEREF _Toc165540845 \h </w:instrText>
        </w:r>
        <w:r>
          <w:fldChar w:fldCharType="separate"/>
        </w:r>
        <w:r>
          <w:t xml:space="preserve">104</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46" w:anchor="_Toc165540846" w:history="1">
        <w:r>
          <w:rPr>
            <w:rStyle w:val="1267"/>
            <w:lang w:eastAsia="ru-RU"/>
          </w:rPr>
          <w:t xml:space="preserve">13.1 </w:t>
        </w:r>
        <w:r>
          <w:rPr>
            <w:rStyle w:val="1267"/>
          </w:rPr>
          <w:t xml:space="preserve">Результаты оценки существующих и перспективных значений индикаторов развития систем теплоснабжения</w:t>
        </w:r>
        <w:r>
          <w:tab/>
        </w:r>
        <w:r>
          <w:fldChar w:fldCharType="begin"/>
        </w:r>
        <w:r>
          <w:instrText xml:space="preserve"> PAGEREF _Toc165540846 \h </w:instrText>
        </w:r>
        <w:r>
          <w:fldChar w:fldCharType="separate"/>
        </w:r>
        <w:r>
          <w:t xml:space="preserve">104</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47" w:anchor="_Toc165540847" w:history="1">
        <w:r>
          <w:rPr>
            <w:rStyle w:val="1267"/>
            <w:lang w:eastAsia="ru-RU"/>
          </w:rPr>
          <w:t xml:space="preserve">13.2 </w:t>
        </w:r>
        <w:r>
          <w:rPr>
            <w:rStyle w:val="1267"/>
          </w:rPr>
          <w:t xml:space="preserve">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w:t>
        </w:r>
        <w:r>
          <w:rPr>
            <w:rStyle w:val="1267"/>
          </w:rPr>
          <w:t xml:space="preserve">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r>
          <w:tab/>
        </w:r>
        <w:r>
          <w:fldChar w:fldCharType="begin"/>
        </w:r>
        <w:r>
          <w:instrText xml:space="preserve"> PAGEREF _Toc165540847 \h </w:instrText>
        </w:r>
        <w:r>
          <w:fldChar w:fldCharType="separate"/>
        </w:r>
        <w:r>
          <w:t xml:space="preserve">104</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48" w:anchor="_Toc165540848" w:history="1">
        <w:r>
          <w:rPr>
            <w:rStyle w:val="1267"/>
            <w:lang w:eastAsia="ru-RU"/>
          </w:rPr>
          <w:t xml:space="preserve">13.3 </w:t>
        </w:r>
        <w:r>
          <w:rPr>
            <w:rStyle w:val="1267"/>
          </w:rPr>
          <w:t xml:space="preserve">Целевые значения ключевых показателей, отражающих результаты внедрения целевой модели рынка тепловой энергии</w:t>
        </w:r>
        <w:r>
          <w:tab/>
        </w:r>
        <w:r>
          <w:fldChar w:fldCharType="begin"/>
        </w:r>
        <w:r>
          <w:instrText xml:space="preserve"> PAGEREF _Toc165540848 \h </w:instrText>
        </w:r>
        <w:r>
          <w:fldChar w:fldCharType="separate"/>
        </w:r>
        <w:r>
          <w:t xml:space="preserve">104</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49" w:anchor="_Toc165540849" w:history="1">
        <w:r>
          <w:rPr>
            <w:rStyle w:val="1267"/>
            <w:lang w:eastAsia="ru-RU"/>
          </w:rPr>
          <w:t xml:space="preserve">13.4 </w:t>
        </w:r>
        <w:r>
          <w:rPr>
            <w:rStyle w:val="1267"/>
          </w:rPr>
          <w:t xml:space="preserve">Существующие</w:t>
        </w:r>
        <w:r>
          <w:rPr>
            <w:rStyle w:val="1267"/>
            <w:spacing w:val="-2"/>
          </w:rPr>
          <w:t xml:space="preserve"> </w:t>
        </w:r>
        <w:r>
          <w:rPr>
            <w:rStyle w:val="1267"/>
          </w:rPr>
          <w:t xml:space="preserve">и перспективные</w:t>
        </w:r>
        <w:r>
          <w:rPr>
            <w:rStyle w:val="1267"/>
            <w:spacing w:val="-2"/>
          </w:rPr>
          <w:t xml:space="preserve"> </w:t>
        </w:r>
        <w:r>
          <w:rPr>
            <w:rStyle w:val="1267"/>
          </w:rPr>
          <w:t xml:space="preserve">значения</w:t>
        </w:r>
        <w:r>
          <w:rPr>
            <w:rStyle w:val="1267"/>
            <w:spacing w:val="-4"/>
          </w:rPr>
          <w:t xml:space="preserve"> </w:t>
        </w:r>
        <w:r>
          <w:rPr>
            <w:rStyle w:val="1267"/>
          </w:rPr>
          <w:t xml:space="preserve">целевых</w:t>
        </w:r>
        <w:r>
          <w:rPr>
            <w:rStyle w:val="1267"/>
            <w:spacing w:val="-1"/>
          </w:rPr>
          <w:t xml:space="preserve"> </w:t>
        </w:r>
        <w:r>
          <w:rPr>
            <w:rStyle w:val="1267"/>
          </w:rPr>
          <w:t xml:space="preserve">показателей</w:t>
        </w:r>
        <w:r>
          <w:rPr>
            <w:rStyle w:val="1267"/>
            <w:spacing w:val="-3"/>
          </w:rPr>
          <w:t xml:space="preserve"> </w:t>
        </w:r>
        <w:r>
          <w:rPr>
            <w:rStyle w:val="1267"/>
          </w:rPr>
          <w:t xml:space="preserve">реализации схемы теплоснабжения поселения, городского округа, подлежащие достижению каждой единой теплоснабжающей организацией, функционирующей на территории такого поселения, городского округа</w:t>
        </w:r>
        <w:r>
          <w:tab/>
        </w:r>
        <w:r>
          <w:fldChar w:fldCharType="begin"/>
        </w:r>
        <w:r>
          <w:instrText xml:space="preserve"> PAGEREF _Toc165540849 \h </w:instrText>
        </w:r>
        <w:r>
          <w:fldChar w:fldCharType="separate"/>
        </w:r>
        <w:r>
          <w:t xml:space="preserve">106</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50" w:anchor="_Toc165540850" w:history="1">
        <w:r>
          <w:rPr>
            <w:rStyle w:val="1267"/>
            <w:lang w:eastAsia="ru-RU"/>
          </w:rPr>
          <w:t xml:space="preserve">13.5 </w:t>
        </w:r>
        <w:r>
          <w:rPr>
            <w:rStyle w:val="1267"/>
          </w:rPr>
          <w:t xml:space="preserve">Описание изменений (фактических данных) в оценке значений индикаторов развития систем теплоснабжения поселения, городского округа, города федерального значения, а в ценовых</w:t>
        </w:r>
        <w:r>
          <w:rPr>
            <w:rStyle w:val="1267"/>
            <w:spacing w:val="-2"/>
          </w:rPr>
          <w:t xml:space="preserve"> </w:t>
        </w:r>
        <w:r>
          <w:rPr>
            <w:rStyle w:val="1267"/>
          </w:rPr>
          <w:t xml:space="preserve">зонах</w:t>
        </w:r>
        <w:r>
          <w:rPr>
            <w:rStyle w:val="1267"/>
            <w:spacing w:val="-1"/>
          </w:rPr>
          <w:t xml:space="preserve"> </w:t>
        </w:r>
        <w:r>
          <w:rPr>
            <w:rStyle w:val="1267"/>
          </w:rPr>
          <w:t xml:space="preserve">теплоснабжения также изменений (фактических данных) в </w:t>
        </w:r>
        <w:r>
          <w:rPr>
            <w:rStyle w:val="1267"/>
            <w:spacing w:val="-2"/>
          </w:rPr>
          <w:t xml:space="preserve">достижении ключевых показателей, отражающих результаты внедрения</w:t>
        </w:r>
        <w:r>
          <w:rPr>
            <w:rStyle w:val="1267"/>
            <w:spacing w:val="-4"/>
          </w:rPr>
          <w:t xml:space="preserve"> </w:t>
        </w:r>
        <w:r>
          <w:rPr>
            <w:rStyle w:val="1267"/>
            <w:spacing w:val="-2"/>
          </w:rPr>
          <w:t xml:space="preserve">целевой модели </w:t>
        </w:r>
        <w:r>
          <w:rPr>
            <w:rStyle w:val="1267"/>
          </w:rPr>
          <w:t xml:space="preserve">рынка тепловой энергии, целевых показателей реализации схемы теплоснабжения поселения, городского округа с учётом реализации проектов схемы теплоснабжения</w:t>
        </w:r>
        <w:r>
          <w:tab/>
        </w:r>
        <w:r>
          <w:fldChar w:fldCharType="begin"/>
        </w:r>
        <w:r>
          <w:instrText xml:space="preserve"> PAGEREF _Toc165540850 \h </w:instrText>
        </w:r>
        <w:r>
          <w:fldChar w:fldCharType="separate"/>
        </w:r>
        <w:r>
          <w:t xml:space="preserve">106</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51" w:anchor="_Toc165540851" w:history="1">
        <w:r>
          <w:rPr>
            <w:rStyle w:val="1267"/>
          </w:rPr>
          <w:t xml:space="preserve">Глава</w:t>
        </w:r>
        <w:r>
          <w:rPr>
            <w:rStyle w:val="1267"/>
            <w:spacing w:val="-4"/>
          </w:rPr>
          <w:t xml:space="preserve"> </w:t>
        </w:r>
        <w:r>
          <w:rPr>
            <w:rStyle w:val="1267"/>
          </w:rPr>
          <w:t xml:space="preserve">14</w:t>
        </w:r>
        <w:r>
          <w:rPr>
            <w:rStyle w:val="1267"/>
            <w:spacing w:val="5"/>
          </w:rPr>
          <w:t xml:space="preserve"> </w:t>
        </w:r>
        <w:r>
          <w:rPr>
            <w:rStyle w:val="1267"/>
          </w:rPr>
          <w:t xml:space="preserve">Ценовые</w:t>
        </w:r>
        <w:r>
          <w:rPr>
            <w:rStyle w:val="1267"/>
            <w:spacing w:val="-2"/>
          </w:rPr>
          <w:t xml:space="preserve"> </w:t>
        </w:r>
        <w:r>
          <w:rPr>
            <w:rStyle w:val="1267"/>
          </w:rPr>
          <w:t xml:space="preserve">(тарифные)</w:t>
        </w:r>
        <w:r>
          <w:rPr>
            <w:rStyle w:val="1267"/>
            <w:spacing w:val="-1"/>
          </w:rPr>
          <w:t xml:space="preserve"> </w:t>
        </w:r>
        <w:r>
          <w:rPr>
            <w:rStyle w:val="1267"/>
            <w:spacing w:val="-2"/>
          </w:rPr>
          <w:t xml:space="preserve">последствия</w:t>
        </w:r>
        <w:r>
          <w:tab/>
        </w:r>
        <w:r>
          <w:fldChar w:fldCharType="begin"/>
        </w:r>
        <w:r>
          <w:instrText xml:space="preserve"> PAGEREF _Toc165540851 \h </w:instrText>
        </w:r>
        <w:r>
          <w:fldChar w:fldCharType="separate"/>
        </w:r>
        <w:r>
          <w:t xml:space="preserve">106</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52" w:anchor="_Toc165540852" w:history="1">
        <w:r>
          <w:rPr>
            <w:rStyle w:val="1267"/>
            <w:lang w:eastAsia="ru-RU"/>
          </w:rPr>
          <w:t xml:space="preserve">14.1 </w:t>
        </w:r>
        <w:r>
          <w:rPr>
            <w:rStyle w:val="1267"/>
          </w:rPr>
          <w:t xml:space="preserve">Тарифно-балансовые расчётные модели теплоснабжения потребителей по каждой системе теплоснабжения</w:t>
        </w:r>
        <w:r>
          <w:tab/>
        </w:r>
        <w:r>
          <w:fldChar w:fldCharType="begin"/>
        </w:r>
        <w:r>
          <w:instrText xml:space="preserve"> PAGEREF _Toc165540852 \h </w:instrText>
        </w:r>
        <w:r>
          <w:fldChar w:fldCharType="separate"/>
        </w:r>
        <w:r>
          <w:t xml:space="preserve">106</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53" w:anchor="_Toc165540853" w:history="1">
        <w:r>
          <w:rPr>
            <w:rStyle w:val="1267"/>
          </w:rPr>
          <w:t xml:space="preserve">Тарифно-балансовые</w:t>
        </w:r>
        <w:r>
          <w:rPr>
            <w:rStyle w:val="1267"/>
            <w:spacing w:val="40"/>
          </w:rPr>
          <w:t xml:space="preserve"> </w:t>
        </w:r>
        <w:r>
          <w:rPr>
            <w:rStyle w:val="1267"/>
          </w:rPr>
          <w:t xml:space="preserve">расчётные</w:t>
        </w:r>
        <w:r>
          <w:rPr>
            <w:rStyle w:val="1267"/>
            <w:spacing w:val="40"/>
          </w:rPr>
          <w:t xml:space="preserve"> </w:t>
        </w:r>
        <w:r>
          <w:rPr>
            <w:rStyle w:val="1267"/>
          </w:rPr>
          <w:t xml:space="preserve">модели</w:t>
        </w:r>
        <w:r>
          <w:rPr>
            <w:rStyle w:val="1267"/>
            <w:spacing w:val="40"/>
          </w:rPr>
          <w:t xml:space="preserve"> </w:t>
        </w:r>
        <w:r>
          <w:rPr>
            <w:rStyle w:val="1267"/>
          </w:rPr>
          <w:t xml:space="preserve">теплоснабжения</w:t>
        </w:r>
        <w:r>
          <w:rPr>
            <w:rStyle w:val="1267"/>
            <w:spacing w:val="40"/>
          </w:rPr>
          <w:t xml:space="preserve"> </w:t>
        </w:r>
        <w:r>
          <w:rPr>
            <w:rStyle w:val="1267"/>
          </w:rPr>
          <w:t xml:space="preserve">потребителей</w:t>
        </w:r>
        <w:r>
          <w:rPr>
            <w:rStyle w:val="1267"/>
            <w:spacing w:val="40"/>
          </w:rPr>
          <w:t xml:space="preserve"> </w:t>
        </w:r>
        <w:r>
          <w:rPr>
            <w:rStyle w:val="1267"/>
          </w:rPr>
          <w:t xml:space="preserve">по каждой единой теплоснабжающей организации</w:t>
        </w:r>
        <w:r>
          <w:tab/>
        </w:r>
        <w:r>
          <w:fldChar w:fldCharType="begin"/>
        </w:r>
        <w:r>
          <w:instrText xml:space="preserve"> PAGEREF _Toc165540853 \h </w:instrText>
        </w:r>
        <w:r>
          <w:fldChar w:fldCharType="separate"/>
        </w:r>
        <w:r>
          <w:t xml:space="preserve">107</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54" w:anchor="_Toc165540854" w:history="1">
        <w:r>
          <w:rPr>
            <w:rStyle w:val="1267"/>
            <w:lang w:eastAsia="ru-RU"/>
          </w:rPr>
          <w:t xml:space="preserve">14.3 </w:t>
        </w:r>
        <w:r>
          <w:rPr>
            <w:rStyle w:val="1267"/>
          </w:rPr>
          <w:t xml:space="preserve">Результаты оценки ценовых (тарифных) последствий реализации проектов схемы теплоснабжения на основании разработанных тарифно-балансовых моделей</w:t>
        </w:r>
        <w:r>
          <w:tab/>
        </w:r>
        <w:r>
          <w:fldChar w:fldCharType="begin"/>
        </w:r>
        <w:r>
          <w:instrText xml:space="preserve"> PAGEREF _Toc165540854 \h </w:instrText>
        </w:r>
        <w:r>
          <w:fldChar w:fldCharType="separate"/>
        </w:r>
        <w:r>
          <w:t xml:space="preserve">108</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55" w:anchor="_Toc165540855" w:history="1">
        <w:r>
          <w:rPr>
            <w:rStyle w:val="1267"/>
            <w:lang w:eastAsia="ru-RU"/>
          </w:rPr>
          <w:t xml:space="preserve">14.4 </w:t>
        </w:r>
        <w:r>
          <w:rPr>
            <w:rStyle w:val="1267"/>
          </w:rPr>
          <w:t xml:space="preserve">Описание</w:t>
        </w:r>
        <w:r>
          <w:rPr>
            <w:rStyle w:val="1267"/>
            <w:spacing w:val="33"/>
          </w:rPr>
          <w:t xml:space="preserve"> </w:t>
        </w:r>
        <w:r>
          <w:rPr>
            <w:rStyle w:val="1267"/>
          </w:rPr>
          <w:t xml:space="preserve">изменений</w:t>
        </w:r>
        <w:r>
          <w:rPr>
            <w:rStyle w:val="1267"/>
            <w:spacing w:val="32"/>
          </w:rPr>
          <w:t xml:space="preserve"> </w:t>
        </w:r>
        <w:r>
          <w:rPr>
            <w:rStyle w:val="1267"/>
          </w:rPr>
          <w:t xml:space="preserve">(фактических</w:t>
        </w:r>
        <w:r>
          <w:rPr>
            <w:rStyle w:val="1267"/>
            <w:spacing w:val="34"/>
          </w:rPr>
          <w:t xml:space="preserve"> </w:t>
        </w:r>
        <w:r>
          <w:rPr>
            <w:rStyle w:val="1267"/>
          </w:rPr>
          <w:t xml:space="preserve">данных)</w:t>
        </w:r>
        <w:r>
          <w:rPr>
            <w:rStyle w:val="1267"/>
            <w:spacing w:val="33"/>
          </w:rPr>
          <w:t xml:space="preserve"> </w:t>
        </w:r>
        <w:r>
          <w:rPr>
            <w:rStyle w:val="1267"/>
          </w:rPr>
          <w:t xml:space="preserve">в</w:t>
        </w:r>
        <w:r>
          <w:rPr>
            <w:rStyle w:val="1267"/>
            <w:spacing w:val="34"/>
          </w:rPr>
          <w:t xml:space="preserve"> </w:t>
        </w:r>
        <w:r>
          <w:rPr>
            <w:rStyle w:val="1267"/>
          </w:rPr>
          <w:t xml:space="preserve">оценке</w:t>
        </w:r>
        <w:r>
          <w:rPr>
            <w:rStyle w:val="1267"/>
            <w:spacing w:val="33"/>
          </w:rPr>
          <w:t xml:space="preserve"> </w:t>
        </w:r>
        <w:r>
          <w:rPr>
            <w:rStyle w:val="1267"/>
          </w:rPr>
          <w:t xml:space="preserve">ценовых</w:t>
        </w:r>
        <w:r>
          <w:rPr>
            <w:rStyle w:val="1267"/>
            <w:spacing w:val="36"/>
          </w:rPr>
          <w:t xml:space="preserve"> </w:t>
        </w:r>
        <w:r>
          <w:rPr>
            <w:rStyle w:val="1267"/>
          </w:rPr>
          <w:t xml:space="preserve">(тарифных) последствий реализации проектов схемы теплоснабжения</w:t>
        </w:r>
        <w:r>
          <w:tab/>
        </w:r>
        <w:r>
          <w:fldChar w:fldCharType="begin"/>
        </w:r>
        <w:r>
          <w:instrText xml:space="preserve"> PAGEREF _Toc165540855 \h </w:instrText>
        </w:r>
        <w:r>
          <w:fldChar w:fldCharType="separate"/>
        </w:r>
        <w:r>
          <w:t xml:space="preserve">108</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56" w:anchor="_Toc165540856" w:history="1">
        <w:r>
          <w:rPr>
            <w:rStyle w:val="1267"/>
          </w:rPr>
          <w:t xml:space="preserve">Глава</w:t>
        </w:r>
        <w:r>
          <w:rPr>
            <w:rStyle w:val="1267"/>
            <w:spacing w:val="-4"/>
          </w:rPr>
          <w:t xml:space="preserve"> </w:t>
        </w:r>
        <w:r>
          <w:rPr>
            <w:rStyle w:val="1267"/>
          </w:rPr>
          <w:t xml:space="preserve">15</w:t>
        </w:r>
        <w:r>
          <w:rPr>
            <w:rStyle w:val="1267"/>
            <w:spacing w:val="4"/>
          </w:rPr>
          <w:t xml:space="preserve"> </w:t>
        </w:r>
        <w:r>
          <w:rPr>
            <w:rStyle w:val="1267"/>
          </w:rPr>
          <w:t xml:space="preserve">Реестр</w:t>
        </w:r>
        <w:r>
          <w:rPr>
            <w:rStyle w:val="1267"/>
            <w:spacing w:val="-3"/>
          </w:rPr>
          <w:t xml:space="preserve"> </w:t>
        </w:r>
        <w:r>
          <w:rPr>
            <w:rStyle w:val="1267"/>
          </w:rPr>
          <w:t xml:space="preserve">единых</w:t>
        </w:r>
        <w:r>
          <w:rPr>
            <w:rStyle w:val="1267"/>
            <w:spacing w:val="-6"/>
          </w:rPr>
          <w:t xml:space="preserve"> </w:t>
        </w:r>
        <w:r>
          <w:rPr>
            <w:rStyle w:val="1267"/>
          </w:rPr>
          <w:t xml:space="preserve">теплоснабжающих</w:t>
        </w:r>
        <w:r>
          <w:rPr>
            <w:rStyle w:val="1267"/>
            <w:spacing w:val="-2"/>
          </w:rPr>
          <w:t xml:space="preserve"> организаций</w:t>
        </w:r>
        <w:r>
          <w:tab/>
        </w:r>
        <w:r>
          <w:fldChar w:fldCharType="begin"/>
        </w:r>
        <w:r>
          <w:instrText xml:space="preserve"> PAGEREF _Toc165540856 \h </w:instrText>
        </w:r>
        <w:r>
          <w:fldChar w:fldCharType="separate"/>
        </w:r>
        <w:r>
          <w:t xml:space="preserve">109</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57" w:anchor="_Toc165540857" w:history="1">
        <w:r>
          <w:rPr>
            <w:rStyle w:val="1267"/>
            <w:lang w:eastAsia="ru-RU"/>
          </w:rPr>
          <w:t xml:space="preserve">15.1 </w:t>
        </w:r>
        <w:r>
          <w:rPr>
            <w:rStyle w:val="1267"/>
          </w:rPr>
          <w:t xml:space="preserve">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w:t>
        </w:r>
        <w:r>
          <w:tab/>
        </w:r>
        <w:r>
          <w:fldChar w:fldCharType="begin"/>
        </w:r>
        <w:r>
          <w:instrText xml:space="preserve"> PAGEREF _Toc165540857 \h </w:instrText>
        </w:r>
        <w:r>
          <w:fldChar w:fldCharType="separate"/>
        </w:r>
        <w:r>
          <w:t xml:space="preserve">109</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58" w:anchor="_Toc165540858" w:history="1">
        <w:r>
          <w:rPr>
            <w:rStyle w:val="1267"/>
            <w:lang w:eastAsia="ru-RU"/>
          </w:rPr>
          <w:t xml:space="preserve">15.2 </w:t>
        </w:r>
        <w:r>
          <w:rPr>
            <w:rStyle w:val="1267"/>
          </w:rPr>
          <w:t xml:space="preserve">Реестр</w:t>
        </w:r>
        <w:r>
          <w:rPr>
            <w:rStyle w:val="1267"/>
            <w:spacing w:val="-11"/>
          </w:rPr>
          <w:t xml:space="preserve"> </w:t>
        </w:r>
        <w:r>
          <w:rPr>
            <w:rStyle w:val="1267"/>
          </w:rPr>
          <w:t xml:space="preserve">единых</w:t>
        </w:r>
        <w:r>
          <w:rPr>
            <w:rStyle w:val="1267"/>
            <w:spacing w:val="-14"/>
          </w:rPr>
          <w:t xml:space="preserve"> </w:t>
        </w:r>
        <w:r>
          <w:rPr>
            <w:rStyle w:val="1267"/>
          </w:rPr>
          <w:t xml:space="preserve">теплоснабжающих</w:t>
        </w:r>
        <w:r>
          <w:rPr>
            <w:rStyle w:val="1267"/>
            <w:spacing w:val="-11"/>
          </w:rPr>
          <w:t xml:space="preserve"> </w:t>
        </w:r>
        <w:r>
          <w:rPr>
            <w:rStyle w:val="1267"/>
          </w:rPr>
          <w:t xml:space="preserve">организаций,</w:t>
        </w:r>
        <w:r>
          <w:rPr>
            <w:rStyle w:val="1267"/>
            <w:spacing w:val="-11"/>
          </w:rPr>
          <w:t xml:space="preserve"> </w:t>
        </w:r>
        <w:r>
          <w:rPr>
            <w:rStyle w:val="1267"/>
          </w:rPr>
          <w:t xml:space="preserve">содержащий</w:t>
        </w:r>
        <w:r>
          <w:rPr>
            <w:rStyle w:val="1267"/>
            <w:spacing w:val="-11"/>
          </w:rPr>
          <w:t xml:space="preserve"> </w:t>
        </w:r>
        <w:r>
          <w:rPr>
            <w:rStyle w:val="1267"/>
          </w:rPr>
          <w:t xml:space="preserve">перечень</w:t>
        </w:r>
        <w:r>
          <w:rPr>
            <w:rStyle w:val="1267"/>
            <w:spacing w:val="-11"/>
          </w:rPr>
          <w:t xml:space="preserve"> </w:t>
        </w:r>
        <w:r>
          <w:rPr>
            <w:rStyle w:val="1267"/>
          </w:rPr>
          <w:t xml:space="preserve">систем теплоснабжения, входящих в состав единой теплоснабжающей организации</w:t>
        </w:r>
        <w:r>
          <w:tab/>
        </w:r>
        <w:r>
          <w:fldChar w:fldCharType="begin"/>
        </w:r>
        <w:r>
          <w:instrText xml:space="preserve"> PAGEREF _Toc165540858 \h </w:instrText>
        </w:r>
        <w:r>
          <w:fldChar w:fldCharType="separate"/>
        </w:r>
        <w:r>
          <w:t xml:space="preserve">109</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59" w:anchor="_Toc165540859" w:history="1">
        <w:r>
          <w:rPr>
            <w:rStyle w:val="1267"/>
            <w:lang w:eastAsia="ru-RU"/>
          </w:rPr>
          <w:t xml:space="preserve">15.3 </w:t>
        </w:r>
        <w:r>
          <w:rPr>
            <w:rStyle w:val="1267"/>
          </w:rPr>
          <w:t xml:space="preserve">Основания, в том числе критерии, в соответствии с которыми теплоснабжающей</w:t>
        </w:r>
        <w:r>
          <w:rPr>
            <w:rStyle w:val="1267"/>
            <w:spacing w:val="-10"/>
          </w:rPr>
          <w:t xml:space="preserve"> </w:t>
        </w:r>
        <w:r>
          <w:rPr>
            <w:rStyle w:val="1267"/>
          </w:rPr>
          <w:t xml:space="preserve">организации</w:t>
        </w:r>
        <w:r>
          <w:rPr>
            <w:rStyle w:val="1267"/>
            <w:spacing w:val="-8"/>
          </w:rPr>
          <w:t xml:space="preserve"> </w:t>
        </w:r>
        <w:r>
          <w:rPr>
            <w:rStyle w:val="1267"/>
          </w:rPr>
          <w:t xml:space="preserve">присвоен</w:t>
        </w:r>
        <w:r>
          <w:rPr>
            <w:rStyle w:val="1267"/>
            <w:spacing w:val="-7"/>
          </w:rPr>
          <w:t xml:space="preserve"> </w:t>
        </w:r>
        <w:r>
          <w:rPr>
            <w:rStyle w:val="1267"/>
          </w:rPr>
          <w:t xml:space="preserve">статус</w:t>
        </w:r>
        <w:r>
          <w:rPr>
            <w:rStyle w:val="1267"/>
            <w:spacing w:val="-10"/>
          </w:rPr>
          <w:t xml:space="preserve"> </w:t>
        </w:r>
        <w:r>
          <w:rPr>
            <w:rStyle w:val="1267"/>
          </w:rPr>
          <w:t xml:space="preserve">единой</w:t>
        </w:r>
        <w:r>
          <w:rPr>
            <w:rStyle w:val="1267"/>
            <w:spacing w:val="-10"/>
          </w:rPr>
          <w:t xml:space="preserve"> </w:t>
        </w:r>
        <w:r>
          <w:rPr>
            <w:rStyle w:val="1267"/>
          </w:rPr>
          <w:t xml:space="preserve">теплоснабжающей</w:t>
        </w:r>
        <w:r>
          <w:rPr>
            <w:rStyle w:val="1267"/>
            <w:spacing w:val="-7"/>
          </w:rPr>
          <w:t xml:space="preserve"> </w:t>
        </w:r>
        <w:r>
          <w:rPr>
            <w:rStyle w:val="1267"/>
            <w:spacing w:val="-2"/>
          </w:rPr>
          <w:t xml:space="preserve">организации</w:t>
        </w:r>
        <w:r>
          <w:tab/>
        </w:r>
        <w:r>
          <w:fldChar w:fldCharType="begin"/>
        </w:r>
        <w:r>
          <w:instrText xml:space="preserve"> PAGEREF _Toc165540859 \h </w:instrText>
        </w:r>
        <w:r>
          <w:fldChar w:fldCharType="separate"/>
        </w:r>
        <w:r>
          <w:t xml:space="preserve">112</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60" w:anchor="_Toc165540860" w:history="1">
        <w:r>
          <w:rPr>
            <w:rStyle w:val="1267"/>
            <w:lang w:eastAsia="ru-RU"/>
          </w:rPr>
          <w:t xml:space="preserve">15.4 </w:t>
        </w:r>
        <w:r>
          <w:rPr>
            <w:rStyle w:val="1267"/>
          </w:rPr>
          <w:t xml:space="preserve">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tab/>
        </w:r>
        <w:r>
          <w:fldChar w:fldCharType="begin"/>
        </w:r>
        <w:r>
          <w:instrText xml:space="preserve"> PAGEREF _Toc165540860 \h </w:instrText>
        </w:r>
        <w:r>
          <w:fldChar w:fldCharType="separate"/>
        </w:r>
        <w:r>
          <w:t xml:space="preserve">112</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61" w:anchor="_Toc165540861" w:history="1">
        <w:r>
          <w:rPr>
            <w:rStyle w:val="1267"/>
            <w:lang w:eastAsia="ru-RU"/>
          </w:rPr>
          <w:t xml:space="preserve">15.5 </w:t>
        </w:r>
        <w:r>
          <w:rPr>
            <w:rStyle w:val="1267"/>
          </w:rPr>
          <w:t xml:space="preserve">Описание границ зон деятельности единой теплоснабжающей организации </w:t>
        </w:r>
        <w:r>
          <w:rPr>
            <w:rStyle w:val="1267"/>
            <w:spacing w:val="-2"/>
          </w:rPr>
          <w:t xml:space="preserve">(организаций)</w:t>
        </w:r>
        <w:r>
          <w:tab/>
        </w:r>
        <w:r>
          <w:fldChar w:fldCharType="begin"/>
        </w:r>
        <w:r>
          <w:instrText xml:space="preserve"> PAGEREF _Toc165540861 \h </w:instrText>
        </w:r>
        <w:r>
          <w:fldChar w:fldCharType="separate"/>
        </w:r>
        <w:r>
          <w:t xml:space="preserve">113</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62" w:anchor="_Toc165540862" w:history="1">
        <w:r>
          <w:rPr>
            <w:rStyle w:val="1267"/>
            <w:lang w:eastAsia="ru-RU"/>
          </w:rPr>
          <w:t xml:space="preserve">15.6 </w:t>
        </w:r>
        <w:r>
          <w:rPr>
            <w:rStyle w:val="1267"/>
          </w:rPr>
          <w:t xml:space="preserve">Описание изменений в зонах деятельности единых теплоснабжающих органи</w:t>
        </w:r>
        <w:r>
          <w:rPr>
            <w:rStyle w:val="1267"/>
          </w:rPr>
          <w:t xml:space="preserve">заций, произошедших за период, предшествующий актуализации схемы теплоснабжения, и актуализированные сведения в реестре систем теплоснабжения и реестре единых теплоснабжающих организаций (в случае необходимости) с описанием оснований для внесения изменений</w:t>
        </w:r>
        <w:r>
          <w:tab/>
        </w:r>
        <w:r>
          <w:fldChar w:fldCharType="begin"/>
        </w:r>
        <w:r>
          <w:instrText xml:space="preserve"> PAGEREF _Toc165540862 \h </w:instrText>
        </w:r>
        <w:r>
          <w:fldChar w:fldCharType="separate"/>
        </w:r>
        <w:r>
          <w:t xml:space="preserve">114</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63" w:anchor="_Toc165540863" w:history="1">
        <w:r>
          <w:rPr>
            <w:rStyle w:val="1267"/>
          </w:rPr>
          <w:t xml:space="preserve">Глава</w:t>
        </w:r>
        <w:r>
          <w:rPr>
            <w:rStyle w:val="1267"/>
            <w:spacing w:val="-7"/>
          </w:rPr>
          <w:t xml:space="preserve"> </w:t>
        </w:r>
        <w:r>
          <w:rPr>
            <w:rStyle w:val="1267"/>
          </w:rPr>
          <w:t xml:space="preserve">16</w:t>
        </w:r>
        <w:r>
          <w:rPr>
            <w:rStyle w:val="1267"/>
            <w:spacing w:val="4"/>
          </w:rPr>
          <w:t xml:space="preserve"> </w:t>
        </w:r>
        <w:r>
          <w:rPr>
            <w:rStyle w:val="1267"/>
          </w:rPr>
          <w:t xml:space="preserve">Реестр</w:t>
        </w:r>
        <w:r>
          <w:rPr>
            <w:rStyle w:val="1267"/>
            <w:spacing w:val="-3"/>
          </w:rPr>
          <w:t xml:space="preserve"> </w:t>
        </w:r>
        <w:r>
          <w:rPr>
            <w:rStyle w:val="1267"/>
          </w:rPr>
          <w:t xml:space="preserve">мероприятий</w:t>
        </w:r>
        <w:r>
          <w:rPr>
            <w:rStyle w:val="1267"/>
            <w:spacing w:val="-3"/>
          </w:rPr>
          <w:t xml:space="preserve"> </w:t>
        </w:r>
        <w:r>
          <w:rPr>
            <w:rStyle w:val="1267"/>
          </w:rPr>
          <w:t xml:space="preserve">схемы</w:t>
        </w:r>
        <w:r>
          <w:rPr>
            <w:rStyle w:val="1267"/>
            <w:spacing w:val="-4"/>
          </w:rPr>
          <w:t xml:space="preserve"> </w:t>
        </w:r>
        <w:r>
          <w:rPr>
            <w:rStyle w:val="1267"/>
            <w:spacing w:val="-2"/>
          </w:rPr>
          <w:t xml:space="preserve">теплоснабжения</w:t>
        </w:r>
        <w:r>
          <w:tab/>
        </w:r>
        <w:r>
          <w:fldChar w:fldCharType="begin"/>
        </w:r>
        <w:r>
          <w:instrText xml:space="preserve"> PAGEREF _Toc165540863 \h </w:instrText>
        </w:r>
        <w:r>
          <w:fldChar w:fldCharType="separate"/>
        </w:r>
        <w:r>
          <w:t xml:space="preserve">115</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64" w:anchor="_Toc165540864" w:history="1">
        <w:r>
          <w:rPr>
            <w:rStyle w:val="1267"/>
            <w:lang w:eastAsia="ru-RU"/>
          </w:rPr>
          <w:t xml:space="preserve">16.1 </w:t>
        </w:r>
        <w:r>
          <w:rPr>
            <w:rStyle w:val="1267"/>
          </w:rPr>
          <w:t xml:space="preserve">Перечень</w:t>
        </w:r>
        <w:r>
          <w:rPr>
            <w:rStyle w:val="1267"/>
            <w:spacing w:val="40"/>
          </w:rPr>
          <w:t xml:space="preserve"> </w:t>
        </w:r>
        <w:r>
          <w:rPr>
            <w:rStyle w:val="1267"/>
          </w:rPr>
          <w:t xml:space="preserve">мероприятий</w:t>
        </w:r>
        <w:r>
          <w:rPr>
            <w:rStyle w:val="1267"/>
            <w:spacing w:val="40"/>
          </w:rPr>
          <w:t xml:space="preserve"> </w:t>
        </w:r>
        <w:r>
          <w:rPr>
            <w:rStyle w:val="1267"/>
          </w:rPr>
          <w:t xml:space="preserve">по</w:t>
        </w:r>
        <w:r>
          <w:rPr>
            <w:rStyle w:val="1267"/>
            <w:spacing w:val="40"/>
          </w:rPr>
          <w:t xml:space="preserve"> </w:t>
        </w:r>
        <w:r>
          <w:rPr>
            <w:rStyle w:val="1267"/>
          </w:rPr>
          <w:t xml:space="preserve">строительству,</w:t>
        </w:r>
        <w:r>
          <w:rPr>
            <w:rStyle w:val="1267"/>
            <w:spacing w:val="40"/>
          </w:rPr>
          <w:t xml:space="preserve"> </w:t>
        </w:r>
        <w:r>
          <w:rPr>
            <w:rStyle w:val="1267"/>
          </w:rPr>
          <w:t xml:space="preserve">реконструкции,</w:t>
        </w:r>
        <w:r>
          <w:rPr>
            <w:rStyle w:val="1267"/>
            <w:spacing w:val="40"/>
          </w:rPr>
          <w:t xml:space="preserve"> </w:t>
        </w:r>
        <w:r>
          <w:rPr>
            <w:rStyle w:val="1267"/>
          </w:rPr>
          <w:t xml:space="preserve">техническому</w:t>
        </w:r>
        <w:r>
          <w:rPr>
            <w:rStyle w:val="1267"/>
            <w:spacing w:val="40"/>
          </w:rPr>
          <w:t xml:space="preserve"> </w:t>
        </w:r>
        <w:r>
          <w:rPr>
            <w:rStyle w:val="1267"/>
          </w:rPr>
          <w:t xml:space="preserve">перевооружению</w:t>
        </w:r>
        <w:r>
          <w:rPr>
            <w:rStyle w:val="1267"/>
            <w:spacing w:val="40"/>
          </w:rPr>
          <w:t xml:space="preserve"> </w:t>
        </w:r>
        <w:r>
          <w:rPr>
            <w:rStyle w:val="1267"/>
          </w:rPr>
          <w:t xml:space="preserve">и</w:t>
        </w:r>
        <w:r>
          <w:rPr>
            <w:rStyle w:val="1267"/>
            <w:spacing w:val="40"/>
          </w:rPr>
          <w:t xml:space="preserve"> </w:t>
        </w:r>
        <w:r>
          <w:rPr>
            <w:rStyle w:val="1267"/>
          </w:rPr>
          <w:t xml:space="preserve">(или)</w:t>
        </w:r>
        <w:r>
          <w:rPr>
            <w:rStyle w:val="1267"/>
            <w:spacing w:val="40"/>
          </w:rPr>
          <w:t xml:space="preserve"> </w:t>
        </w:r>
        <w:r>
          <w:rPr>
            <w:rStyle w:val="1267"/>
          </w:rPr>
          <w:t xml:space="preserve">модернизации</w:t>
        </w:r>
        <w:r>
          <w:rPr>
            <w:rStyle w:val="1267"/>
            <w:spacing w:val="40"/>
          </w:rPr>
          <w:t xml:space="preserve"> </w:t>
        </w:r>
        <w:r>
          <w:rPr>
            <w:rStyle w:val="1267"/>
          </w:rPr>
          <w:t xml:space="preserve">источников тепловой энергии</w:t>
        </w:r>
        <w:r>
          <w:tab/>
        </w:r>
        <w:r>
          <w:fldChar w:fldCharType="begin"/>
        </w:r>
        <w:r>
          <w:instrText xml:space="preserve"> PAGEREF _Toc165540864 \h </w:instrText>
        </w:r>
        <w:r>
          <w:fldChar w:fldCharType="separate"/>
        </w:r>
        <w:r>
          <w:t xml:space="preserve">115</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65" w:anchor="_Toc165540865" w:history="1">
        <w:r>
          <w:rPr>
            <w:rStyle w:val="1267"/>
            <w:lang w:eastAsia="ru-RU"/>
          </w:rPr>
          <w:t xml:space="preserve">16.2 </w:t>
        </w:r>
        <w:r>
          <w:rPr>
            <w:rStyle w:val="1267"/>
          </w:rPr>
          <w:t xml:space="preserve">Перечень мероприятий по строительству, реконструкции, техническому перевооружению и (или) модернизации тепловых сетей и сооружений на них</w:t>
        </w:r>
        <w:r>
          <w:tab/>
        </w:r>
        <w:r>
          <w:fldChar w:fldCharType="begin"/>
        </w:r>
        <w:r>
          <w:instrText xml:space="preserve"> PAGEREF _Toc165540865 \h </w:instrText>
        </w:r>
        <w:r>
          <w:fldChar w:fldCharType="separate"/>
        </w:r>
        <w:r>
          <w:t xml:space="preserve">115</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66" w:anchor="_Toc165540866" w:history="1">
        <w:r>
          <w:rPr>
            <w:rStyle w:val="1267"/>
            <w:lang w:eastAsia="ru-RU"/>
          </w:rPr>
          <w:t xml:space="preserve">16.3 </w:t>
        </w:r>
        <w:r>
          <w:rPr>
            <w:rStyle w:val="1267"/>
          </w:rPr>
          <w:t xml:space="preserve">Перечень мероприятий, обеспечивающих переход от открытых систем теплоснабжения (горячего водоснабжения) на закрытые системы горячего </w:t>
        </w:r>
        <w:r>
          <w:rPr>
            <w:rStyle w:val="1267"/>
            <w:spacing w:val="-2"/>
          </w:rPr>
          <w:t xml:space="preserve">водоснабжения</w:t>
        </w:r>
        <w:r>
          <w:tab/>
        </w:r>
        <w:r>
          <w:fldChar w:fldCharType="begin"/>
        </w:r>
        <w:r>
          <w:instrText xml:space="preserve"> PAGEREF _Toc165540866 \h </w:instrText>
        </w:r>
        <w:r>
          <w:fldChar w:fldCharType="separate"/>
        </w:r>
        <w:r>
          <w:t xml:space="preserve">115</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67" w:anchor="_Toc165540867" w:history="1">
        <w:r>
          <w:rPr>
            <w:rStyle w:val="1267"/>
          </w:rPr>
          <w:t xml:space="preserve">Глава</w:t>
        </w:r>
        <w:r>
          <w:rPr>
            <w:rStyle w:val="1267"/>
            <w:spacing w:val="-5"/>
          </w:rPr>
          <w:t xml:space="preserve"> </w:t>
        </w:r>
        <w:r>
          <w:rPr>
            <w:rStyle w:val="1267"/>
          </w:rPr>
          <w:t xml:space="preserve">17</w:t>
        </w:r>
        <w:r>
          <w:rPr>
            <w:rStyle w:val="1267"/>
            <w:spacing w:val="5"/>
          </w:rPr>
          <w:t xml:space="preserve"> </w:t>
        </w:r>
        <w:r>
          <w:rPr>
            <w:rStyle w:val="1267"/>
          </w:rPr>
          <w:t xml:space="preserve">Замечания</w:t>
        </w:r>
        <w:r>
          <w:rPr>
            <w:rStyle w:val="1267"/>
            <w:spacing w:val="-2"/>
          </w:rPr>
          <w:t xml:space="preserve"> </w:t>
        </w:r>
        <w:r>
          <w:rPr>
            <w:rStyle w:val="1267"/>
          </w:rPr>
          <w:t xml:space="preserve">и</w:t>
        </w:r>
        <w:r>
          <w:rPr>
            <w:rStyle w:val="1267"/>
            <w:spacing w:val="-2"/>
          </w:rPr>
          <w:t xml:space="preserve"> </w:t>
        </w:r>
        <w:r>
          <w:rPr>
            <w:rStyle w:val="1267"/>
          </w:rPr>
          <w:t xml:space="preserve">предложения</w:t>
        </w:r>
        <w:r>
          <w:rPr>
            <w:rStyle w:val="1267"/>
            <w:spacing w:val="-1"/>
          </w:rPr>
          <w:t xml:space="preserve"> </w:t>
        </w:r>
        <w:r>
          <w:rPr>
            <w:rStyle w:val="1267"/>
          </w:rPr>
          <w:t xml:space="preserve">к</w:t>
        </w:r>
        <w:r>
          <w:rPr>
            <w:rStyle w:val="1267"/>
            <w:spacing w:val="-2"/>
          </w:rPr>
          <w:t xml:space="preserve"> </w:t>
        </w:r>
        <w:r>
          <w:rPr>
            <w:rStyle w:val="1267"/>
          </w:rPr>
          <w:t xml:space="preserve">проекту</w:t>
        </w:r>
        <w:r>
          <w:rPr>
            <w:rStyle w:val="1267"/>
            <w:spacing w:val="-2"/>
          </w:rPr>
          <w:t xml:space="preserve"> </w:t>
        </w:r>
        <w:r>
          <w:rPr>
            <w:rStyle w:val="1267"/>
          </w:rPr>
          <w:t xml:space="preserve">схемы</w:t>
        </w:r>
        <w:r>
          <w:rPr>
            <w:rStyle w:val="1267"/>
            <w:spacing w:val="-2"/>
          </w:rPr>
          <w:t xml:space="preserve"> теплоснабжения</w:t>
        </w:r>
        <w:r>
          <w:tab/>
        </w:r>
        <w:r>
          <w:fldChar w:fldCharType="begin"/>
        </w:r>
        <w:r>
          <w:instrText xml:space="preserve"> PAGEREF _Toc165540867 \h </w:instrText>
        </w:r>
        <w:r>
          <w:fldChar w:fldCharType="separate"/>
        </w:r>
        <w:r>
          <w:t xml:space="preserve">116</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68" w:anchor="_Toc165540868" w:history="1">
        <w:r>
          <w:rPr>
            <w:rStyle w:val="1267"/>
            <w:lang w:eastAsia="ru-RU"/>
          </w:rPr>
          <w:t xml:space="preserve">17.1 </w:t>
        </w:r>
        <w:r>
          <w:rPr>
            <w:rStyle w:val="1267"/>
          </w:rPr>
          <w:t xml:space="preserve">Перечень</w:t>
        </w:r>
        <w:r>
          <w:rPr>
            <w:rStyle w:val="1267"/>
            <w:spacing w:val="40"/>
          </w:rPr>
          <w:t xml:space="preserve"> </w:t>
        </w:r>
        <w:r>
          <w:rPr>
            <w:rStyle w:val="1267"/>
          </w:rPr>
          <w:t xml:space="preserve">всех</w:t>
        </w:r>
        <w:r>
          <w:rPr>
            <w:rStyle w:val="1267"/>
            <w:spacing w:val="40"/>
          </w:rPr>
          <w:t xml:space="preserve"> </w:t>
        </w:r>
        <w:r>
          <w:rPr>
            <w:rStyle w:val="1267"/>
          </w:rPr>
          <w:t xml:space="preserve">замечаний</w:t>
        </w:r>
        <w:r>
          <w:rPr>
            <w:rStyle w:val="1267"/>
            <w:spacing w:val="40"/>
          </w:rPr>
          <w:t xml:space="preserve"> </w:t>
        </w:r>
        <w:r>
          <w:rPr>
            <w:rStyle w:val="1267"/>
          </w:rPr>
          <w:t xml:space="preserve">и</w:t>
        </w:r>
        <w:r>
          <w:rPr>
            <w:rStyle w:val="1267"/>
            <w:spacing w:val="40"/>
          </w:rPr>
          <w:t xml:space="preserve"> </w:t>
        </w:r>
        <w:r>
          <w:rPr>
            <w:rStyle w:val="1267"/>
          </w:rPr>
          <w:t xml:space="preserve">предложений,</w:t>
        </w:r>
        <w:r>
          <w:rPr>
            <w:rStyle w:val="1267"/>
            <w:spacing w:val="40"/>
          </w:rPr>
          <w:t xml:space="preserve"> </w:t>
        </w:r>
        <w:r>
          <w:rPr>
            <w:rStyle w:val="1267"/>
          </w:rPr>
          <w:t xml:space="preserve">поступивших</w:t>
        </w:r>
        <w:r>
          <w:rPr>
            <w:rStyle w:val="1267"/>
            <w:spacing w:val="40"/>
          </w:rPr>
          <w:t xml:space="preserve"> </w:t>
        </w:r>
        <w:r>
          <w:rPr>
            <w:rStyle w:val="1267"/>
          </w:rPr>
          <w:t xml:space="preserve">при</w:t>
        </w:r>
        <w:r>
          <w:rPr>
            <w:rStyle w:val="1267"/>
            <w:spacing w:val="40"/>
          </w:rPr>
          <w:t xml:space="preserve"> </w:t>
        </w:r>
        <w:r>
          <w:rPr>
            <w:rStyle w:val="1267"/>
          </w:rPr>
          <w:t xml:space="preserve">разработке,</w:t>
        </w:r>
        <w:r>
          <w:rPr>
            <w:rStyle w:val="1267"/>
            <w:spacing w:val="80"/>
          </w:rPr>
          <w:t xml:space="preserve"> </w:t>
        </w:r>
        <w:r>
          <w:rPr>
            <w:rStyle w:val="1267"/>
          </w:rPr>
          <w:t xml:space="preserve">утверждении и актуализации схемы теплоснабжения</w:t>
        </w:r>
        <w:r>
          <w:tab/>
        </w:r>
        <w:r>
          <w:fldChar w:fldCharType="begin"/>
        </w:r>
        <w:r>
          <w:instrText xml:space="preserve"> PAGEREF _Toc165540868 \h </w:instrText>
        </w:r>
        <w:r>
          <w:fldChar w:fldCharType="separate"/>
        </w:r>
        <w:r>
          <w:t xml:space="preserve">116</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69" w:anchor="_Toc165540869" w:history="1">
        <w:r>
          <w:rPr>
            <w:rStyle w:val="1267"/>
            <w:lang w:eastAsia="ru-RU"/>
          </w:rPr>
          <w:t xml:space="preserve">17.2 </w:t>
        </w:r>
        <w:r>
          <w:rPr>
            <w:rStyle w:val="1267"/>
          </w:rPr>
          <w:t xml:space="preserve">Ответы</w:t>
        </w:r>
        <w:r>
          <w:rPr>
            <w:rStyle w:val="1267"/>
            <w:spacing w:val="80"/>
          </w:rPr>
          <w:t xml:space="preserve"> </w:t>
        </w:r>
        <w:r>
          <w:rPr>
            <w:rStyle w:val="1267"/>
          </w:rPr>
          <w:t xml:space="preserve">разработчиков</w:t>
        </w:r>
        <w:r>
          <w:rPr>
            <w:rStyle w:val="1267"/>
            <w:spacing w:val="80"/>
          </w:rPr>
          <w:t xml:space="preserve"> </w:t>
        </w:r>
        <w:r>
          <w:rPr>
            <w:rStyle w:val="1267"/>
          </w:rPr>
          <w:t xml:space="preserve">проекта</w:t>
        </w:r>
        <w:r>
          <w:rPr>
            <w:rStyle w:val="1267"/>
            <w:spacing w:val="80"/>
          </w:rPr>
          <w:t xml:space="preserve"> </w:t>
        </w:r>
        <w:r>
          <w:rPr>
            <w:rStyle w:val="1267"/>
          </w:rPr>
          <w:t xml:space="preserve">схемы</w:t>
        </w:r>
        <w:r>
          <w:rPr>
            <w:rStyle w:val="1267"/>
            <w:spacing w:val="80"/>
          </w:rPr>
          <w:t xml:space="preserve"> </w:t>
        </w:r>
        <w:r>
          <w:rPr>
            <w:rStyle w:val="1267"/>
          </w:rPr>
          <w:t xml:space="preserve">теплоснабжения</w:t>
        </w:r>
        <w:r>
          <w:rPr>
            <w:rStyle w:val="1267"/>
            <w:spacing w:val="80"/>
          </w:rPr>
          <w:t xml:space="preserve"> </w:t>
        </w:r>
        <w:r>
          <w:rPr>
            <w:rStyle w:val="1267"/>
          </w:rPr>
          <w:t xml:space="preserve">на</w:t>
        </w:r>
        <w:r>
          <w:rPr>
            <w:rStyle w:val="1267"/>
            <w:spacing w:val="80"/>
          </w:rPr>
          <w:t xml:space="preserve"> </w:t>
        </w:r>
        <w:r>
          <w:rPr>
            <w:rStyle w:val="1267"/>
          </w:rPr>
          <w:t xml:space="preserve">замечания</w:t>
        </w:r>
        <w:r>
          <w:rPr>
            <w:rStyle w:val="1267"/>
            <w:spacing w:val="80"/>
          </w:rPr>
          <w:t xml:space="preserve"> </w:t>
        </w:r>
        <w:r>
          <w:rPr>
            <w:rStyle w:val="1267"/>
          </w:rPr>
          <w:t xml:space="preserve">и </w:t>
        </w:r>
        <w:r>
          <w:rPr>
            <w:rStyle w:val="1267"/>
            <w:spacing w:val="-2"/>
          </w:rPr>
          <w:t xml:space="preserve">предложения</w:t>
        </w:r>
        <w:r>
          <w:tab/>
        </w:r>
        <w:r>
          <w:fldChar w:fldCharType="begin"/>
        </w:r>
        <w:r>
          <w:instrText xml:space="preserve"> PAGEREF _Toc165540869 \h </w:instrText>
        </w:r>
        <w:r>
          <w:fldChar w:fldCharType="separate"/>
        </w:r>
        <w:r>
          <w:t xml:space="preserve">116</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70" w:anchor="_Toc165540870" w:history="1">
        <w:r>
          <w:rPr>
            <w:rStyle w:val="1267"/>
            <w:lang w:eastAsia="ru-RU"/>
          </w:rPr>
          <w:t xml:space="preserve">17.3 </w:t>
        </w:r>
        <w:r>
          <w:rPr>
            <w:rStyle w:val="1267"/>
          </w:rPr>
          <w:t xml:space="preserve">Перечень учтённых замечаний и предложений, а также реестр изменений, внесённых в разделы схемы теплоснабжения и главы обосновывающих материалов к схеме теплоснабжения</w:t>
        </w:r>
        <w:r>
          <w:tab/>
        </w:r>
        <w:r>
          <w:fldChar w:fldCharType="begin"/>
        </w:r>
        <w:r>
          <w:instrText xml:space="preserve"> PAGEREF _Toc165540870 \h </w:instrText>
        </w:r>
        <w:r>
          <w:fldChar w:fldCharType="separate"/>
        </w:r>
        <w:r>
          <w:t xml:space="preserve">116</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rPr>
          <w:rFonts w:asciiTheme="minorHAnsi" w:hAnsiTheme="minorHAnsi" w:eastAsiaTheme="minorEastAsia"/>
          <w:sz w:val="22"/>
          <w:lang w:eastAsia="ru-RU"/>
        </w:rPr>
      </w:pPr>
      <w:r/>
      <w:hyperlink w:tooltip="#_Toc165540871" w:anchor="_Toc165540871" w:history="1">
        <w:r>
          <w:rPr>
            <w:rStyle w:val="1267"/>
          </w:rPr>
          <w:t xml:space="preserve">Глава</w:t>
        </w:r>
        <w:r>
          <w:rPr>
            <w:rStyle w:val="1267"/>
            <w:spacing w:val="-3"/>
          </w:rPr>
          <w:t xml:space="preserve"> </w:t>
        </w:r>
        <w:r>
          <w:rPr>
            <w:rStyle w:val="1267"/>
          </w:rPr>
          <w:t xml:space="preserve">18 Сводный</w:t>
        </w:r>
        <w:r>
          <w:rPr>
            <w:rStyle w:val="1267"/>
            <w:spacing w:val="80"/>
          </w:rPr>
          <w:t xml:space="preserve"> </w:t>
        </w:r>
        <w:r>
          <w:rPr>
            <w:rStyle w:val="1267"/>
          </w:rPr>
          <w:t xml:space="preserve">том</w:t>
        </w:r>
        <w:r>
          <w:rPr>
            <w:rStyle w:val="1267"/>
            <w:spacing w:val="80"/>
          </w:rPr>
          <w:t xml:space="preserve"> </w:t>
        </w:r>
        <w:r>
          <w:rPr>
            <w:rStyle w:val="1267"/>
          </w:rPr>
          <w:t xml:space="preserve">изменений,</w:t>
        </w:r>
        <w:r>
          <w:rPr>
            <w:rStyle w:val="1267"/>
            <w:spacing w:val="80"/>
          </w:rPr>
          <w:t xml:space="preserve"> </w:t>
        </w:r>
        <w:r>
          <w:rPr>
            <w:rStyle w:val="1267"/>
          </w:rPr>
          <w:t xml:space="preserve">выполненных</w:t>
        </w:r>
        <w:r>
          <w:rPr>
            <w:rStyle w:val="1267"/>
            <w:spacing w:val="80"/>
          </w:rPr>
          <w:t xml:space="preserve"> </w:t>
        </w:r>
        <w:r>
          <w:rPr>
            <w:rStyle w:val="1267"/>
          </w:rPr>
          <w:t xml:space="preserve">в</w:t>
        </w:r>
        <w:r>
          <w:rPr>
            <w:rStyle w:val="1267"/>
            <w:spacing w:val="80"/>
          </w:rPr>
          <w:t xml:space="preserve"> </w:t>
        </w:r>
        <w:r>
          <w:rPr>
            <w:rStyle w:val="1267"/>
          </w:rPr>
          <w:t xml:space="preserve">доработанной</w:t>
        </w:r>
        <w:r>
          <w:rPr>
            <w:rStyle w:val="1267"/>
            <w:spacing w:val="80"/>
          </w:rPr>
          <w:t xml:space="preserve"> </w:t>
        </w:r>
        <w:r>
          <w:rPr>
            <w:rStyle w:val="1267"/>
          </w:rPr>
          <w:t xml:space="preserve">и</w:t>
        </w:r>
        <w:r>
          <w:rPr>
            <w:rStyle w:val="1267"/>
            <w:spacing w:val="80"/>
          </w:rPr>
          <w:t xml:space="preserve"> </w:t>
        </w:r>
        <w:r>
          <w:rPr>
            <w:rStyle w:val="1267"/>
          </w:rPr>
          <w:t xml:space="preserve">(или) актуализированной схеме теплоснабжения</w:t>
        </w:r>
        <w:r>
          <w:tab/>
        </w:r>
        <w:r>
          <w:fldChar w:fldCharType="begin"/>
        </w:r>
        <w:r>
          <w:instrText xml:space="preserve"> PAGEREF _Toc165540871 \h </w:instrText>
        </w:r>
        <w:r>
          <w:fldChar w:fldCharType="separate"/>
        </w:r>
        <w:r>
          <w:t xml:space="preserve">117</w:t>
        </w:r>
        <w:r>
          <w:fldChar w:fldCharType="end"/>
        </w:r>
      </w:hyperlink>
      <w:r>
        <w:rPr>
          <w:rFonts w:asciiTheme="minorHAnsi" w:hAnsiTheme="minorHAnsi" w:eastAsiaTheme="minorEastAsia"/>
          <w:sz w:val="22"/>
          <w:lang w:eastAsia="ru-RU"/>
        </w:rPr>
      </w:r>
      <w:r>
        <w:rPr>
          <w:rFonts w:asciiTheme="minorHAnsi" w:hAnsiTheme="minorHAnsi" w:eastAsiaTheme="minorEastAsia"/>
          <w:sz w:val="22"/>
          <w:lang w:eastAsia="ru-RU"/>
        </w:rPr>
      </w:r>
    </w:p>
    <w:p>
      <w:pPr>
        <w:pStyle w:val="1265"/>
        <w:tabs>
          <w:tab w:val="right" w:pos="9860" w:leader="dot"/>
        </w:tabs>
      </w:pPr>
      <w:r/>
      <w:hyperlink w:tooltip="#_Toc165540872" w:anchor="_Toc165540872" w:history="1">
        <w:r>
          <w:rPr>
            <w:rStyle w:val="1267"/>
            <w:lang w:eastAsia="ru-RU"/>
          </w:rPr>
          <w:t xml:space="preserve">18.2 </w:t>
        </w:r>
        <w:r>
          <w:rPr>
            <w:rStyle w:val="1267"/>
          </w:rPr>
          <w:t xml:space="preserve">Мероприятия</w:t>
        </w:r>
        <w:r>
          <w:rPr>
            <w:rStyle w:val="1267"/>
            <w:spacing w:val="80"/>
          </w:rPr>
          <w:t xml:space="preserve"> </w:t>
        </w:r>
        <w:r>
          <w:rPr>
            <w:rStyle w:val="1267"/>
          </w:rPr>
          <w:t xml:space="preserve">из</w:t>
        </w:r>
        <w:r>
          <w:rPr>
            <w:rStyle w:val="1267"/>
            <w:spacing w:val="80"/>
          </w:rPr>
          <w:t xml:space="preserve"> </w:t>
        </w:r>
        <w:r>
          <w:rPr>
            <w:rStyle w:val="1267"/>
          </w:rPr>
          <w:t xml:space="preserve">утверждённой</w:t>
        </w:r>
        <w:r>
          <w:rPr>
            <w:rStyle w:val="1267"/>
            <w:spacing w:val="80"/>
          </w:rPr>
          <w:t xml:space="preserve"> </w:t>
        </w:r>
        <w:r>
          <w:rPr>
            <w:rStyle w:val="1267"/>
          </w:rPr>
          <w:t xml:space="preserve">схемы</w:t>
        </w:r>
        <w:r>
          <w:rPr>
            <w:rStyle w:val="1267"/>
            <w:spacing w:val="80"/>
          </w:rPr>
          <w:t xml:space="preserve"> </w:t>
        </w:r>
        <w:r>
          <w:rPr>
            <w:rStyle w:val="1267"/>
          </w:rPr>
          <w:t xml:space="preserve">теплоснабжения,</w:t>
        </w:r>
        <w:r>
          <w:rPr>
            <w:rStyle w:val="1267"/>
            <w:spacing w:val="80"/>
          </w:rPr>
          <w:t xml:space="preserve"> </w:t>
        </w:r>
        <w:r>
          <w:rPr>
            <w:rStyle w:val="1267"/>
          </w:rPr>
          <w:t xml:space="preserve">которые</w:t>
        </w:r>
        <w:r>
          <w:rPr>
            <w:rStyle w:val="1267"/>
            <w:spacing w:val="80"/>
          </w:rPr>
          <w:t xml:space="preserve"> </w:t>
        </w:r>
        <w:r>
          <w:rPr>
            <w:rStyle w:val="1267"/>
          </w:rPr>
          <w:t xml:space="preserve">были</w:t>
        </w:r>
        <w:r>
          <w:rPr>
            <w:rStyle w:val="1267"/>
            <w:spacing w:val="40"/>
          </w:rPr>
          <w:t xml:space="preserve"> </w:t>
        </w:r>
        <w:r>
          <w:rPr>
            <w:rStyle w:val="1267"/>
          </w:rPr>
          <w:t xml:space="preserve">выполнены за период, прошедший с даты утверждения схемы теплоснабжения</w:t>
        </w:r>
        <w:r>
          <w:tab/>
        </w:r>
        <w:r>
          <w:fldChar w:fldCharType="begin"/>
        </w:r>
        <w:r>
          <w:instrText xml:space="preserve"> PAGEREF _Toc165540872 \h </w:instrText>
        </w:r>
        <w:r>
          <w:fldChar w:fldCharType="separate"/>
        </w:r>
        <w:r>
          <w:t xml:space="preserve">117</w:t>
        </w:r>
        <w:r>
          <w:fldChar w:fldCharType="end"/>
        </w:r>
      </w:hyperlink>
      <w:r/>
      <w:r/>
    </w:p>
    <w:p>
      <w:pPr>
        <w:ind w:firstLine="284"/>
        <w:rPr>
          <w:rFonts w:eastAsiaTheme="minorHAnsi" w:cstheme="minorBidi"/>
          <w:sz w:val="20"/>
        </w:rPr>
      </w:pPr>
      <w:r>
        <w:rPr>
          <w:sz w:val="20"/>
          <w:szCs w:val="20"/>
        </w:rPr>
        <w:t xml:space="preserve">Приложение</w:t>
      </w:r>
      <w:r>
        <w:rPr>
          <w:rFonts w:eastAsiaTheme="minorHAnsi" w:cstheme="minorBidi"/>
          <w:sz w:val="20"/>
        </w:rPr>
        <w:t xml:space="preserve">…………………………………………………………………………………………………………....118</w:t>
      </w:r>
      <w:r>
        <w:rPr>
          <w:rFonts w:eastAsiaTheme="minorHAnsi" w:cstheme="minorBidi"/>
          <w:sz w:val="20"/>
        </w:rPr>
      </w:r>
      <w:r>
        <w:rPr>
          <w:rFonts w:eastAsiaTheme="minorHAnsi" w:cstheme="minorBidi"/>
          <w:sz w:val="20"/>
        </w:rPr>
      </w:r>
    </w:p>
    <w:p>
      <w:pPr>
        <w:rPr>
          <w:rFonts w:eastAsiaTheme="minorEastAsia"/>
        </w:rPr>
      </w:pPr>
      <w:r>
        <w:rPr>
          <w:rFonts w:eastAsiaTheme="minorEastAsia"/>
        </w:rPr>
      </w:r>
      <w:r>
        <w:rPr>
          <w:rFonts w:eastAsiaTheme="minorEastAsia"/>
        </w:rPr>
      </w:r>
      <w:r>
        <w:rPr>
          <w:rFonts w:eastAsiaTheme="minorEastAsia"/>
        </w:rPr>
      </w:r>
    </w:p>
    <w:p>
      <w:pPr>
        <w:jc w:val="center"/>
        <w:sectPr>
          <w:footerReference w:type="default" r:id="rId9"/>
          <w:footnotePr/>
          <w:endnotePr/>
          <w:type w:val="nextPage"/>
          <w:pgSz w:w="11910" w:h="16840" w:orient="portrait"/>
          <w:pgMar w:top="851" w:right="740" w:bottom="993" w:left="1300" w:header="0" w:footer="758" w:gutter="0"/>
          <w:pgNumType w:start="1"/>
          <w:cols w:num="1" w:sep="0" w:space="720" w:equalWidth="1"/>
          <w:docGrid w:linePitch="360"/>
        </w:sectPr>
      </w:pPr>
      <w:r>
        <w:fldChar w:fldCharType="end"/>
      </w:r>
      <w:r/>
    </w:p>
    <w:p>
      <w:pPr>
        <w:sectPr>
          <w:footnotePr/>
          <w:endnotePr/>
          <w:type w:val="continuous"/>
          <w:pgSz w:w="11910" w:h="16840" w:orient="portrait"/>
          <w:pgMar w:top="1046" w:right="740" w:bottom="1140" w:left="1300" w:header="0" w:footer="758" w:gutter="0"/>
          <w:cols w:num="1" w:sep="0" w:space="720" w:equalWidth="1"/>
          <w:docGrid w:linePitch="360"/>
        </w:sectPr>
      </w:pPr>
      <w:r/>
      <w:r/>
    </w:p>
    <w:p>
      <w:pPr>
        <w:rPr>
          <w:b/>
          <w:bCs/>
          <w:sz w:val="24"/>
          <w:szCs w:val="24"/>
        </w:rPr>
      </w:pPr>
      <w:r/>
      <w:bookmarkStart w:id="3" w:name="_bookmark1"/>
      <w:r/>
      <w:bookmarkStart w:id="4" w:name="_bookmark2"/>
      <w:r/>
      <w:bookmarkStart w:id="5" w:name="_bookmark3"/>
      <w:r/>
      <w:bookmarkStart w:id="6" w:name="_Toc130231868"/>
      <w:r/>
      <w:bookmarkStart w:id="7" w:name="_Toc165540651"/>
      <w:r/>
      <w:bookmarkEnd w:id="3"/>
      <w:r/>
      <w:bookmarkEnd w:id="4"/>
      <w:r/>
      <w:bookmarkEnd w:id="5"/>
      <w:r>
        <w:br w:type="page" w:clear="all"/>
      </w:r>
      <w:r>
        <w:rPr>
          <w:b/>
          <w:bCs/>
          <w:sz w:val="24"/>
          <w:szCs w:val="24"/>
        </w:rPr>
      </w:r>
      <w:r>
        <w:rPr>
          <w:b/>
          <w:bCs/>
          <w:sz w:val="24"/>
          <w:szCs w:val="24"/>
        </w:rPr>
      </w:r>
    </w:p>
    <w:p>
      <w:pPr>
        <w:pStyle w:val="1248"/>
        <w:ind w:right="108" w:firstLine="707"/>
        <w:spacing w:before="71"/>
      </w:pPr>
      <w:r>
        <w:t xml:space="preserve">Глава</w:t>
      </w:r>
      <w:r>
        <w:rPr>
          <w:spacing w:val="-5"/>
        </w:rPr>
        <w:t xml:space="preserve"> </w:t>
      </w:r>
      <w:r>
        <w:t xml:space="preserve">1 Существующее</w:t>
      </w:r>
      <w:r>
        <w:rPr>
          <w:spacing w:val="-10"/>
        </w:rPr>
        <w:t xml:space="preserve"> </w:t>
      </w:r>
      <w:r>
        <w:t xml:space="preserve">положение</w:t>
      </w:r>
      <w:r>
        <w:rPr>
          <w:spacing w:val="-12"/>
        </w:rPr>
        <w:t xml:space="preserve"> </w:t>
      </w:r>
      <w:r>
        <w:t xml:space="preserve">в</w:t>
      </w:r>
      <w:r>
        <w:rPr>
          <w:spacing w:val="-11"/>
        </w:rPr>
        <w:t xml:space="preserve"> </w:t>
      </w:r>
      <w:r>
        <w:t xml:space="preserve">сфере</w:t>
      </w:r>
      <w:r>
        <w:rPr>
          <w:spacing w:val="-12"/>
        </w:rPr>
        <w:t xml:space="preserve"> </w:t>
      </w:r>
      <w:r>
        <w:t xml:space="preserve">производства,</w:t>
      </w:r>
      <w:r>
        <w:rPr>
          <w:spacing w:val="-11"/>
        </w:rPr>
        <w:t xml:space="preserve"> </w:t>
      </w:r>
      <w:r>
        <w:t xml:space="preserve">передачи</w:t>
      </w:r>
      <w:r>
        <w:rPr>
          <w:spacing w:val="-10"/>
        </w:rPr>
        <w:t xml:space="preserve"> </w:t>
      </w:r>
      <w:r>
        <w:t xml:space="preserve">и</w:t>
      </w:r>
      <w:r>
        <w:rPr>
          <w:spacing w:val="-10"/>
        </w:rPr>
        <w:t xml:space="preserve"> </w:t>
      </w:r>
      <w:r>
        <w:t xml:space="preserve">потребления тепловой энергии для целей теплоснабжения</w:t>
      </w:r>
      <w:bookmarkEnd w:id="6"/>
      <w:r/>
      <w:bookmarkEnd w:id="7"/>
      <w:r/>
      <w:r/>
    </w:p>
    <w:p>
      <w:pPr>
        <w:pStyle w:val="1248"/>
        <w:ind w:left="1194" w:hanging="343"/>
        <w:spacing w:before="120"/>
      </w:pPr>
      <w:r/>
      <w:bookmarkStart w:id="8" w:name="_bookmark4"/>
      <w:r/>
      <w:bookmarkStart w:id="9" w:name="_Toc130231869"/>
      <w:r/>
      <w:bookmarkStart w:id="10" w:name="_Toc165540652"/>
      <w:r/>
      <w:bookmarkEnd w:id="8"/>
      <w:r>
        <w:rPr>
          <w:lang w:eastAsia="ru-RU"/>
        </w:rPr>
        <w:t xml:space="preserve">1.1 </w:t>
      </w:r>
      <w:r>
        <w:t xml:space="preserve">Функциональная</w:t>
      </w:r>
      <w:r>
        <w:rPr>
          <w:spacing w:val="-5"/>
        </w:rPr>
        <w:t xml:space="preserve"> </w:t>
      </w:r>
      <w:r>
        <w:t xml:space="preserve">структура</w:t>
      </w:r>
      <w:r>
        <w:rPr>
          <w:spacing w:val="-5"/>
        </w:rPr>
        <w:t xml:space="preserve"> </w:t>
      </w:r>
      <w:r>
        <w:rPr>
          <w:spacing w:val="-2"/>
        </w:rPr>
        <w:t xml:space="preserve">теплоснабжения</w:t>
      </w:r>
      <w:bookmarkEnd w:id="9"/>
      <w:r/>
      <w:bookmarkEnd w:id="10"/>
      <w:r/>
      <w:r/>
    </w:p>
    <w:p>
      <w:pPr>
        <w:pStyle w:val="1248"/>
        <w:ind w:right="103" w:firstLine="733"/>
        <w:spacing w:before="120"/>
      </w:pPr>
      <w:r/>
      <w:bookmarkStart w:id="11" w:name="_bookmark5"/>
      <w:r/>
      <w:bookmarkStart w:id="12" w:name="_Toc130231870"/>
      <w:r/>
      <w:bookmarkStart w:id="13" w:name="_Toc165540653"/>
      <w:r/>
      <w:bookmarkEnd w:id="11"/>
      <w:r>
        <w:rPr>
          <w:lang w:eastAsia="ru-RU"/>
        </w:rPr>
        <w:t xml:space="preserve">1.1.1 </w:t>
      </w:r>
      <w:r>
        <w:t xml:space="preserve">Описание зон деятельности (эксплуатационной ответственности) теплоснабжающих и теплосетевых организаций и описание структуры договорных отношений между ними</w:t>
      </w:r>
      <w:bookmarkEnd w:id="12"/>
      <w:r/>
      <w:bookmarkEnd w:id="13"/>
      <w:r/>
      <w:r/>
    </w:p>
    <w:p>
      <w:pPr>
        <w:pStyle w:val="1247"/>
        <w:ind w:left="119" w:right="113" w:firstLine="709"/>
        <w:jc w:val="both"/>
        <w:spacing w:before="120"/>
      </w:pPr>
      <w:r>
        <w:t xml:space="preserve">Основой организации теплоснабжения муниципального образования </w:t>
      </w:r>
      <w:r>
        <w:t xml:space="preserve">Юргамышский</w:t>
      </w:r>
      <w:r>
        <w:t xml:space="preserve"> муниципальный округ является сочетание централизованных и автономных систем теплоснабжения.</w:t>
      </w:r>
      <w:r/>
    </w:p>
    <w:p>
      <w:pPr>
        <w:pStyle w:val="1247"/>
        <w:ind w:left="119" w:right="89" w:firstLine="709"/>
        <w:jc w:val="both"/>
      </w:pPr>
      <w:r>
        <w:t xml:space="preserve">Потребители тепловой энергии </w:t>
      </w:r>
      <w:r>
        <w:t xml:space="preserve">Юргамышского</w:t>
      </w:r>
      <w:r>
        <w:t xml:space="preserve"> муниципального округа пользующиеся централизованной системой теплоснабжения делятся на две группы.</w:t>
      </w:r>
      <w:r/>
    </w:p>
    <w:p>
      <w:pPr>
        <w:pStyle w:val="1247"/>
        <w:ind w:left="119" w:right="89" w:firstLine="709"/>
        <w:jc w:val="both"/>
      </w:pPr>
      <w:r>
        <w:t xml:space="preserve">В первой - учреждения социально-бюджетной сферы. Участки системы теплоснабжения учреждений социально-бюджетной сферы расположены в р.п. </w:t>
      </w:r>
      <w:r>
        <w:t xml:space="preserve">Юргамыш, п. Новый Мир, с. Кислянское, с. Чинеево, с. Кипель, с. Горохово, с. Гагарье, с. Скоблино, с. Красный Уралец, с. Караси, с. Вилкино, с. Губерля, с. М.Белое, </w:t>
      </w:r>
      <w:r>
        <w:t xml:space="preserve">д. Фадюшино</w:t>
      </w:r>
      <w:r>
        <w:t xml:space="preserve">, п. Лесные Горки. </w:t>
      </w:r>
      <w:r/>
    </w:p>
    <w:p>
      <w:pPr>
        <w:pStyle w:val="1247"/>
        <w:ind w:left="119" w:right="89" w:firstLine="709"/>
        <w:jc w:val="both"/>
        <w:rPr>
          <w:rFonts w:eastAsia="Calibri"/>
          <w:color w:val="00000a"/>
          <w:szCs w:val="22"/>
        </w:rPr>
      </w:pPr>
      <w:r>
        <w:t xml:space="preserve">Ко второй относится население многоквартирных домов в р.п. Юргамыш, обеспечивающихся централизованным теплоснабжением от трех котельных: </w:t>
      </w:r>
      <w:r>
        <w:rPr>
          <w:rFonts w:eastAsia="Calibri"/>
          <w:color w:val="00000a"/>
          <w:szCs w:val="22"/>
        </w:rPr>
        <w:t xml:space="preserve">Котельная р.п.  Юргамыш, ул. Железнодорожная, территория тягловой подстанции ОАО «РЖД», Котельная ФКУ ИК №7 УФСИН России по Курганской области и Котельная р.п.Юргамыш, ул. Ленина, 47а ООО «</w:t>
      </w:r>
      <w:r>
        <w:rPr>
          <w:rFonts w:eastAsia="Calibri"/>
          <w:color w:val="00000a"/>
          <w:szCs w:val="22"/>
        </w:rPr>
        <w:t xml:space="preserve">ЮТЭК</w:t>
      </w:r>
      <w:r>
        <w:rPr>
          <w:rFonts w:eastAsia="Calibri"/>
          <w:color w:val="00000a"/>
          <w:szCs w:val="22"/>
        </w:rPr>
        <w:t xml:space="preserve">»</w:t>
      </w:r>
      <w:r>
        <w:t xml:space="preserve">;</w:t>
      </w:r>
      <w:r>
        <w:t xml:space="preserve"> а также население многоквартирных домов п. Новый Мир обеспечивающихся централизованным теплоснабжением от котельной расположенной в промышленной зоне филиала АО «Транснефть-Урал». В свою очередь Курганинско</w:t>
      </w:r>
      <w:r>
        <w:t xml:space="preserve">е</w:t>
      </w:r>
      <w:r>
        <w:t xml:space="preserve"> нефтепроводно</w:t>
      </w:r>
      <w:r>
        <w:t xml:space="preserve">е</w:t>
      </w:r>
      <w:r>
        <w:t xml:space="preserve"> управлени</w:t>
      </w:r>
      <w:r>
        <w:t xml:space="preserve">е</w:t>
      </w:r>
      <w:r>
        <w:t xml:space="preserve"> (ЛПДС «Юргамыш) филиал АО «Транснефть-Урал»</w:t>
      </w:r>
      <w:r>
        <w:t xml:space="preserve"> поставляет тепло Обществу с ограниченной ответственностью «Новомировское домоуправление».</w:t>
      </w:r>
      <w:r>
        <w:rPr>
          <w:rFonts w:eastAsia="Calibri"/>
          <w:color w:val="00000a"/>
          <w:szCs w:val="22"/>
        </w:rPr>
      </w:r>
      <w:r>
        <w:rPr>
          <w:rFonts w:eastAsia="Calibri"/>
          <w:color w:val="00000a"/>
          <w:szCs w:val="22"/>
        </w:rPr>
      </w:r>
    </w:p>
    <w:p>
      <w:pPr>
        <w:pStyle w:val="1247"/>
        <w:ind w:left="119" w:right="89" w:firstLine="709"/>
        <w:jc w:val="both"/>
      </w:pPr>
      <w:r>
        <w:t xml:space="preserve">Остальное население муниципального округа, использующее индивидуальные источники теплоснабжения, в качестве топлива используют природный газ, </w:t>
      </w:r>
      <w:r>
        <w:t xml:space="preserve">электрическую энергию, </w:t>
      </w:r>
      <w:r>
        <w:t xml:space="preserve">уголь и др</w:t>
      </w:r>
      <w:r>
        <w:t xml:space="preserve">ова</w:t>
      </w:r>
      <w:r>
        <w:t xml:space="preserve">. </w:t>
      </w:r>
      <w:r/>
    </w:p>
    <w:p>
      <w:pPr>
        <w:pStyle w:val="1247"/>
        <w:ind w:left="119" w:right="89" w:firstLine="709"/>
        <w:jc w:val="both"/>
      </w:pPr>
      <w:r>
        <w:t xml:space="preserve">К</w:t>
      </w:r>
      <w:r>
        <w:t xml:space="preserve">отельные </w:t>
      </w:r>
      <w:r>
        <w:t xml:space="preserve">Юргамышского муниципального округа </w:t>
      </w:r>
      <w:r>
        <w:t xml:space="preserve">используют для выработки тепловой энергии природный газ</w:t>
      </w:r>
      <w:r>
        <w:t xml:space="preserve">, уголь, пеллеты</w:t>
      </w:r>
      <w:r>
        <w:t xml:space="preserve">. В качестве теплоносителя применяется вода</w:t>
      </w:r>
      <w:r>
        <w:t xml:space="preserve">, пар</w:t>
      </w:r>
      <w:r>
        <w:t xml:space="preserve">.</w:t>
      </w:r>
      <w:r/>
    </w:p>
    <w:p>
      <w:pPr>
        <w:pStyle w:val="1247"/>
        <w:ind w:left="119" w:right="89" w:firstLine="709"/>
        <w:jc w:val="both"/>
      </w:pPr>
      <w:r>
        <w:t xml:space="preserve">Эксплуатацию централизо</w:t>
      </w:r>
      <w:r>
        <w:t xml:space="preserve">ванных котельных осуществляют: ЛПДС «Юргамыш», Курганское отделение Южно-Уральской железной дороги-Филиала Открытого Акционерного Общества «Российские железные дороги», ФКУ «ИК №7 Федеральной службы исполнения наказания по Курганской области» и ООО «ЮТЭК».</w:t>
      </w:r>
      <w:r/>
    </w:p>
    <w:p>
      <w:pPr>
        <w:pStyle w:val="1247"/>
        <w:ind w:left="119" w:right="89" w:firstLine="709"/>
        <w:jc w:val="both"/>
      </w:pPr>
      <w:r>
        <w:t xml:space="preserve">Децентрализованные котельные обслуживаются следующими эксплуатирующими организациями: ООО «ЖКХ Юго-Запад», ООО «Арабика», ООО «КурганТепло».</w:t>
      </w:r>
      <w:r>
        <w:t xml:space="preserve"> Собственные котельные обслуживаются сами организации такие как: котельная ГБУ "Скоблинский психоневрологический интернат", котельная ГКУ "КОПТД"</w:t>
      </w:r>
      <w:r>
        <w:t xml:space="preserve"> детское санаторное отделение в п. Лесные Горки Юргамышского района</w:t>
      </w:r>
      <w:r>
        <w:t xml:space="preserve">.</w:t>
      </w:r>
      <w:r/>
    </w:p>
    <w:p>
      <w:pPr>
        <w:pStyle w:val="1247"/>
        <w:ind w:left="119" w:right="89" w:firstLine="709"/>
        <w:jc w:val="both"/>
      </w:pPr>
      <w:r/>
      <w:r/>
    </w:p>
    <w:p>
      <w:pPr>
        <w:pStyle w:val="1248"/>
        <w:ind w:left="1373" w:hanging="522"/>
        <w:jc w:val="left"/>
      </w:pPr>
      <w:r/>
      <w:bookmarkStart w:id="14" w:name="_bookmark6"/>
      <w:r/>
      <w:bookmarkStart w:id="15" w:name="_Toc130231871"/>
      <w:r/>
      <w:bookmarkStart w:id="16" w:name="_Toc165540654"/>
      <w:r/>
      <w:bookmarkEnd w:id="14"/>
      <w:r>
        <w:rPr>
          <w:lang w:eastAsia="ru-RU"/>
        </w:rPr>
        <w:t xml:space="preserve">1.1.2 </w:t>
      </w:r>
      <w:r>
        <w:t xml:space="preserve">Описание</w:t>
      </w:r>
      <w:r>
        <w:rPr>
          <w:spacing w:val="-3"/>
        </w:rPr>
        <w:t xml:space="preserve"> </w:t>
      </w:r>
      <w:r>
        <w:t xml:space="preserve">зон</w:t>
      </w:r>
      <w:r>
        <w:rPr>
          <w:spacing w:val="-2"/>
        </w:rPr>
        <w:t xml:space="preserve"> </w:t>
      </w:r>
      <w:r>
        <w:t xml:space="preserve">действия</w:t>
      </w:r>
      <w:r>
        <w:rPr>
          <w:spacing w:val="-2"/>
        </w:rPr>
        <w:t xml:space="preserve"> </w:t>
      </w:r>
      <w:r>
        <w:t xml:space="preserve">производственных</w:t>
      </w:r>
      <w:r>
        <w:rPr>
          <w:spacing w:val="-1"/>
        </w:rPr>
        <w:t xml:space="preserve"> </w:t>
      </w:r>
      <w:r>
        <w:rPr>
          <w:spacing w:val="-2"/>
        </w:rPr>
        <w:t xml:space="preserve">котельных</w:t>
      </w:r>
      <w:bookmarkEnd w:id="15"/>
      <w:r/>
      <w:bookmarkEnd w:id="16"/>
      <w:r/>
      <w:r/>
    </w:p>
    <w:p>
      <w:pPr>
        <w:pStyle w:val="1247"/>
        <w:ind w:left="142" w:firstLine="684"/>
        <w:jc w:val="both"/>
        <w:spacing w:before="115"/>
      </w:pPr>
      <w:r>
        <w:rPr>
          <w:spacing w:val="-2"/>
        </w:rPr>
        <w:t xml:space="preserve">Теплоснабжение производственных объектов предприятий осуществляется от собственных котельных, размещенных на территории предприятий.  </w:t>
      </w:r>
      <w:r/>
    </w:p>
    <w:p>
      <w:pPr>
        <w:pStyle w:val="1247"/>
        <w:tabs>
          <w:tab w:val="left" w:pos="6313" w:leader="none"/>
        </w:tabs>
        <w:rPr>
          <w:sz w:val="27"/>
        </w:rPr>
      </w:pPr>
      <w:r>
        <w:rPr>
          <w:sz w:val="27"/>
        </w:rPr>
        <w:tab/>
      </w:r>
      <w:r>
        <w:rPr>
          <w:sz w:val="27"/>
        </w:rPr>
      </w:r>
      <w:r>
        <w:rPr>
          <w:sz w:val="27"/>
        </w:rPr>
      </w:r>
    </w:p>
    <w:p>
      <w:pPr>
        <w:pStyle w:val="1248"/>
        <w:ind w:left="1373" w:hanging="522"/>
      </w:pPr>
      <w:r/>
      <w:bookmarkStart w:id="17" w:name="_bookmark7"/>
      <w:r/>
      <w:bookmarkStart w:id="18" w:name="_Toc130231872"/>
      <w:r/>
      <w:bookmarkStart w:id="19" w:name="_Toc165540655"/>
      <w:r/>
      <w:bookmarkEnd w:id="17"/>
      <w:r>
        <w:rPr>
          <w:lang w:eastAsia="ru-RU"/>
        </w:rPr>
        <w:t xml:space="preserve">1.1.3 </w:t>
      </w:r>
      <w:r>
        <w:t xml:space="preserve">Описание</w:t>
      </w:r>
      <w:r>
        <w:rPr>
          <w:spacing w:val="-6"/>
        </w:rPr>
        <w:t xml:space="preserve"> </w:t>
      </w:r>
      <w:r>
        <w:t xml:space="preserve">зон</w:t>
      </w:r>
      <w:r>
        <w:rPr>
          <w:spacing w:val="-4"/>
        </w:rPr>
        <w:t xml:space="preserve"> </w:t>
      </w:r>
      <w:r>
        <w:t xml:space="preserve">действия</w:t>
      </w:r>
      <w:r>
        <w:rPr>
          <w:spacing w:val="-2"/>
        </w:rPr>
        <w:t xml:space="preserve"> </w:t>
      </w:r>
      <w:r>
        <w:t xml:space="preserve">индивидуального</w:t>
      </w:r>
      <w:r>
        <w:rPr>
          <w:spacing w:val="-2"/>
        </w:rPr>
        <w:t xml:space="preserve"> теплоснабжения</w:t>
      </w:r>
      <w:bookmarkEnd w:id="18"/>
      <w:r/>
      <w:bookmarkEnd w:id="19"/>
      <w:r/>
      <w:r/>
    </w:p>
    <w:p>
      <w:pPr>
        <w:pStyle w:val="1247"/>
        <w:ind w:left="119" w:right="108" w:firstLine="709"/>
        <w:jc w:val="both"/>
        <w:spacing w:before="120"/>
      </w:pPr>
      <w:r>
        <w:t xml:space="preserve">Большая часть индивидуальных жилых домов оборудовано газовыми или электрическими котлами и отопительными печами, работающими на твердом топливе (уголь, дрова).</w:t>
      </w:r>
      <w:r/>
    </w:p>
    <w:p>
      <w:pPr>
        <w:pStyle w:val="1247"/>
        <w:ind w:left="119" w:right="108" w:firstLine="709"/>
        <w:jc w:val="both"/>
      </w:pPr>
      <w:r>
        <w:t xml:space="preserve">Индивидуальное отопление осуществляется от теплоснабжающих устройств без потерь </w:t>
      </w:r>
      <w:r>
        <w:t xml:space="preserve">при передаче, так как нет внешних систем транспортировки тепла. Поэтому потребление тепла при теплоснабжении от индивидуальных установок можно принять равным его производству.</w:t>
      </w:r>
      <w:r/>
    </w:p>
    <w:p>
      <w:pPr>
        <w:pStyle w:val="1247"/>
        <w:ind w:left="119" w:right="108" w:firstLine="709"/>
        <w:jc w:val="both"/>
      </w:pPr>
      <w:r>
        <w:t xml:space="preserve">Главной тенденцией децентрализованного теплоснабжения населения, производства тепла индивидуальными теплогенераторами является увеличение потребления газа. В связи с дальнейшей газификацией муниципального округа указанная тенденция будет сохраняться.</w:t>
      </w:r>
      <w:r/>
    </w:p>
    <w:p>
      <w:pPr>
        <w:pStyle w:val="1247"/>
        <w:spacing w:before="1"/>
        <w:rPr>
          <w:sz w:val="27"/>
        </w:rPr>
      </w:pPr>
      <w:r>
        <w:rPr>
          <w:sz w:val="27"/>
        </w:rPr>
      </w:r>
      <w:r>
        <w:rPr>
          <w:sz w:val="27"/>
        </w:rPr>
      </w:r>
      <w:r>
        <w:rPr>
          <w:sz w:val="27"/>
        </w:rPr>
      </w:r>
    </w:p>
    <w:p>
      <w:pPr>
        <w:pStyle w:val="1248"/>
        <w:ind w:right="110" w:firstLine="733"/>
        <w:spacing w:before="89"/>
      </w:pPr>
      <w:r/>
      <w:bookmarkStart w:id="20" w:name="_bookmark8"/>
      <w:r/>
      <w:bookmarkStart w:id="21" w:name="_Toc130231873"/>
      <w:r/>
      <w:bookmarkStart w:id="22" w:name="_Toc165540656"/>
      <w:r/>
      <w:bookmarkEnd w:id="20"/>
      <w:r>
        <w:rPr>
          <w:lang w:eastAsia="ru-RU"/>
        </w:rPr>
        <w:t xml:space="preserve">1.1.4 </w:t>
      </w:r>
      <w:r>
        <w:t xml:space="preserve">Описание изменений, произошедших в функциональной структуре теплоснабжения</w:t>
      </w:r>
      <w:r>
        <w:rPr>
          <w:spacing w:val="-14"/>
        </w:rPr>
        <w:t xml:space="preserve"> </w:t>
      </w:r>
      <w:r>
        <w:t xml:space="preserve">поселения,</w:t>
      </w:r>
      <w:r>
        <w:rPr>
          <w:spacing w:val="-14"/>
        </w:rPr>
        <w:t xml:space="preserve"> </w:t>
      </w:r>
      <w:r>
        <w:t xml:space="preserve">городского</w:t>
      </w:r>
      <w:r>
        <w:rPr>
          <w:spacing w:val="-14"/>
        </w:rPr>
        <w:t xml:space="preserve"> </w:t>
      </w:r>
      <w:r>
        <w:t xml:space="preserve">округа,</w:t>
      </w:r>
      <w:r>
        <w:rPr>
          <w:spacing w:val="-14"/>
        </w:rPr>
        <w:t xml:space="preserve"> </w:t>
      </w:r>
      <w:r>
        <w:t xml:space="preserve">города</w:t>
      </w:r>
      <w:r>
        <w:rPr>
          <w:spacing w:val="-12"/>
        </w:rPr>
        <w:t xml:space="preserve"> </w:t>
      </w:r>
      <w:r>
        <w:t xml:space="preserve">федерального</w:t>
      </w:r>
      <w:r>
        <w:rPr>
          <w:spacing w:val="-14"/>
        </w:rPr>
        <w:t xml:space="preserve"> </w:t>
      </w:r>
      <w:r>
        <w:t xml:space="preserve">значения</w:t>
      </w:r>
      <w:r>
        <w:rPr>
          <w:spacing w:val="-14"/>
        </w:rPr>
        <w:t xml:space="preserve"> </w:t>
      </w:r>
      <w:r>
        <w:t xml:space="preserve">за</w:t>
      </w:r>
      <w:r>
        <w:rPr>
          <w:spacing w:val="-15"/>
        </w:rPr>
        <w:t xml:space="preserve"> </w:t>
      </w:r>
      <w:r>
        <w:t xml:space="preserve">период, предшествующий актуализации схемы теплоснабжения</w:t>
      </w:r>
      <w:bookmarkEnd w:id="21"/>
      <w:r/>
      <w:bookmarkEnd w:id="22"/>
      <w:r/>
      <w:r/>
    </w:p>
    <w:p>
      <w:pPr>
        <w:pStyle w:val="1247"/>
        <w:ind w:left="118" w:right="107" w:firstLine="707"/>
        <w:jc w:val="both"/>
        <w:spacing w:before="116"/>
      </w:pPr>
      <w:r>
        <w:t xml:space="preserve">Ранее схема теплоснабжения </w:t>
      </w:r>
      <w:r>
        <w:t xml:space="preserve">Юргамышского</w:t>
      </w:r>
      <w:r>
        <w:t xml:space="preserve"> муниципального округа не была разработана.</w:t>
      </w:r>
      <w:r/>
    </w:p>
    <w:p>
      <w:pPr>
        <w:pStyle w:val="1247"/>
        <w:spacing w:before="7"/>
        <w:rPr>
          <w:sz w:val="16"/>
        </w:rPr>
      </w:pPr>
      <w:r>
        <w:rPr>
          <w:sz w:val="16"/>
        </w:rPr>
      </w:r>
      <w:r>
        <w:rPr>
          <w:sz w:val="16"/>
        </w:rPr>
      </w:r>
      <w:r>
        <w:rPr>
          <w:sz w:val="16"/>
        </w:rPr>
      </w:r>
    </w:p>
    <w:p>
      <w:pPr>
        <w:pStyle w:val="1248"/>
        <w:ind w:left="277" w:right="4542" w:firstLine="574"/>
      </w:pPr>
      <w:r/>
      <w:bookmarkStart w:id="23" w:name="_bookmark9"/>
      <w:r/>
      <w:bookmarkStart w:id="24" w:name="_Toc130231874"/>
      <w:r/>
      <w:bookmarkStart w:id="25" w:name="_Toc165540657"/>
      <w:r/>
      <w:bookmarkEnd w:id="23"/>
      <w:r>
        <w:rPr>
          <w:lang w:eastAsia="ru-RU"/>
        </w:rPr>
        <w:t xml:space="preserve">1.2 </w:t>
      </w:r>
      <w:r>
        <w:t xml:space="preserve">Источники</w:t>
      </w:r>
      <w:r>
        <w:rPr>
          <w:spacing w:val="-5"/>
        </w:rPr>
        <w:t xml:space="preserve"> </w:t>
      </w:r>
      <w:r>
        <w:t xml:space="preserve">тепловой</w:t>
      </w:r>
      <w:r>
        <w:rPr>
          <w:spacing w:val="-4"/>
        </w:rPr>
        <w:t xml:space="preserve"> </w:t>
      </w:r>
      <w:r>
        <w:rPr>
          <w:spacing w:val="-2"/>
        </w:rPr>
        <w:t xml:space="preserve">энергии</w:t>
      </w:r>
      <w:bookmarkEnd w:id="24"/>
      <w:r/>
      <w:bookmarkEnd w:id="25"/>
      <w:r/>
      <w:r/>
    </w:p>
    <w:p>
      <w:pPr>
        <w:pStyle w:val="1248"/>
        <w:ind w:left="277" w:right="54" w:firstLine="574"/>
        <w:spacing w:before="120"/>
      </w:pPr>
      <w:r/>
      <w:bookmarkStart w:id="26" w:name="_bookmark10"/>
      <w:r/>
      <w:bookmarkStart w:id="27" w:name="_Toc130231875"/>
      <w:r/>
      <w:bookmarkStart w:id="28" w:name="_Toc165540658"/>
      <w:r/>
      <w:bookmarkEnd w:id="26"/>
      <w:r>
        <w:rPr>
          <w:lang w:eastAsia="ru-RU"/>
        </w:rPr>
        <w:t xml:space="preserve">1.2.1 </w:t>
      </w:r>
      <w:r>
        <w:t xml:space="preserve">Структура</w:t>
      </w:r>
      <w:r>
        <w:rPr>
          <w:spacing w:val="-6"/>
        </w:rPr>
        <w:t xml:space="preserve"> </w:t>
      </w:r>
      <w:r>
        <w:t xml:space="preserve">и</w:t>
      </w:r>
      <w:r>
        <w:rPr>
          <w:spacing w:val="-6"/>
        </w:rPr>
        <w:t xml:space="preserve"> </w:t>
      </w:r>
      <w:r>
        <w:t xml:space="preserve">технические</w:t>
      </w:r>
      <w:r>
        <w:rPr>
          <w:spacing w:val="-5"/>
        </w:rPr>
        <w:t xml:space="preserve"> </w:t>
      </w:r>
      <w:r>
        <w:t xml:space="preserve">характеристики</w:t>
      </w:r>
      <w:r>
        <w:rPr>
          <w:spacing w:val="-4"/>
        </w:rPr>
        <w:t xml:space="preserve"> </w:t>
      </w:r>
      <w:r>
        <w:t xml:space="preserve">основного</w:t>
      </w:r>
      <w:r>
        <w:rPr>
          <w:spacing w:val="-3"/>
        </w:rPr>
        <w:t xml:space="preserve"> </w:t>
      </w:r>
      <w:r>
        <w:rPr>
          <w:spacing w:val="-2"/>
        </w:rPr>
        <w:t xml:space="preserve">оборудования</w:t>
      </w:r>
      <w:bookmarkEnd w:id="27"/>
      <w:r/>
      <w:bookmarkEnd w:id="28"/>
      <w:r/>
      <w:r/>
    </w:p>
    <w:p>
      <w:pPr>
        <w:ind w:firstLine="851"/>
        <w:jc w:val="both"/>
        <w:spacing w:before="120"/>
        <w:rPr>
          <w:sz w:val="24"/>
          <w:szCs w:val="24"/>
        </w:rPr>
      </w:pPr>
      <w:r>
        <w:rPr>
          <w:sz w:val="24"/>
          <w:szCs w:val="24"/>
        </w:rPr>
        <w:t xml:space="preserve">Общ</w:t>
      </w:r>
      <w:r>
        <w:rPr>
          <w:sz w:val="24"/>
          <w:szCs w:val="24"/>
        </w:rPr>
        <w:t xml:space="preserve">ие сведения о </w:t>
      </w:r>
      <w:r>
        <w:rPr>
          <w:sz w:val="24"/>
          <w:szCs w:val="24"/>
        </w:rPr>
        <w:t xml:space="preserve">котельных Юргамышского муниципального округа приведена в таблице </w:t>
      </w:r>
      <w:r>
        <w:rPr>
          <w:sz w:val="24"/>
          <w:szCs w:val="24"/>
        </w:rPr>
        <w:t xml:space="preserve">1.2.1.1</w:t>
      </w:r>
      <w:r>
        <w:rPr>
          <w:sz w:val="24"/>
          <w:szCs w:val="24"/>
        </w:rPr>
        <w:t xml:space="preserve">.</w:t>
      </w:r>
      <w:r>
        <w:rPr>
          <w:sz w:val="24"/>
          <w:szCs w:val="24"/>
        </w:rPr>
      </w:r>
      <w:r>
        <w:rPr>
          <w:sz w:val="24"/>
          <w:szCs w:val="24"/>
        </w:rPr>
      </w:r>
    </w:p>
    <w:p>
      <w:pPr>
        <w:ind w:firstLine="851"/>
        <w:jc w:val="both"/>
        <w:rPr>
          <w:sz w:val="24"/>
          <w:szCs w:val="24"/>
        </w:rPr>
      </w:pPr>
      <w:r>
        <w:rPr>
          <w:sz w:val="24"/>
          <w:szCs w:val="24"/>
        </w:rPr>
        <w:t xml:space="preserve">Характеристика котельных Юргамышского муниципального округа приведена в таблице 1.2.1.2.</w:t>
      </w:r>
      <w:r>
        <w:rPr>
          <w:sz w:val="24"/>
          <w:szCs w:val="24"/>
        </w:rPr>
      </w:r>
      <w:r>
        <w:rPr>
          <w:sz w:val="24"/>
          <w:szCs w:val="24"/>
        </w:rPr>
      </w:r>
    </w:p>
    <w:p>
      <w:pPr>
        <w:ind w:left="1395"/>
        <w:jc w:val="right"/>
        <w:rPr>
          <w:sz w:val="24"/>
          <w:szCs w:val="24"/>
        </w:rPr>
      </w:pPr>
      <w:r>
        <w:rPr>
          <w:sz w:val="24"/>
          <w:szCs w:val="24"/>
        </w:rPr>
      </w:r>
      <w:r>
        <w:rPr>
          <w:sz w:val="24"/>
          <w:szCs w:val="24"/>
        </w:rPr>
      </w:r>
      <w:r>
        <w:rPr>
          <w:sz w:val="24"/>
          <w:szCs w:val="24"/>
        </w:rPr>
      </w:r>
    </w:p>
    <w:p>
      <w:pPr>
        <w:ind w:left="1395"/>
        <w:jc w:val="right"/>
        <w:rPr>
          <w:sz w:val="24"/>
          <w:szCs w:val="24"/>
        </w:rPr>
        <w:sectPr>
          <w:footerReference w:type="default" r:id="rId10"/>
          <w:footnotePr/>
          <w:endnotePr/>
          <w:type w:val="continuous"/>
          <w:pgSz w:w="11910" w:h="16840" w:orient="portrait"/>
          <w:pgMar w:top="1100" w:right="740" w:bottom="940" w:left="1300" w:header="0" w:footer="758" w:gutter="0"/>
          <w:cols w:num="1" w:sep="0" w:space="720" w:equalWidth="1"/>
          <w:docGrid w:linePitch="360"/>
        </w:sectPr>
      </w:pPr>
      <w:r>
        <w:rPr>
          <w:sz w:val="24"/>
          <w:szCs w:val="24"/>
        </w:rPr>
      </w:r>
      <w:r>
        <w:rPr>
          <w:sz w:val="24"/>
          <w:szCs w:val="24"/>
        </w:rPr>
      </w:r>
      <w:r>
        <w:rPr>
          <w:sz w:val="24"/>
          <w:szCs w:val="24"/>
        </w:rPr>
      </w:r>
    </w:p>
    <w:p>
      <w:pPr>
        <w:ind w:left="1395"/>
        <w:jc w:val="right"/>
        <w:rPr>
          <w:sz w:val="24"/>
          <w:szCs w:val="24"/>
        </w:rPr>
      </w:pPr>
      <w:r>
        <w:rPr>
          <w:sz w:val="24"/>
          <w:szCs w:val="24"/>
        </w:rPr>
        <w:t xml:space="preserve">Таблица 1.2.1.1</w:t>
      </w:r>
      <w:r>
        <w:rPr>
          <w:sz w:val="24"/>
          <w:szCs w:val="24"/>
        </w:rPr>
      </w:r>
      <w:r>
        <w:rPr>
          <w:sz w:val="24"/>
          <w:szCs w:val="24"/>
        </w:rPr>
      </w:r>
    </w:p>
    <w:p>
      <w:pPr>
        <w:jc w:val="center"/>
        <w:rPr>
          <w:sz w:val="24"/>
          <w:szCs w:val="24"/>
        </w:rPr>
      </w:pPr>
      <w:r>
        <w:rPr>
          <w:sz w:val="24"/>
          <w:szCs w:val="24"/>
        </w:rPr>
        <w:t xml:space="preserve">Общие сведения о</w:t>
      </w:r>
      <w:r>
        <w:rPr>
          <w:sz w:val="24"/>
          <w:szCs w:val="24"/>
        </w:rPr>
        <w:t xml:space="preserve"> котельных Юргамышского муниципального округа</w:t>
      </w:r>
      <w:r>
        <w:rPr>
          <w:sz w:val="24"/>
          <w:szCs w:val="24"/>
        </w:rPr>
      </w:r>
      <w:r>
        <w:rPr>
          <w:sz w:val="24"/>
          <w:szCs w:val="24"/>
        </w:rPr>
      </w:r>
    </w:p>
    <w:tbl>
      <w:tblPr>
        <w:tblW w:w="5000" w:type="pct"/>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4A0" w:firstRow="1" w:lastRow="0" w:firstColumn="1" w:lastColumn="0" w:noHBand="0" w:noVBand="1"/>
      </w:tblPr>
      <w:tblGrid>
        <w:gridCol w:w="662"/>
        <w:gridCol w:w="3115"/>
        <w:gridCol w:w="2209"/>
        <w:gridCol w:w="1612"/>
        <w:gridCol w:w="2307"/>
        <w:gridCol w:w="2257"/>
        <w:gridCol w:w="2627"/>
      </w:tblGrid>
      <w:tr>
        <w:tblPrEx/>
        <w:trPr/>
        <w:tc>
          <w:tcPr>
            <w:tcW w:w="224" w:type="pct"/>
            <w:vAlign w:val="center"/>
            <w:textDirection w:val="lrTb"/>
            <w:noWrap w:val="false"/>
          </w:tcPr>
          <w:p>
            <w:pPr>
              <w:jc w:val="center"/>
              <w:rPr>
                <w:sz w:val="20"/>
                <w:szCs w:val="20"/>
              </w:rPr>
            </w:pPr>
            <w:r>
              <w:rPr>
                <w:sz w:val="20"/>
                <w:szCs w:val="20"/>
              </w:rPr>
              <w:t xml:space="preserve">№ пп</w:t>
            </w:r>
            <w:r>
              <w:rPr>
                <w:sz w:val="20"/>
                <w:szCs w:val="20"/>
              </w:rPr>
            </w:r>
            <w:r>
              <w:rPr>
                <w:sz w:val="20"/>
                <w:szCs w:val="20"/>
              </w:rPr>
            </w:r>
          </w:p>
        </w:tc>
        <w:tc>
          <w:tcPr>
            <w:tcW w:w="1053" w:type="pct"/>
            <w:vAlign w:val="center"/>
            <w:textDirection w:val="lrTb"/>
            <w:noWrap w:val="false"/>
          </w:tcPr>
          <w:p>
            <w:pPr>
              <w:jc w:val="center"/>
              <w:rPr>
                <w:sz w:val="20"/>
                <w:szCs w:val="20"/>
              </w:rPr>
            </w:pPr>
            <w:r>
              <w:rPr>
                <w:sz w:val="20"/>
                <w:szCs w:val="20"/>
              </w:rPr>
              <w:t xml:space="preserve">Наименование источника теплоснабжения</w:t>
            </w:r>
            <w:r>
              <w:rPr>
                <w:sz w:val="20"/>
                <w:szCs w:val="20"/>
              </w:rPr>
            </w:r>
            <w:r>
              <w:rPr>
                <w:sz w:val="20"/>
                <w:szCs w:val="20"/>
              </w:rPr>
            </w:r>
          </w:p>
        </w:tc>
        <w:tc>
          <w:tcPr>
            <w:tcW w:w="747" w:type="pct"/>
            <w:vAlign w:val="center"/>
            <w:textDirection w:val="lrTb"/>
            <w:noWrap w:val="false"/>
          </w:tcPr>
          <w:p>
            <w:pPr>
              <w:jc w:val="center"/>
              <w:rPr>
                <w:sz w:val="20"/>
                <w:szCs w:val="20"/>
              </w:rPr>
            </w:pPr>
            <w:r>
              <w:rPr>
                <w:sz w:val="20"/>
                <w:szCs w:val="20"/>
              </w:rPr>
              <w:t xml:space="preserve">Целевое назначение</w:t>
            </w:r>
            <w:r>
              <w:rPr>
                <w:sz w:val="20"/>
                <w:szCs w:val="20"/>
              </w:rPr>
            </w:r>
            <w:r>
              <w:rPr>
                <w:sz w:val="20"/>
                <w:szCs w:val="20"/>
              </w:rPr>
            </w:r>
          </w:p>
        </w:tc>
        <w:tc>
          <w:tcPr>
            <w:tcW w:w="545" w:type="pct"/>
            <w:vAlign w:val="center"/>
            <w:textDirection w:val="lrTb"/>
            <w:noWrap w:val="false"/>
          </w:tcPr>
          <w:p>
            <w:pPr>
              <w:jc w:val="center"/>
              <w:rPr>
                <w:sz w:val="20"/>
                <w:szCs w:val="20"/>
              </w:rPr>
            </w:pPr>
            <w:r>
              <w:rPr>
                <w:sz w:val="20"/>
                <w:szCs w:val="20"/>
              </w:rPr>
              <w:t xml:space="preserve">Назначение</w:t>
            </w:r>
            <w:r>
              <w:rPr>
                <w:sz w:val="20"/>
                <w:szCs w:val="20"/>
              </w:rPr>
            </w:r>
            <w:r>
              <w:rPr>
                <w:sz w:val="20"/>
                <w:szCs w:val="20"/>
              </w:rPr>
            </w:r>
          </w:p>
        </w:tc>
        <w:tc>
          <w:tcPr>
            <w:tcW w:w="780" w:type="pct"/>
            <w:vAlign w:val="center"/>
            <w:textDirection w:val="lrTb"/>
            <w:noWrap w:val="false"/>
          </w:tcPr>
          <w:p>
            <w:pPr>
              <w:jc w:val="center"/>
              <w:rPr>
                <w:sz w:val="20"/>
                <w:szCs w:val="20"/>
              </w:rPr>
            </w:pPr>
            <w:r>
              <w:rPr>
                <w:sz w:val="20"/>
                <w:szCs w:val="20"/>
              </w:rPr>
              <w:t xml:space="preserve">Обеспечиваемый вид теплопотребления</w:t>
            </w:r>
            <w:r>
              <w:rPr>
                <w:sz w:val="20"/>
                <w:szCs w:val="20"/>
              </w:rPr>
            </w:r>
            <w:r>
              <w:rPr>
                <w:sz w:val="20"/>
                <w:szCs w:val="20"/>
              </w:rPr>
            </w:r>
          </w:p>
        </w:tc>
        <w:tc>
          <w:tcPr>
            <w:tcW w:w="763" w:type="pct"/>
            <w:vAlign w:val="center"/>
            <w:textDirection w:val="lrTb"/>
            <w:noWrap w:val="false"/>
          </w:tcPr>
          <w:p>
            <w:pPr>
              <w:jc w:val="center"/>
              <w:rPr>
                <w:sz w:val="20"/>
                <w:szCs w:val="20"/>
              </w:rPr>
            </w:pPr>
            <w:r>
              <w:rPr>
                <w:sz w:val="20"/>
                <w:szCs w:val="20"/>
              </w:rPr>
              <w:t xml:space="preserve">Надежность отпуска теплоты потребителям</w:t>
            </w:r>
            <w:r>
              <w:rPr>
                <w:sz w:val="20"/>
                <w:szCs w:val="20"/>
              </w:rPr>
            </w:r>
            <w:r>
              <w:rPr>
                <w:sz w:val="20"/>
                <w:szCs w:val="20"/>
              </w:rPr>
            </w:r>
          </w:p>
        </w:tc>
        <w:tc>
          <w:tcPr>
            <w:tcW w:w="888" w:type="pct"/>
            <w:vAlign w:val="center"/>
            <w:textDirection w:val="lrTb"/>
            <w:noWrap w:val="false"/>
          </w:tcPr>
          <w:p>
            <w:pPr>
              <w:jc w:val="center"/>
              <w:rPr>
                <w:sz w:val="20"/>
                <w:szCs w:val="20"/>
              </w:rPr>
            </w:pPr>
            <w:r>
              <w:rPr>
                <w:sz w:val="20"/>
                <w:szCs w:val="20"/>
              </w:rPr>
              <w:t xml:space="preserve">Категория обеспечиваемых потребителей</w:t>
            </w:r>
            <w:r>
              <w:rPr>
                <w:sz w:val="20"/>
                <w:szCs w:val="20"/>
              </w:rPr>
            </w:r>
            <w:r>
              <w:rPr>
                <w:sz w:val="20"/>
                <w:szCs w:val="20"/>
              </w:rPr>
            </w:r>
          </w:p>
        </w:tc>
      </w:tr>
      <w:tr>
        <w:tblPrEx/>
        <w:trPr/>
        <w:tc>
          <w:tcPr>
            <w:tcW w:w="224" w:type="pct"/>
            <w:vAlign w:val="center"/>
            <w:textDirection w:val="lrTb"/>
            <w:noWrap w:val="false"/>
          </w:tcPr>
          <w:p>
            <w:pPr>
              <w:jc w:val="center"/>
              <w:rPr>
                <w:sz w:val="20"/>
                <w:szCs w:val="20"/>
              </w:rPr>
            </w:pPr>
            <w:r>
              <w:rPr>
                <w:sz w:val="20"/>
                <w:szCs w:val="20"/>
              </w:rPr>
              <w:t xml:space="preserve">1</w:t>
            </w:r>
            <w:r>
              <w:rPr>
                <w:sz w:val="20"/>
                <w:szCs w:val="20"/>
              </w:rPr>
            </w:r>
            <w:r>
              <w:rPr>
                <w:sz w:val="20"/>
                <w:szCs w:val="20"/>
              </w:rPr>
            </w:r>
          </w:p>
        </w:tc>
        <w:tc>
          <w:tcPr>
            <w:tcW w:w="1053" w:type="pct"/>
            <w:vAlign w:val="bottom"/>
            <w:textDirection w:val="lrTb"/>
            <w:noWrap w:val="false"/>
          </w:tcPr>
          <w:p>
            <w:pPr>
              <w:rPr>
                <w:rFonts w:ascii="Liberation Serif" w:hAnsi="Liberation Serif" w:cs="Calibri"/>
                <w:color w:val="000000"/>
                <w:sz w:val="20"/>
                <w:szCs w:val="20"/>
              </w:rPr>
            </w:pPr>
            <w:r>
              <w:rPr>
                <w:color w:val="000000"/>
                <w:sz w:val="20"/>
                <w:szCs w:val="20"/>
              </w:rPr>
              <w:t xml:space="preserve">Котельная </w:t>
            </w:r>
            <w:r>
              <w:rPr>
                <w:rFonts w:ascii="Liberation Serif" w:hAnsi="Liberation Serif" w:cs="Calibri"/>
                <w:color w:val="000000"/>
                <w:sz w:val="20"/>
                <w:szCs w:val="20"/>
              </w:rPr>
              <w:t xml:space="preserve">п. Новый Мир, ЛПДС «Юргамыш»</w:t>
            </w:r>
            <w:r>
              <w:rPr>
                <w:rFonts w:ascii="Liberation Serif" w:hAnsi="Liberation Serif" w:cs="Calibri"/>
                <w:color w:val="000000"/>
                <w:sz w:val="20"/>
                <w:szCs w:val="20"/>
              </w:rPr>
            </w:r>
            <w:r>
              <w:rPr>
                <w:rFonts w:ascii="Liberation Serif" w:hAnsi="Liberation Serif" w:cs="Calibri"/>
                <w:color w:val="000000"/>
                <w:sz w:val="20"/>
                <w:szCs w:val="20"/>
              </w:rPr>
            </w:r>
          </w:p>
        </w:tc>
        <w:tc>
          <w:tcPr>
            <w:tcW w:w="747" w:type="pct"/>
            <w:vAlign w:val="center"/>
            <w:textDirection w:val="lrTb"/>
            <w:noWrap w:val="false"/>
          </w:tcPr>
          <w:p>
            <w:pPr>
              <w:jc w:val="center"/>
              <w:rPr>
                <w:sz w:val="20"/>
                <w:szCs w:val="20"/>
              </w:rPr>
            </w:pPr>
            <w:r>
              <w:rPr>
                <w:sz w:val="20"/>
                <w:szCs w:val="20"/>
              </w:rPr>
              <w:t xml:space="preserve">центральная</w:t>
            </w:r>
            <w:r>
              <w:rPr>
                <w:sz w:val="20"/>
                <w:szCs w:val="20"/>
              </w:rPr>
            </w:r>
            <w:r>
              <w:rPr>
                <w:sz w:val="20"/>
                <w:szCs w:val="20"/>
              </w:rPr>
            </w:r>
          </w:p>
        </w:tc>
        <w:tc>
          <w:tcPr>
            <w:tcW w:w="545" w:type="pct"/>
            <w:vAlign w:val="center"/>
            <w:textDirection w:val="lrTb"/>
            <w:noWrap w:val="false"/>
          </w:tcPr>
          <w:p>
            <w:pPr>
              <w:jc w:val="center"/>
              <w:rPr>
                <w:sz w:val="20"/>
                <w:szCs w:val="20"/>
              </w:rPr>
            </w:pPr>
            <w:r>
              <w:rPr>
                <w:sz w:val="20"/>
                <w:szCs w:val="20"/>
              </w:rPr>
              <w:t xml:space="preserve">отопительная</w:t>
            </w:r>
            <w:r>
              <w:rPr>
                <w:sz w:val="20"/>
                <w:szCs w:val="20"/>
              </w:rPr>
            </w:r>
            <w:r>
              <w:rPr>
                <w:sz w:val="20"/>
                <w:szCs w:val="20"/>
              </w:rPr>
            </w:r>
          </w:p>
        </w:tc>
        <w:tc>
          <w:tcPr>
            <w:tcW w:w="780" w:type="pct"/>
            <w:vAlign w:val="center"/>
            <w:textDirection w:val="lrTb"/>
            <w:noWrap w:val="false"/>
          </w:tcPr>
          <w:p>
            <w:pPr>
              <w:jc w:val="center"/>
              <w:rPr>
                <w:sz w:val="20"/>
                <w:szCs w:val="20"/>
              </w:rPr>
            </w:pPr>
            <w:r>
              <w:rPr>
                <w:sz w:val="20"/>
                <w:szCs w:val="20"/>
              </w:rPr>
              <w:t xml:space="preserve">отопление</w:t>
            </w:r>
            <w:r>
              <w:rPr>
                <w:sz w:val="20"/>
                <w:szCs w:val="20"/>
              </w:rPr>
            </w:r>
            <w:r>
              <w:rPr>
                <w:sz w:val="20"/>
                <w:szCs w:val="20"/>
              </w:rPr>
            </w:r>
          </w:p>
        </w:tc>
        <w:tc>
          <w:tcPr>
            <w:tcW w:w="763" w:type="pct"/>
            <w:vAlign w:val="center"/>
            <w:textDirection w:val="lrTb"/>
            <w:noWrap w:val="false"/>
          </w:tcPr>
          <w:p>
            <w:pPr>
              <w:jc w:val="center"/>
              <w:rPr>
                <w:sz w:val="20"/>
                <w:szCs w:val="20"/>
              </w:rPr>
            </w:pPr>
            <w:r>
              <w:rPr>
                <w:sz w:val="20"/>
                <w:szCs w:val="20"/>
              </w:rPr>
              <w:t xml:space="preserve">первой категории</w:t>
            </w:r>
            <w:r>
              <w:rPr>
                <w:sz w:val="20"/>
                <w:szCs w:val="20"/>
              </w:rPr>
            </w:r>
            <w:r>
              <w:rPr>
                <w:sz w:val="20"/>
                <w:szCs w:val="20"/>
              </w:rPr>
            </w:r>
          </w:p>
        </w:tc>
        <w:tc>
          <w:tcPr>
            <w:tcW w:w="888" w:type="pct"/>
            <w:vAlign w:val="center"/>
            <w:textDirection w:val="lrTb"/>
            <w:noWrap w:val="false"/>
          </w:tcPr>
          <w:p>
            <w:pPr>
              <w:jc w:val="center"/>
              <w:rPr>
                <w:sz w:val="20"/>
                <w:szCs w:val="20"/>
              </w:rPr>
            </w:pPr>
            <w:r>
              <w:rPr>
                <w:sz w:val="20"/>
                <w:szCs w:val="20"/>
              </w:rPr>
              <w:t xml:space="preserve">вторая</w:t>
            </w:r>
            <w:r>
              <w:rPr>
                <w:sz w:val="20"/>
                <w:szCs w:val="20"/>
              </w:rPr>
            </w:r>
            <w:r>
              <w:rPr>
                <w:sz w:val="20"/>
                <w:szCs w:val="20"/>
              </w:rPr>
            </w:r>
          </w:p>
        </w:tc>
      </w:tr>
      <w:tr>
        <w:tblPrEx/>
        <w:trPr/>
        <w:tc>
          <w:tcPr>
            <w:tcW w:w="224" w:type="pct"/>
            <w:vAlign w:val="center"/>
            <w:textDirection w:val="lrTb"/>
            <w:noWrap w:val="false"/>
          </w:tcPr>
          <w:p>
            <w:pPr>
              <w:jc w:val="center"/>
              <w:rPr>
                <w:sz w:val="20"/>
                <w:szCs w:val="20"/>
              </w:rPr>
            </w:pPr>
            <w:r>
              <w:rPr>
                <w:sz w:val="20"/>
                <w:szCs w:val="20"/>
              </w:rPr>
              <w:t xml:space="preserve">2</w:t>
            </w:r>
            <w:r>
              <w:rPr>
                <w:sz w:val="20"/>
                <w:szCs w:val="20"/>
              </w:rPr>
            </w:r>
            <w:r>
              <w:rPr>
                <w:sz w:val="20"/>
                <w:szCs w:val="20"/>
              </w:rPr>
            </w:r>
          </w:p>
        </w:tc>
        <w:tc>
          <w:tcPr>
            <w:tcW w:w="1053" w:type="pct"/>
            <w:vAlign w:val="bottom"/>
            <w:textDirection w:val="lrTb"/>
            <w:noWrap w:val="false"/>
          </w:tcPr>
          <w:p>
            <w:pPr>
              <w:rPr>
                <w:rFonts w:ascii="Liberation Serif" w:hAnsi="Liberation Serif" w:cs="Calibri"/>
                <w:color w:val="000000"/>
                <w:sz w:val="20"/>
                <w:szCs w:val="20"/>
              </w:rPr>
            </w:pPr>
            <w:r>
              <w:rPr>
                <w:color w:val="000000"/>
                <w:sz w:val="20"/>
                <w:szCs w:val="20"/>
              </w:rPr>
              <w:t xml:space="preserve">Котельная </w:t>
            </w:r>
            <w:r>
              <w:rPr>
                <w:rFonts w:ascii="Liberation Serif" w:hAnsi="Liberation Serif" w:cs="Calibri"/>
                <w:color w:val="000000"/>
                <w:sz w:val="20"/>
                <w:szCs w:val="20"/>
              </w:rPr>
              <w:t xml:space="preserve">р.п.  Юргамыш, ул. Железнодорожная, территория тягловой подстанции ОАО «РЖД»</w:t>
            </w:r>
            <w:r>
              <w:rPr>
                <w:rFonts w:ascii="Liberation Serif" w:hAnsi="Liberation Serif" w:cs="Calibri"/>
                <w:color w:val="000000"/>
                <w:sz w:val="20"/>
                <w:szCs w:val="20"/>
              </w:rPr>
            </w:r>
            <w:r>
              <w:rPr>
                <w:rFonts w:ascii="Liberation Serif" w:hAnsi="Liberation Serif" w:cs="Calibri"/>
                <w:color w:val="000000"/>
                <w:sz w:val="20"/>
                <w:szCs w:val="20"/>
              </w:rPr>
            </w:r>
          </w:p>
        </w:tc>
        <w:tc>
          <w:tcPr>
            <w:tcW w:w="747" w:type="pct"/>
            <w:vAlign w:val="center"/>
            <w:textDirection w:val="lrTb"/>
            <w:noWrap w:val="false"/>
          </w:tcPr>
          <w:p>
            <w:pPr>
              <w:jc w:val="center"/>
              <w:rPr>
                <w:sz w:val="20"/>
                <w:szCs w:val="20"/>
              </w:rPr>
            </w:pPr>
            <w:r>
              <w:rPr>
                <w:sz w:val="20"/>
                <w:szCs w:val="20"/>
              </w:rPr>
              <w:t xml:space="preserve">центральная</w:t>
            </w:r>
            <w:r>
              <w:rPr>
                <w:sz w:val="20"/>
                <w:szCs w:val="20"/>
              </w:rPr>
            </w:r>
            <w:r>
              <w:rPr>
                <w:sz w:val="20"/>
                <w:szCs w:val="20"/>
              </w:rPr>
            </w:r>
          </w:p>
        </w:tc>
        <w:tc>
          <w:tcPr>
            <w:tcW w:w="545" w:type="pct"/>
            <w:vAlign w:val="center"/>
            <w:textDirection w:val="lrTb"/>
            <w:noWrap w:val="false"/>
          </w:tcPr>
          <w:p>
            <w:pPr>
              <w:jc w:val="center"/>
              <w:rPr>
                <w:sz w:val="20"/>
                <w:szCs w:val="20"/>
              </w:rPr>
            </w:pPr>
            <w:r>
              <w:rPr>
                <w:sz w:val="20"/>
                <w:szCs w:val="20"/>
              </w:rPr>
              <w:t xml:space="preserve">отопительная</w:t>
            </w:r>
            <w:r>
              <w:rPr>
                <w:sz w:val="20"/>
                <w:szCs w:val="20"/>
              </w:rPr>
            </w:r>
            <w:r>
              <w:rPr>
                <w:sz w:val="20"/>
                <w:szCs w:val="20"/>
              </w:rPr>
            </w:r>
          </w:p>
        </w:tc>
        <w:tc>
          <w:tcPr>
            <w:tcW w:w="780" w:type="pct"/>
            <w:vAlign w:val="center"/>
            <w:textDirection w:val="lrTb"/>
            <w:noWrap w:val="false"/>
          </w:tcPr>
          <w:p>
            <w:pPr>
              <w:jc w:val="center"/>
              <w:rPr>
                <w:sz w:val="20"/>
                <w:szCs w:val="20"/>
              </w:rPr>
            </w:pPr>
            <w:r>
              <w:rPr>
                <w:sz w:val="20"/>
                <w:szCs w:val="20"/>
              </w:rPr>
              <w:t xml:space="preserve">отопление</w:t>
            </w:r>
            <w:r>
              <w:rPr>
                <w:sz w:val="20"/>
                <w:szCs w:val="20"/>
              </w:rPr>
            </w:r>
            <w:r>
              <w:rPr>
                <w:sz w:val="20"/>
                <w:szCs w:val="20"/>
              </w:rPr>
            </w:r>
          </w:p>
        </w:tc>
        <w:tc>
          <w:tcPr>
            <w:tcW w:w="763" w:type="pct"/>
            <w:vAlign w:val="center"/>
            <w:textDirection w:val="lrTb"/>
            <w:noWrap w:val="false"/>
          </w:tcPr>
          <w:p>
            <w:pPr>
              <w:jc w:val="center"/>
              <w:rPr>
                <w:sz w:val="20"/>
                <w:szCs w:val="20"/>
              </w:rPr>
            </w:pPr>
            <w:r>
              <w:rPr>
                <w:sz w:val="20"/>
                <w:szCs w:val="20"/>
              </w:rPr>
              <w:t xml:space="preserve">первой категории</w:t>
            </w:r>
            <w:r>
              <w:rPr>
                <w:sz w:val="20"/>
                <w:szCs w:val="20"/>
              </w:rPr>
            </w:r>
            <w:r>
              <w:rPr>
                <w:sz w:val="20"/>
                <w:szCs w:val="20"/>
              </w:rPr>
            </w:r>
          </w:p>
        </w:tc>
        <w:tc>
          <w:tcPr>
            <w:tcW w:w="888" w:type="pct"/>
            <w:vAlign w:val="center"/>
            <w:textDirection w:val="lrTb"/>
            <w:noWrap w:val="false"/>
          </w:tcPr>
          <w:p>
            <w:pPr>
              <w:jc w:val="center"/>
              <w:rPr>
                <w:sz w:val="20"/>
                <w:szCs w:val="20"/>
              </w:rPr>
            </w:pPr>
            <w:r>
              <w:rPr>
                <w:sz w:val="20"/>
                <w:szCs w:val="20"/>
              </w:rPr>
              <w:t xml:space="preserve">вторая</w:t>
            </w:r>
            <w:r>
              <w:rPr>
                <w:sz w:val="20"/>
                <w:szCs w:val="20"/>
              </w:rPr>
            </w:r>
            <w:r>
              <w:rPr>
                <w:sz w:val="20"/>
                <w:szCs w:val="20"/>
              </w:rPr>
            </w:r>
          </w:p>
        </w:tc>
      </w:tr>
      <w:tr>
        <w:tblPrEx/>
        <w:trPr/>
        <w:tc>
          <w:tcPr>
            <w:tcW w:w="224" w:type="pct"/>
            <w:vAlign w:val="center"/>
            <w:textDirection w:val="lrTb"/>
            <w:noWrap w:val="false"/>
          </w:tcPr>
          <w:p>
            <w:pPr>
              <w:jc w:val="center"/>
              <w:rPr>
                <w:sz w:val="20"/>
                <w:szCs w:val="20"/>
              </w:rPr>
            </w:pPr>
            <w:r>
              <w:rPr>
                <w:sz w:val="20"/>
                <w:szCs w:val="20"/>
              </w:rPr>
              <w:t xml:space="preserve">3</w:t>
            </w:r>
            <w:r>
              <w:rPr>
                <w:sz w:val="20"/>
                <w:szCs w:val="20"/>
              </w:rPr>
            </w:r>
            <w:r>
              <w:rPr>
                <w:sz w:val="20"/>
                <w:szCs w:val="20"/>
              </w:rPr>
            </w:r>
          </w:p>
        </w:tc>
        <w:tc>
          <w:tcPr>
            <w:tcW w:w="1053" w:type="pct"/>
            <w:vAlign w:val="bottom"/>
            <w:textDirection w:val="lrTb"/>
            <w:noWrap w:val="false"/>
          </w:tcPr>
          <w:p>
            <w:pPr>
              <w:rPr>
                <w:rFonts w:ascii="Liberation Serif" w:hAnsi="Liberation Serif" w:cs="Calibri"/>
                <w:color w:val="000000"/>
                <w:sz w:val="20"/>
                <w:szCs w:val="20"/>
              </w:rPr>
            </w:pPr>
            <w:r>
              <w:rPr>
                <w:sz w:val="20"/>
                <w:szCs w:val="20"/>
              </w:rPr>
              <w:t xml:space="preserve">Котельная ФКУ ИК №7 УФСИН России по Курганской области,</w:t>
            </w:r>
            <w:r>
              <w:rPr>
                <w:rFonts w:ascii="Liberation Serif" w:hAnsi="Liberation Serif" w:cs="Calibri"/>
                <w:color w:val="000000"/>
                <w:sz w:val="20"/>
                <w:szCs w:val="20"/>
              </w:rPr>
              <w:t xml:space="preserve"> Курганская область, р.п. Юргамыш, ул. </w:t>
            </w:r>
            <w:r>
              <w:rPr>
                <w:rFonts w:ascii="Liberation Serif" w:hAnsi="Liberation Serif" w:cs="Calibri"/>
                <w:color w:val="000000"/>
                <w:sz w:val="20"/>
                <w:szCs w:val="20"/>
              </w:rPr>
              <w:t xml:space="preserve">Труда, 147</w:t>
            </w:r>
            <w:r>
              <w:rPr>
                <w:rFonts w:ascii="Liberation Serif" w:hAnsi="Liberation Serif" w:cs="Calibri"/>
                <w:color w:val="000000"/>
                <w:sz w:val="20"/>
                <w:szCs w:val="20"/>
              </w:rPr>
            </w:r>
            <w:r>
              <w:rPr>
                <w:rFonts w:ascii="Liberation Serif" w:hAnsi="Liberation Serif" w:cs="Calibri"/>
                <w:color w:val="000000"/>
                <w:sz w:val="20"/>
                <w:szCs w:val="20"/>
              </w:rPr>
            </w:r>
          </w:p>
        </w:tc>
        <w:tc>
          <w:tcPr>
            <w:tcW w:w="747" w:type="pct"/>
            <w:vAlign w:val="center"/>
            <w:textDirection w:val="lrTb"/>
            <w:noWrap w:val="false"/>
          </w:tcPr>
          <w:p>
            <w:pPr>
              <w:jc w:val="center"/>
              <w:rPr>
                <w:sz w:val="20"/>
                <w:szCs w:val="20"/>
              </w:rPr>
            </w:pPr>
            <w:r>
              <w:rPr>
                <w:sz w:val="20"/>
                <w:szCs w:val="20"/>
              </w:rPr>
              <w:t xml:space="preserve">центральная</w:t>
            </w:r>
            <w:r>
              <w:rPr>
                <w:sz w:val="20"/>
                <w:szCs w:val="20"/>
              </w:rPr>
            </w:r>
            <w:r>
              <w:rPr>
                <w:sz w:val="20"/>
                <w:szCs w:val="20"/>
              </w:rPr>
            </w:r>
          </w:p>
        </w:tc>
        <w:tc>
          <w:tcPr>
            <w:tcW w:w="545" w:type="pct"/>
            <w:vAlign w:val="center"/>
            <w:textDirection w:val="lrTb"/>
            <w:noWrap w:val="false"/>
          </w:tcPr>
          <w:p>
            <w:pPr>
              <w:jc w:val="center"/>
              <w:rPr>
                <w:sz w:val="20"/>
                <w:szCs w:val="20"/>
              </w:rPr>
            </w:pPr>
            <w:r>
              <w:rPr>
                <w:sz w:val="20"/>
                <w:szCs w:val="20"/>
              </w:rPr>
              <w:t xml:space="preserve">отопительная</w:t>
            </w:r>
            <w:r>
              <w:rPr>
                <w:sz w:val="20"/>
                <w:szCs w:val="20"/>
              </w:rPr>
            </w:r>
            <w:r>
              <w:rPr>
                <w:sz w:val="20"/>
                <w:szCs w:val="20"/>
              </w:rPr>
            </w:r>
          </w:p>
        </w:tc>
        <w:tc>
          <w:tcPr>
            <w:tcW w:w="780" w:type="pct"/>
            <w:vAlign w:val="center"/>
            <w:textDirection w:val="lrTb"/>
            <w:noWrap w:val="false"/>
          </w:tcPr>
          <w:p>
            <w:pPr>
              <w:jc w:val="center"/>
              <w:rPr>
                <w:sz w:val="20"/>
                <w:szCs w:val="20"/>
              </w:rPr>
            </w:pPr>
            <w:r>
              <w:rPr>
                <w:sz w:val="20"/>
                <w:szCs w:val="20"/>
              </w:rPr>
              <w:t xml:space="preserve">отопление</w:t>
            </w:r>
            <w:r>
              <w:rPr>
                <w:sz w:val="20"/>
                <w:szCs w:val="20"/>
              </w:rPr>
            </w:r>
            <w:r>
              <w:rPr>
                <w:sz w:val="20"/>
                <w:szCs w:val="20"/>
              </w:rPr>
            </w:r>
          </w:p>
        </w:tc>
        <w:tc>
          <w:tcPr>
            <w:tcW w:w="763" w:type="pct"/>
            <w:vAlign w:val="center"/>
            <w:textDirection w:val="lrTb"/>
            <w:noWrap w:val="false"/>
          </w:tcPr>
          <w:p>
            <w:pPr>
              <w:jc w:val="center"/>
              <w:rPr>
                <w:sz w:val="20"/>
                <w:szCs w:val="20"/>
              </w:rPr>
            </w:pPr>
            <w:r>
              <w:rPr>
                <w:sz w:val="20"/>
                <w:szCs w:val="20"/>
              </w:rPr>
              <w:t xml:space="preserve">первой категории</w:t>
            </w:r>
            <w:r>
              <w:rPr>
                <w:sz w:val="20"/>
                <w:szCs w:val="20"/>
              </w:rPr>
            </w:r>
            <w:r>
              <w:rPr>
                <w:sz w:val="20"/>
                <w:szCs w:val="20"/>
              </w:rPr>
            </w:r>
          </w:p>
        </w:tc>
        <w:tc>
          <w:tcPr>
            <w:tcW w:w="888" w:type="pct"/>
            <w:vAlign w:val="center"/>
            <w:textDirection w:val="lrTb"/>
            <w:noWrap w:val="false"/>
          </w:tcPr>
          <w:p>
            <w:pPr>
              <w:jc w:val="center"/>
              <w:rPr>
                <w:sz w:val="20"/>
                <w:szCs w:val="20"/>
              </w:rPr>
            </w:pPr>
            <w:r>
              <w:rPr>
                <w:sz w:val="20"/>
                <w:szCs w:val="20"/>
              </w:rPr>
              <w:t xml:space="preserve">вторая</w:t>
            </w:r>
            <w:r>
              <w:rPr>
                <w:sz w:val="20"/>
                <w:szCs w:val="20"/>
              </w:rPr>
            </w:r>
            <w:r>
              <w:rPr>
                <w:sz w:val="20"/>
                <w:szCs w:val="20"/>
              </w:rPr>
            </w:r>
          </w:p>
        </w:tc>
      </w:tr>
      <w:tr>
        <w:tblPrEx/>
        <w:trPr/>
        <w:tc>
          <w:tcPr>
            <w:tcW w:w="224" w:type="pct"/>
            <w:vAlign w:val="center"/>
            <w:textDirection w:val="lrTb"/>
            <w:noWrap w:val="false"/>
          </w:tcPr>
          <w:p>
            <w:pPr>
              <w:jc w:val="center"/>
              <w:rPr>
                <w:sz w:val="20"/>
                <w:szCs w:val="20"/>
              </w:rPr>
            </w:pPr>
            <w:r>
              <w:rPr>
                <w:sz w:val="20"/>
                <w:szCs w:val="20"/>
              </w:rPr>
              <w:t xml:space="preserve">4</w:t>
            </w:r>
            <w:r>
              <w:rPr>
                <w:sz w:val="20"/>
                <w:szCs w:val="20"/>
              </w:rPr>
            </w:r>
            <w:r>
              <w:rPr>
                <w:sz w:val="20"/>
                <w:szCs w:val="20"/>
              </w:rPr>
            </w:r>
          </w:p>
        </w:tc>
        <w:tc>
          <w:tcPr>
            <w:tcW w:w="1053" w:type="pct"/>
            <w:vAlign w:val="bottom"/>
            <w:textDirection w:val="lrTb"/>
            <w:noWrap w:val="false"/>
          </w:tcPr>
          <w:p>
            <w:pPr>
              <w:rPr>
                <w:sz w:val="20"/>
                <w:szCs w:val="20"/>
              </w:rPr>
            </w:pPr>
            <w:r>
              <w:rPr>
                <w:color w:val="000000"/>
                <w:sz w:val="20"/>
                <w:szCs w:val="20"/>
                <w:lang w:eastAsia="ru-RU"/>
              </w:rPr>
              <w:t xml:space="preserve">Курганская область, р.п.Юргамыш, ул. Ленина, 47а</w:t>
            </w:r>
            <w:r>
              <w:rPr>
                <w:sz w:val="20"/>
                <w:szCs w:val="20"/>
              </w:rPr>
            </w:r>
            <w:r>
              <w:rPr>
                <w:sz w:val="20"/>
                <w:szCs w:val="20"/>
              </w:rPr>
            </w:r>
          </w:p>
        </w:tc>
        <w:tc>
          <w:tcPr>
            <w:tcW w:w="747" w:type="pct"/>
            <w:vAlign w:val="center"/>
            <w:textDirection w:val="lrTb"/>
            <w:noWrap w:val="false"/>
          </w:tcPr>
          <w:p>
            <w:pPr>
              <w:jc w:val="center"/>
              <w:rPr>
                <w:sz w:val="20"/>
                <w:szCs w:val="20"/>
              </w:rPr>
            </w:pPr>
            <w:r>
              <w:rPr>
                <w:sz w:val="20"/>
                <w:szCs w:val="20"/>
              </w:rPr>
              <w:t xml:space="preserve">центральная</w:t>
            </w:r>
            <w:r>
              <w:rPr>
                <w:sz w:val="20"/>
                <w:szCs w:val="20"/>
              </w:rPr>
            </w:r>
            <w:r>
              <w:rPr>
                <w:sz w:val="20"/>
                <w:szCs w:val="20"/>
              </w:rPr>
            </w:r>
          </w:p>
        </w:tc>
        <w:tc>
          <w:tcPr>
            <w:tcW w:w="545" w:type="pct"/>
            <w:vAlign w:val="center"/>
            <w:textDirection w:val="lrTb"/>
            <w:noWrap w:val="false"/>
          </w:tcPr>
          <w:p>
            <w:pPr>
              <w:jc w:val="center"/>
              <w:rPr>
                <w:sz w:val="20"/>
                <w:szCs w:val="20"/>
              </w:rPr>
            </w:pPr>
            <w:r>
              <w:rPr>
                <w:sz w:val="20"/>
                <w:szCs w:val="20"/>
              </w:rPr>
              <w:t xml:space="preserve">отопительная</w:t>
            </w:r>
            <w:r>
              <w:rPr>
                <w:sz w:val="20"/>
                <w:szCs w:val="20"/>
              </w:rPr>
            </w:r>
            <w:r>
              <w:rPr>
                <w:sz w:val="20"/>
                <w:szCs w:val="20"/>
              </w:rPr>
            </w:r>
          </w:p>
        </w:tc>
        <w:tc>
          <w:tcPr>
            <w:tcW w:w="780" w:type="pct"/>
            <w:vAlign w:val="center"/>
            <w:textDirection w:val="lrTb"/>
            <w:noWrap w:val="false"/>
          </w:tcPr>
          <w:p>
            <w:pPr>
              <w:jc w:val="center"/>
              <w:rPr>
                <w:sz w:val="20"/>
                <w:szCs w:val="20"/>
              </w:rPr>
            </w:pPr>
            <w:r>
              <w:rPr>
                <w:sz w:val="20"/>
                <w:szCs w:val="20"/>
              </w:rPr>
              <w:t xml:space="preserve">отопление</w:t>
            </w:r>
            <w:r>
              <w:rPr>
                <w:sz w:val="20"/>
                <w:szCs w:val="20"/>
              </w:rPr>
            </w:r>
            <w:r>
              <w:rPr>
                <w:sz w:val="20"/>
                <w:szCs w:val="20"/>
              </w:rPr>
            </w:r>
          </w:p>
        </w:tc>
        <w:tc>
          <w:tcPr>
            <w:tcW w:w="763" w:type="pct"/>
            <w:vAlign w:val="center"/>
            <w:textDirection w:val="lrTb"/>
            <w:noWrap w:val="false"/>
          </w:tcPr>
          <w:p>
            <w:pPr>
              <w:jc w:val="center"/>
              <w:rPr>
                <w:sz w:val="20"/>
                <w:szCs w:val="20"/>
              </w:rPr>
            </w:pPr>
            <w:r>
              <w:rPr>
                <w:sz w:val="20"/>
                <w:szCs w:val="20"/>
              </w:rPr>
              <w:t xml:space="preserve">первой категории</w:t>
            </w:r>
            <w:r>
              <w:rPr>
                <w:sz w:val="20"/>
                <w:szCs w:val="20"/>
              </w:rPr>
            </w:r>
            <w:r>
              <w:rPr>
                <w:sz w:val="20"/>
                <w:szCs w:val="20"/>
              </w:rPr>
            </w:r>
          </w:p>
        </w:tc>
        <w:tc>
          <w:tcPr>
            <w:tcW w:w="888" w:type="pct"/>
            <w:vAlign w:val="center"/>
            <w:textDirection w:val="lrTb"/>
            <w:noWrap w:val="false"/>
          </w:tcPr>
          <w:p>
            <w:pPr>
              <w:jc w:val="center"/>
              <w:rPr>
                <w:sz w:val="20"/>
                <w:szCs w:val="20"/>
              </w:rPr>
            </w:pPr>
            <w:r>
              <w:rPr>
                <w:sz w:val="20"/>
                <w:szCs w:val="20"/>
              </w:rPr>
              <w:t xml:space="preserve">вторая</w:t>
            </w:r>
            <w:r>
              <w:rPr>
                <w:sz w:val="20"/>
                <w:szCs w:val="20"/>
              </w:rPr>
            </w:r>
            <w:r>
              <w:rPr>
                <w:sz w:val="20"/>
                <w:szCs w:val="20"/>
              </w:rPr>
            </w:r>
          </w:p>
        </w:tc>
      </w:tr>
      <w:tr>
        <w:tblPrEx/>
        <w:trPr/>
        <w:tc>
          <w:tcPr>
            <w:tcW w:w="224" w:type="pct"/>
            <w:vAlign w:val="center"/>
            <w:textDirection w:val="lrTb"/>
            <w:noWrap w:val="false"/>
          </w:tcPr>
          <w:p>
            <w:pPr>
              <w:jc w:val="center"/>
              <w:rPr>
                <w:sz w:val="20"/>
                <w:szCs w:val="20"/>
              </w:rPr>
            </w:pPr>
            <w:r>
              <w:rPr>
                <w:sz w:val="20"/>
                <w:szCs w:val="20"/>
              </w:rPr>
              <w:t xml:space="preserve">5</w:t>
            </w:r>
            <w:r>
              <w:rPr>
                <w:sz w:val="20"/>
                <w:szCs w:val="20"/>
              </w:rPr>
            </w:r>
            <w:r>
              <w:rPr>
                <w:sz w:val="20"/>
                <w:szCs w:val="20"/>
              </w:rPr>
            </w:r>
          </w:p>
        </w:tc>
        <w:tc>
          <w:tcPr>
            <w:tcW w:w="1053" w:type="pct"/>
            <w:vAlign w:val="bottom"/>
            <w:textDirection w:val="lrTb"/>
            <w:noWrap w:val="false"/>
          </w:tcPr>
          <w:p>
            <w:pPr>
              <w:rPr>
                <w:color w:val="000000"/>
                <w:sz w:val="20"/>
                <w:szCs w:val="20"/>
              </w:rPr>
            </w:pPr>
            <w:r>
              <w:rPr>
                <w:color w:val="000000"/>
                <w:sz w:val="20"/>
                <w:szCs w:val="20"/>
              </w:rPr>
              <w:t xml:space="preserve">Котельная р.п. Юргамыш, ул. Свободы 25А</w:t>
            </w:r>
            <w:r>
              <w:rPr>
                <w:color w:val="000000"/>
                <w:sz w:val="20"/>
                <w:szCs w:val="20"/>
              </w:rPr>
            </w:r>
            <w:r>
              <w:rPr>
                <w:color w:val="000000"/>
                <w:sz w:val="20"/>
                <w:szCs w:val="20"/>
              </w:rPr>
            </w:r>
          </w:p>
        </w:tc>
        <w:tc>
          <w:tcPr>
            <w:tcW w:w="747" w:type="pct"/>
            <w:vAlign w:val="center"/>
            <w:textDirection w:val="lrTb"/>
            <w:noWrap w:val="false"/>
          </w:tcPr>
          <w:p>
            <w:pPr>
              <w:jc w:val="center"/>
              <w:rPr>
                <w:sz w:val="20"/>
                <w:szCs w:val="20"/>
              </w:rPr>
            </w:pPr>
            <w:r>
              <w:rPr>
                <w:sz w:val="20"/>
                <w:szCs w:val="20"/>
              </w:rPr>
              <w:t xml:space="preserve">индивидуальная</w:t>
            </w:r>
            <w:r>
              <w:rPr>
                <w:sz w:val="20"/>
                <w:szCs w:val="20"/>
              </w:rPr>
            </w:r>
            <w:r>
              <w:rPr>
                <w:sz w:val="20"/>
                <w:szCs w:val="20"/>
              </w:rPr>
            </w:r>
          </w:p>
        </w:tc>
        <w:tc>
          <w:tcPr>
            <w:tcW w:w="545" w:type="pct"/>
            <w:vAlign w:val="center"/>
            <w:textDirection w:val="lrTb"/>
            <w:noWrap w:val="false"/>
          </w:tcPr>
          <w:p>
            <w:pPr>
              <w:jc w:val="center"/>
              <w:rPr>
                <w:sz w:val="20"/>
                <w:szCs w:val="20"/>
              </w:rPr>
            </w:pPr>
            <w:r>
              <w:rPr>
                <w:sz w:val="20"/>
                <w:szCs w:val="20"/>
              </w:rPr>
              <w:t xml:space="preserve">отопительная</w:t>
            </w:r>
            <w:r>
              <w:rPr>
                <w:sz w:val="20"/>
                <w:szCs w:val="20"/>
              </w:rPr>
            </w:r>
            <w:r>
              <w:rPr>
                <w:sz w:val="20"/>
                <w:szCs w:val="20"/>
              </w:rPr>
            </w:r>
          </w:p>
        </w:tc>
        <w:tc>
          <w:tcPr>
            <w:tcW w:w="780" w:type="pct"/>
            <w:vAlign w:val="center"/>
            <w:textDirection w:val="lrTb"/>
            <w:noWrap w:val="false"/>
          </w:tcPr>
          <w:p>
            <w:pPr>
              <w:jc w:val="center"/>
              <w:rPr>
                <w:sz w:val="20"/>
                <w:szCs w:val="20"/>
              </w:rPr>
            </w:pPr>
            <w:r>
              <w:rPr>
                <w:sz w:val="20"/>
                <w:szCs w:val="20"/>
              </w:rPr>
              <w:t xml:space="preserve">отопление</w:t>
            </w:r>
            <w:r>
              <w:rPr>
                <w:sz w:val="20"/>
                <w:szCs w:val="20"/>
              </w:rPr>
            </w:r>
            <w:r>
              <w:rPr>
                <w:sz w:val="20"/>
                <w:szCs w:val="20"/>
              </w:rPr>
            </w:r>
          </w:p>
        </w:tc>
        <w:tc>
          <w:tcPr>
            <w:tcW w:w="763" w:type="pct"/>
            <w:vAlign w:val="center"/>
            <w:textDirection w:val="lrTb"/>
            <w:noWrap w:val="false"/>
          </w:tcPr>
          <w:p>
            <w:pPr>
              <w:jc w:val="center"/>
              <w:rPr>
                <w:sz w:val="20"/>
                <w:szCs w:val="20"/>
              </w:rPr>
            </w:pPr>
            <w:r>
              <w:rPr>
                <w:sz w:val="20"/>
                <w:szCs w:val="20"/>
              </w:rPr>
              <w:t xml:space="preserve">первой категории</w:t>
            </w:r>
            <w:r>
              <w:rPr>
                <w:sz w:val="20"/>
                <w:szCs w:val="20"/>
              </w:rPr>
            </w:r>
            <w:r>
              <w:rPr>
                <w:sz w:val="20"/>
                <w:szCs w:val="20"/>
              </w:rPr>
            </w:r>
          </w:p>
        </w:tc>
        <w:tc>
          <w:tcPr>
            <w:tcW w:w="888" w:type="pct"/>
            <w:vAlign w:val="center"/>
            <w:textDirection w:val="lrTb"/>
            <w:noWrap w:val="false"/>
          </w:tcPr>
          <w:p>
            <w:pPr>
              <w:jc w:val="center"/>
              <w:rPr>
                <w:sz w:val="20"/>
                <w:szCs w:val="20"/>
              </w:rPr>
            </w:pPr>
            <w:r>
              <w:rPr>
                <w:sz w:val="20"/>
                <w:szCs w:val="20"/>
              </w:rPr>
              <w:t xml:space="preserve">вторая</w:t>
            </w:r>
            <w:r>
              <w:rPr>
                <w:sz w:val="20"/>
                <w:szCs w:val="20"/>
              </w:rPr>
            </w:r>
            <w:r>
              <w:rPr>
                <w:sz w:val="20"/>
                <w:szCs w:val="20"/>
              </w:rPr>
            </w:r>
          </w:p>
        </w:tc>
      </w:tr>
      <w:tr>
        <w:tblPrEx/>
        <w:trPr/>
        <w:tc>
          <w:tcPr>
            <w:tcW w:w="224" w:type="pct"/>
            <w:vAlign w:val="center"/>
            <w:textDirection w:val="lrTb"/>
            <w:noWrap w:val="false"/>
          </w:tcPr>
          <w:p>
            <w:pPr>
              <w:jc w:val="center"/>
              <w:rPr>
                <w:sz w:val="20"/>
                <w:szCs w:val="20"/>
              </w:rPr>
            </w:pPr>
            <w:r>
              <w:rPr>
                <w:sz w:val="20"/>
                <w:szCs w:val="20"/>
              </w:rPr>
              <w:t xml:space="preserve">6</w:t>
            </w:r>
            <w:r>
              <w:rPr>
                <w:sz w:val="20"/>
                <w:szCs w:val="20"/>
              </w:rPr>
            </w:r>
            <w:r>
              <w:rPr>
                <w:sz w:val="20"/>
                <w:szCs w:val="20"/>
              </w:rPr>
            </w:r>
          </w:p>
        </w:tc>
        <w:tc>
          <w:tcPr>
            <w:tcW w:w="1053" w:type="pct"/>
            <w:vAlign w:val="bottom"/>
            <w:textDirection w:val="lrTb"/>
            <w:noWrap w:val="false"/>
          </w:tcPr>
          <w:p>
            <w:pPr>
              <w:rPr>
                <w:color w:val="000000"/>
                <w:sz w:val="20"/>
                <w:szCs w:val="20"/>
              </w:rPr>
            </w:pPr>
            <w:r>
              <w:rPr>
                <w:color w:val="000000"/>
                <w:sz w:val="20"/>
                <w:szCs w:val="20"/>
              </w:rPr>
              <w:t xml:space="preserve">Котельная детского сада «Улыбка» р.п. Юргамыш, ул. Кирова, 38Г</w:t>
            </w:r>
            <w:r>
              <w:rPr>
                <w:color w:val="000000"/>
                <w:sz w:val="20"/>
                <w:szCs w:val="20"/>
              </w:rPr>
            </w:r>
            <w:r>
              <w:rPr>
                <w:color w:val="000000"/>
                <w:sz w:val="20"/>
                <w:szCs w:val="20"/>
              </w:rPr>
            </w:r>
          </w:p>
        </w:tc>
        <w:tc>
          <w:tcPr>
            <w:tcW w:w="747" w:type="pct"/>
            <w:vAlign w:val="center"/>
            <w:textDirection w:val="lrTb"/>
            <w:noWrap w:val="false"/>
          </w:tcPr>
          <w:p>
            <w:pPr>
              <w:jc w:val="center"/>
              <w:rPr>
                <w:sz w:val="20"/>
                <w:szCs w:val="20"/>
              </w:rPr>
            </w:pPr>
            <w:r>
              <w:rPr>
                <w:sz w:val="20"/>
                <w:szCs w:val="20"/>
              </w:rPr>
              <w:t xml:space="preserve">индивидуальная</w:t>
            </w:r>
            <w:r>
              <w:rPr>
                <w:sz w:val="20"/>
                <w:szCs w:val="20"/>
              </w:rPr>
            </w:r>
            <w:r>
              <w:rPr>
                <w:sz w:val="20"/>
                <w:szCs w:val="20"/>
              </w:rPr>
            </w:r>
          </w:p>
        </w:tc>
        <w:tc>
          <w:tcPr>
            <w:tcW w:w="545" w:type="pct"/>
            <w:vAlign w:val="center"/>
            <w:textDirection w:val="lrTb"/>
            <w:noWrap w:val="false"/>
          </w:tcPr>
          <w:p>
            <w:pPr>
              <w:jc w:val="center"/>
              <w:rPr>
                <w:sz w:val="20"/>
                <w:szCs w:val="20"/>
              </w:rPr>
            </w:pPr>
            <w:r>
              <w:rPr>
                <w:sz w:val="20"/>
                <w:szCs w:val="20"/>
              </w:rPr>
              <w:t xml:space="preserve">отопительная</w:t>
            </w:r>
            <w:r>
              <w:rPr>
                <w:sz w:val="20"/>
                <w:szCs w:val="20"/>
              </w:rPr>
            </w:r>
            <w:r>
              <w:rPr>
                <w:sz w:val="20"/>
                <w:szCs w:val="20"/>
              </w:rPr>
            </w:r>
          </w:p>
        </w:tc>
        <w:tc>
          <w:tcPr>
            <w:tcW w:w="780" w:type="pct"/>
            <w:vAlign w:val="center"/>
            <w:textDirection w:val="lrTb"/>
            <w:noWrap w:val="false"/>
          </w:tcPr>
          <w:p>
            <w:pPr>
              <w:jc w:val="center"/>
              <w:rPr>
                <w:sz w:val="20"/>
                <w:szCs w:val="20"/>
              </w:rPr>
            </w:pPr>
            <w:r>
              <w:rPr>
                <w:sz w:val="20"/>
                <w:szCs w:val="20"/>
              </w:rPr>
              <w:t xml:space="preserve">отопление</w:t>
            </w:r>
            <w:r>
              <w:rPr>
                <w:sz w:val="20"/>
                <w:szCs w:val="20"/>
              </w:rPr>
            </w:r>
            <w:r>
              <w:rPr>
                <w:sz w:val="20"/>
                <w:szCs w:val="20"/>
              </w:rPr>
            </w:r>
          </w:p>
        </w:tc>
        <w:tc>
          <w:tcPr>
            <w:tcW w:w="763" w:type="pct"/>
            <w:vAlign w:val="center"/>
            <w:textDirection w:val="lrTb"/>
            <w:noWrap w:val="false"/>
          </w:tcPr>
          <w:p>
            <w:pPr>
              <w:jc w:val="center"/>
              <w:rPr>
                <w:sz w:val="20"/>
                <w:szCs w:val="20"/>
              </w:rPr>
            </w:pPr>
            <w:r>
              <w:rPr>
                <w:sz w:val="20"/>
                <w:szCs w:val="20"/>
              </w:rPr>
              <w:t xml:space="preserve">первой категории</w:t>
            </w:r>
            <w:r>
              <w:rPr>
                <w:sz w:val="20"/>
                <w:szCs w:val="20"/>
              </w:rPr>
            </w:r>
            <w:r>
              <w:rPr>
                <w:sz w:val="20"/>
                <w:szCs w:val="20"/>
              </w:rPr>
            </w:r>
          </w:p>
        </w:tc>
        <w:tc>
          <w:tcPr>
            <w:tcW w:w="888" w:type="pct"/>
            <w:vAlign w:val="center"/>
            <w:textDirection w:val="lrTb"/>
            <w:noWrap w:val="false"/>
          </w:tcPr>
          <w:p>
            <w:pPr>
              <w:jc w:val="center"/>
              <w:rPr>
                <w:sz w:val="20"/>
                <w:szCs w:val="20"/>
              </w:rPr>
            </w:pPr>
            <w:r>
              <w:rPr>
                <w:sz w:val="20"/>
                <w:szCs w:val="20"/>
              </w:rPr>
              <w:t xml:space="preserve">вторая</w:t>
            </w:r>
            <w:r>
              <w:rPr>
                <w:sz w:val="20"/>
                <w:szCs w:val="20"/>
              </w:rPr>
            </w:r>
            <w:r>
              <w:rPr>
                <w:sz w:val="20"/>
                <w:szCs w:val="20"/>
              </w:rPr>
            </w:r>
          </w:p>
        </w:tc>
      </w:tr>
      <w:tr>
        <w:tblPrEx/>
        <w:trPr/>
        <w:tc>
          <w:tcPr>
            <w:tcW w:w="224" w:type="pct"/>
            <w:vAlign w:val="center"/>
            <w:textDirection w:val="lrTb"/>
            <w:noWrap w:val="false"/>
          </w:tcPr>
          <w:p>
            <w:pPr>
              <w:jc w:val="center"/>
              <w:rPr>
                <w:sz w:val="20"/>
                <w:szCs w:val="20"/>
              </w:rPr>
            </w:pPr>
            <w:r>
              <w:rPr>
                <w:sz w:val="20"/>
                <w:szCs w:val="20"/>
              </w:rPr>
              <w:t xml:space="preserve">7</w:t>
            </w:r>
            <w:r>
              <w:rPr>
                <w:sz w:val="20"/>
                <w:szCs w:val="20"/>
              </w:rPr>
            </w:r>
            <w:r>
              <w:rPr>
                <w:sz w:val="20"/>
                <w:szCs w:val="20"/>
              </w:rPr>
            </w:r>
          </w:p>
        </w:tc>
        <w:tc>
          <w:tcPr>
            <w:tcW w:w="1053" w:type="pct"/>
            <w:vAlign w:val="bottom"/>
            <w:textDirection w:val="lrTb"/>
            <w:noWrap w:val="false"/>
          </w:tcPr>
          <w:p>
            <w:pPr>
              <w:rPr>
                <w:color w:val="000000"/>
                <w:sz w:val="20"/>
                <w:szCs w:val="20"/>
              </w:rPr>
            </w:pPr>
            <w:r>
              <w:rPr>
                <w:color w:val="000000"/>
                <w:sz w:val="20"/>
                <w:szCs w:val="20"/>
              </w:rPr>
              <w:t xml:space="preserve">Котельная ЦРБ р.п. Юргамыш, ул. Леспромхоза, 4А</w:t>
            </w:r>
            <w:r>
              <w:rPr>
                <w:color w:val="000000"/>
                <w:sz w:val="20"/>
                <w:szCs w:val="20"/>
              </w:rPr>
            </w:r>
            <w:r>
              <w:rPr>
                <w:color w:val="000000"/>
                <w:sz w:val="20"/>
                <w:szCs w:val="20"/>
              </w:rPr>
            </w:r>
          </w:p>
        </w:tc>
        <w:tc>
          <w:tcPr>
            <w:tcW w:w="747" w:type="pct"/>
            <w:vAlign w:val="center"/>
            <w:textDirection w:val="lrTb"/>
            <w:noWrap w:val="false"/>
          </w:tcPr>
          <w:p>
            <w:pPr>
              <w:jc w:val="center"/>
              <w:rPr>
                <w:sz w:val="20"/>
                <w:szCs w:val="20"/>
              </w:rPr>
            </w:pPr>
            <w:r>
              <w:rPr>
                <w:sz w:val="20"/>
                <w:szCs w:val="20"/>
              </w:rPr>
              <w:t xml:space="preserve">индивидуальная</w:t>
            </w:r>
            <w:r>
              <w:rPr>
                <w:sz w:val="20"/>
                <w:szCs w:val="20"/>
              </w:rPr>
            </w:r>
            <w:r>
              <w:rPr>
                <w:sz w:val="20"/>
                <w:szCs w:val="20"/>
              </w:rPr>
            </w:r>
          </w:p>
        </w:tc>
        <w:tc>
          <w:tcPr>
            <w:tcW w:w="545" w:type="pct"/>
            <w:vAlign w:val="center"/>
            <w:textDirection w:val="lrTb"/>
            <w:noWrap w:val="false"/>
          </w:tcPr>
          <w:p>
            <w:pPr>
              <w:jc w:val="center"/>
              <w:rPr>
                <w:sz w:val="20"/>
                <w:szCs w:val="20"/>
              </w:rPr>
            </w:pPr>
            <w:r>
              <w:rPr>
                <w:sz w:val="20"/>
                <w:szCs w:val="20"/>
              </w:rPr>
              <w:t xml:space="preserve">отопительная</w:t>
            </w:r>
            <w:r>
              <w:rPr>
                <w:sz w:val="20"/>
                <w:szCs w:val="20"/>
              </w:rPr>
            </w:r>
            <w:r>
              <w:rPr>
                <w:sz w:val="20"/>
                <w:szCs w:val="20"/>
              </w:rPr>
            </w:r>
          </w:p>
        </w:tc>
        <w:tc>
          <w:tcPr>
            <w:tcW w:w="780" w:type="pct"/>
            <w:vAlign w:val="center"/>
            <w:textDirection w:val="lrTb"/>
            <w:noWrap w:val="false"/>
          </w:tcPr>
          <w:p>
            <w:pPr>
              <w:jc w:val="center"/>
              <w:rPr>
                <w:sz w:val="20"/>
                <w:szCs w:val="20"/>
              </w:rPr>
            </w:pPr>
            <w:r>
              <w:rPr>
                <w:sz w:val="20"/>
                <w:szCs w:val="20"/>
              </w:rPr>
              <w:t xml:space="preserve">отопление</w:t>
            </w:r>
            <w:r>
              <w:rPr>
                <w:sz w:val="20"/>
                <w:szCs w:val="20"/>
              </w:rPr>
            </w:r>
            <w:r>
              <w:rPr>
                <w:sz w:val="20"/>
                <w:szCs w:val="20"/>
              </w:rPr>
            </w:r>
          </w:p>
        </w:tc>
        <w:tc>
          <w:tcPr>
            <w:tcW w:w="763" w:type="pct"/>
            <w:vAlign w:val="center"/>
            <w:textDirection w:val="lrTb"/>
            <w:noWrap w:val="false"/>
          </w:tcPr>
          <w:p>
            <w:pPr>
              <w:jc w:val="center"/>
              <w:rPr>
                <w:sz w:val="20"/>
                <w:szCs w:val="20"/>
              </w:rPr>
            </w:pPr>
            <w:r>
              <w:rPr>
                <w:sz w:val="20"/>
                <w:szCs w:val="20"/>
              </w:rPr>
              <w:t xml:space="preserve">первой категории</w:t>
            </w:r>
            <w:r>
              <w:rPr>
                <w:sz w:val="20"/>
                <w:szCs w:val="20"/>
              </w:rPr>
            </w:r>
            <w:r>
              <w:rPr>
                <w:sz w:val="20"/>
                <w:szCs w:val="20"/>
              </w:rPr>
            </w:r>
          </w:p>
        </w:tc>
        <w:tc>
          <w:tcPr>
            <w:tcW w:w="888" w:type="pct"/>
            <w:vAlign w:val="center"/>
            <w:textDirection w:val="lrTb"/>
            <w:noWrap w:val="false"/>
          </w:tcPr>
          <w:p>
            <w:pPr>
              <w:jc w:val="center"/>
              <w:rPr>
                <w:sz w:val="20"/>
                <w:szCs w:val="20"/>
              </w:rPr>
            </w:pPr>
            <w:r>
              <w:rPr>
                <w:sz w:val="20"/>
                <w:szCs w:val="20"/>
              </w:rPr>
              <w:t xml:space="preserve">первая</w:t>
            </w:r>
            <w:r>
              <w:rPr>
                <w:sz w:val="20"/>
                <w:szCs w:val="20"/>
              </w:rPr>
            </w:r>
            <w:r>
              <w:rPr>
                <w:sz w:val="20"/>
                <w:szCs w:val="20"/>
              </w:rPr>
            </w:r>
          </w:p>
        </w:tc>
      </w:tr>
      <w:tr>
        <w:tblPrEx/>
        <w:trPr/>
        <w:tc>
          <w:tcPr>
            <w:tcW w:w="224" w:type="pct"/>
            <w:vAlign w:val="center"/>
            <w:textDirection w:val="lrTb"/>
            <w:noWrap w:val="false"/>
          </w:tcPr>
          <w:p>
            <w:pPr>
              <w:jc w:val="center"/>
              <w:rPr>
                <w:sz w:val="20"/>
                <w:szCs w:val="20"/>
              </w:rPr>
            </w:pPr>
            <w:r>
              <w:rPr>
                <w:sz w:val="20"/>
                <w:szCs w:val="20"/>
              </w:rPr>
              <w:t xml:space="preserve">8</w:t>
            </w:r>
            <w:r>
              <w:rPr>
                <w:sz w:val="20"/>
                <w:szCs w:val="20"/>
              </w:rPr>
            </w:r>
            <w:r>
              <w:rPr>
                <w:sz w:val="20"/>
                <w:szCs w:val="20"/>
              </w:rPr>
            </w:r>
          </w:p>
        </w:tc>
        <w:tc>
          <w:tcPr>
            <w:tcW w:w="1053" w:type="pct"/>
            <w:vAlign w:val="bottom"/>
            <w:textDirection w:val="lrTb"/>
            <w:noWrap w:val="false"/>
          </w:tcPr>
          <w:p>
            <w:pPr>
              <w:rPr>
                <w:color w:val="000000"/>
                <w:sz w:val="20"/>
                <w:szCs w:val="20"/>
              </w:rPr>
            </w:pPr>
            <w:r>
              <w:rPr>
                <w:color w:val="000000"/>
                <w:sz w:val="20"/>
                <w:szCs w:val="20"/>
              </w:rPr>
              <w:t xml:space="preserve">Котельная р.п. Юргамыш, ул. Ленина, 16А</w:t>
            </w:r>
            <w:r>
              <w:rPr>
                <w:color w:val="000000"/>
                <w:sz w:val="20"/>
                <w:szCs w:val="20"/>
              </w:rPr>
            </w:r>
            <w:r>
              <w:rPr>
                <w:color w:val="000000"/>
                <w:sz w:val="20"/>
                <w:szCs w:val="20"/>
              </w:rPr>
            </w:r>
          </w:p>
        </w:tc>
        <w:tc>
          <w:tcPr>
            <w:tcW w:w="747" w:type="pct"/>
            <w:vAlign w:val="center"/>
            <w:textDirection w:val="lrTb"/>
            <w:noWrap w:val="false"/>
          </w:tcPr>
          <w:p>
            <w:pPr>
              <w:jc w:val="center"/>
              <w:rPr>
                <w:sz w:val="20"/>
                <w:szCs w:val="20"/>
              </w:rPr>
            </w:pPr>
            <w:r>
              <w:rPr>
                <w:sz w:val="20"/>
                <w:szCs w:val="20"/>
              </w:rPr>
              <w:t xml:space="preserve">индивидуальная</w:t>
            </w:r>
            <w:r>
              <w:rPr>
                <w:sz w:val="20"/>
                <w:szCs w:val="20"/>
              </w:rPr>
            </w:r>
            <w:r>
              <w:rPr>
                <w:sz w:val="20"/>
                <w:szCs w:val="20"/>
              </w:rPr>
            </w:r>
          </w:p>
        </w:tc>
        <w:tc>
          <w:tcPr>
            <w:tcW w:w="545" w:type="pct"/>
            <w:vAlign w:val="center"/>
            <w:textDirection w:val="lrTb"/>
            <w:noWrap w:val="false"/>
          </w:tcPr>
          <w:p>
            <w:pPr>
              <w:jc w:val="center"/>
              <w:rPr>
                <w:sz w:val="20"/>
                <w:szCs w:val="20"/>
              </w:rPr>
            </w:pPr>
            <w:r>
              <w:rPr>
                <w:sz w:val="20"/>
                <w:szCs w:val="20"/>
              </w:rPr>
              <w:t xml:space="preserve">отопительная</w:t>
            </w:r>
            <w:r>
              <w:rPr>
                <w:sz w:val="20"/>
                <w:szCs w:val="20"/>
              </w:rPr>
            </w:r>
            <w:r>
              <w:rPr>
                <w:sz w:val="20"/>
                <w:szCs w:val="20"/>
              </w:rPr>
            </w:r>
          </w:p>
        </w:tc>
        <w:tc>
          <w:tcPr>
            <w:tcW w:w="780" w:type="pct"/>
            <w:vAlign w:val="center"/>
            <w:textDirection w:val="lrTb"/>
            <w:noWrap w:val="false"/>
          </w:tcPr>
          <w:p>
            <w:pPr>
              <w:jc w:val="center"/>
              <w:rPr>
                <w:sz w:val="20"/>
                <w:szCs w:val="20"/>
              </w:rPr>
            </w:pPr>
            <w:r>
              <w:rPr>
                <w:sz w:val="20"/>
                <w:szCs w:val="20"/>
              </w:rPr>
              <w:t xml:space="preserve">отопление</w:t>
            </w:r>
            <w:r>
              <w:rPr>
                <w:sz w:val="20"/>
                <w:szCs w:val="20"/>
              </w:rPr>
            </w:r>
            <w:r>
              <w:rPr>
                <w:sz w:val="20"/>
                <w:szCs w:val="20"/>
              </w:rPr>
            </w:r>
          </w:p>
        </w:tc>
        <w:tc>
          <w:tcPr>
            <w:tcW w:w="763" w:type="pct"/>
            <w:vAlign w:val="center"/>
            <w:textDirection w:val="lrTb"/>
            <w:noWrap w:val="false"/>
          </w:tcPr>
          <w:p>
            <w:pPr>
              <w:jc w:val="center"/>
              <w:rPr>
                <w:sz w:val="20"/>
                <w:szCs w:val="20"/>
              </w:rPr>
            </w:pPr>
            <w:r>
              <w:rPr>
                <w:sz w:val="20"/>
                <w:szCs w:val="20"/>
              </w:rPr>
              <w:t xml:space="preserve">первой категории</w:t>
            </w:r>
            <w:r>
              <w:rPr>
                <w:sz w:val="20"/>
                <w:szCs w:val="20"/>
              </w:rPr>
            </w:r>
            <w:r>
              <w:rPr>
                <w:sz w:val="20"/>
                <w:szCs w:val="20"/>
              </w:rPr>
            </w:r>
          </w:p>
        </w:tc>
        <w:tc>
          <w:tcPr>
            <w:tcW w:w="888" w:type="pct"/>
            <w:vAlign w:val="center"/>
            <w:textDirection w:val="lrTb"/>
            <w:noWrap w:val="false"/>
          </w:tcPr>
          <w:p>
            <w:pPr>
              <w:jc w:val="center"/>
              <w:rPr>
                <w:sz w:val="20"/>
                <w:szCs w:val="20"/>
              </w:rPr>
            </w:pPr>
            <w:r>
              <w:rPr>
                <w:sz w:val="20"/>
                <w:szCs w:val="20"/>
              </w:rPr>
              <w:t xml:space="preserve">вторая</w:t>
            </w:r>
            <w:r>
              <w:rPr>
                <w:sz w:val="20"/>
                <w:szCs w:val="20"/>
              </w:rPr>
            </w:r>
            <w:r>
              <w:rPr>
                <w:sz w:val="20"/>
                <w:szCs w:val="20"/>
              </w:rPr>
            </w:r>
          </w:p>
        </w:tc>
      </w:tr>
      <w:tr>
        <w:tblPrEx/>
        <w:trPr/>
        <w:tc>
          <w:tcPr>
            <w:tcW w:w="224" w:type="pct"/>
            <w:vAlign w:val="center"/>
            <w:textDirection w:val="lrTb"/>
            <w:noWrap w:val="false"/>
          </w:tcPr>
          <w:p>
            <w:pPr>
              <w:jc w:val="center"/>
              <w:rPr>
                <w:sz w:val="20"/>
                <w:szCs w:val="20"/>
              </w:rPr>
            </w:pPr>
            <w:r>
              <w:rPr>
                <w:sz w:val="20"/>
                <w:szCs w:val="20"/>
              </w:rPr>
              <w:t xml:space="preserve">9</w:t>
            </w:r>
            <w:r>
              <w:rPr>
                <w:sz w:val="20"/>
                <w:szCs w:val="20"/>
              </w:rPr>
            </w:r>
            <w:r>
              <w:rPr>
                <w:sz w:val="20"/>
                <w:szCs w:val="20"/>
              </w:rPr>
            </w:r>
          </w:p>
        </w:tc>
        <w:tc>
          <w:tcPr>
            <w:tcW w:w="1053" w:type="pct"/>
            <w:vAlign w:val="bottom"/>
            <w:textDirection w:val="lrTb"/>
            <w:noWrap w:val="false"/>
          </w:tcPr>
          <w:p>
            <w:pPr>
              <w:rPr>
                <w:color w:val="000000"/>
                <w:sz w:val="20"/>
                <w:szCs w:val="20"/>
              </w:rPr>
            </w:pPr>
            <w:r>
              <w:rPr>
                <w:color w:val="000000"/>
                <w:sz w:val="20"/>
                <w:szCs w:val="20"/>
              </w:rPr>
              <w:t xml:space="preserve">Котельная Государственного бюджетного профессионального образовательного учреждения Курганский базовый медицинский колледж (ГБПОУ «КБМК»)</w:t>
            </w:r>
            <w:r>
              <w:rPr>
                <w:color w:val="000000"/>
                <w:sz w:val="20"/>
                <w:szCs w:val="20"/>
              </w:rPr>
            </w:r>
            <w:r>
              <w:rPr>
                <w:color w:val="000000"/>
                <w:sz w:val="20"/>
                <w:szCs w:val="20"/>
              </w:rPr>
            </w:r>
          </w:p>
        </w:tc>
        <w:tc>
          <w:tcPr>
            <w:tcW w:w="747" w:type="pct"/>
            <w:vAlign w:val="center"/>
            <w:textDirection w:val="lrTb"/>
            <w:noWrap w:val="false"/>
          </w:tcPr>
          <w:p>
            <w:pPr>
              <w:jc w:val="center"/>
              <w:rPr>
                <w:sz w:val="20"/>
                <w:szCs w:val="20"/>
              </w:rPr>
            </w:pPr>
            <w:r>
              <w:rPr>
                <w:sz w:val="20"/>
                <w:szCs w:val="20"/>
              </w:rPr>
              <w:t xml:space="preserve">индивидуальная</w:t>
            </w:r>
            <w:r>
              <w:rPr>
                <w:sz w:val="20"/>
                <w:szCs w:val="20"/>
              </w:rPr>
            </w:r>
            <w:r>
              <w:rPr>
                <w:sz w:val="20"/>
                <w:szCs w:val="20"/>
              </w:rPr>
            </w:r>
          </w:p>
        </w:tc>
        <w:tc>
          <w:tcPr>
            <w:tcW w:w="545" w:type="pct"/>
            <w:vAlign w:val="center"/>
            <w:textDirection w:val="lrTb"/>
            <w:noWrap w:val="false"/>
          </w:tcPr>
          <w:p>
            <w:pPr>
              <w:jc w:val="center"/>
              <w:rPr>
                <w:sz w:val="20"/>
                <w:szCs w:val="20"/>
              </w:rPr>
            </w:pPr>
            <w:r>
              <w:rPr>
                <w:sz w:val="20"/>
                <w:szCs w:val="20"/>
              </w:rPr>
              <w:t xml:space="preserve">отопительная</w:t>
            </w:r>
            <w:r>
              <w:rPr>
                <w:sz w:val="20"/>
                <w:szCs w:val="20"/>
              </w:rPr>
            </w:r>
            <w:r>
              <w:rPr>
                <w:sz w:val="20"/>
                <w:szCs w:val="20"/>
              </w:rPr>
            </w:r>
          </w:p>
        </w:tc>
        <w:tc>
          <w:tcPr>
            <w:tcW w:w="780" w:type="pct"/>
            <w:vAlign w:val="center"/>
            <w:textDirection w:val="lrTb"/>
            <w:noWrap w:val="false"/>
          </w:tcPr>
          <w:p>
            <w:pPr>
              <w:jc w:val="center"/>
              <w:rPr>
                <w:sz w:val="20"/>
                <w:szCs w:val="20"/>
              </w:rPr>
            </w:pPr>
            <w:r>
              <w:rPr>
                <w:sz w:val="20"/>
                <w:szCs w:val="20"/>
              </w:rPr>
              <w:t xml:space="preserve">отопление</w:t>
            </w:r>
            <w:r>
              <w:rPr>
                <w:sz w:val="20"/>
                <w:szCs w:val="20"/>
              </w:rPr>
            </w:r>
            <w:r>
              <w:rPr>
                <w:sz w:val="20"/>
                <w:szCs w:val="20"/>
              </w:rPr>
            </w:r>
          </w:p>
        </w:tc>
        <w:tc>
          <w:tcPr>
            <w:tcW w:w="763" w:type="pct"/>
            <w:vAlign w:val="center"/>
            <w:textDirection w:val="lrTb"/>
            <w:noWrap w:val="false"/>
          </w:tcPr>
          <w:p>
            <w:pPr>
              <w:jc w:val="center"/>
              <w:rPr>
                <w:sz w:val="20"/>
                <w:szCs w:val="20"/>
              </w:rPr>
            </w:pPr>
            <w:r>
              <w:rPr>
                <w:sz w:val="20"/>
                <w:szCs w:val="20"/>
              </w:rPr>
              <w:t xml:space="preserve">первой категории</w:t>
            </w:r>
            <w:r>
              <w:rPr>
                <w:sz w:val="20"/>
                <w:szCs w:val="20"/>
              </w:rPr>
            </w:r>
            <w:r>
              <w:rPr>
                <w:sz w:val="20"/>
                <w:szCs w:val="20"/>
              </w:rPr>
            </w:r>
          </w:p>
        </w:tc>
        <w:tc>
          <w:tcPr>
            <w:tcW w:w="888" w:type="pct"/>
            <w:vAlign w:val="center"/>
            <w:textDirection w:val="lrTb"/>
            <w:noWrap w:val="false"/>
          </w:tcPr>
          <w:p>
            <w:pPr>
              <w:jc w:val="center"/>
              <w:rPr>
                <w:sz w:val="20"/>
                <w:szCs w:val="20"/>
              </w:rPr>
            </w:pPr>
            <w:r>
              <w:rPr>
                <w:sz w:val="20"/>
                <w:szCs w:val="20"/>
              </w:rPr>
              <w:t xml:space="preserve">вторая</w:t>
            </w:r>
            <w:r>
              <w:rPr>
                <w:sz w:val="20"/>
                <w:szCs w:val="20"/>
              </w:rPr>
            </w:r>
            <w:r>
              <w:rPr>
                <w:sz w:val="20"/>
                <w:szCs w:val="20"/>
              </w:rPr>
            </w:r>
          </w:p>
        </w:tc>
      </w:tr>
      <w:tr>
        <w:tblPrEx/>
        <w:trPr/>
        <w:tc>
          <w:tcPr>
            <w:tcW w:w="224" w:type="pct"/>
            <w:vAlign w:val="center"/>
            <w:textDirection w:val="lrTb"/>
            <w:noWrap w:val="false"/>
          </w:tcPr>
          <w:p>
            <w:pPr>
              <w:jc w:val="center"/>
              <w:rPr>
                <w:sz w:val="20"/>
                <w:szCs w:val="20"/>
              </w:rPr>
            </w:pPr>
            <w:r>
              <w:rPr>
                <w:sz w:val="20"/>
                <w:szCs w:val="20"/>
              </w:rPr>
              <w:t xml:space="preserve">10</w:t>
            </w:r>
            <w:r>
              <w:rPr>
                <w:sz w:val="20"/>
                <w:szCs w:val="20"/>
              </w:rPr>
            </w:r>
            <w:r>
              <w:rPr>
                <w:sz w:val="20"/>
                <w:szCs w:val="20"/>
              </w:rPr>
            </w:r>
          </w:p>
        </w:tc>
        <w:tc>
          <w:tcPr>
            <w:tcW w:w="1053" w:type="pct"/>
            <w:vAlign w:val="bottom"/>
            <w:textDirection w:val="lrTb"/>
            <w:noWrap w:val="false"/>
          </w:tcPr>
          <w:p>
            <w:pPr>
              <w:rPr>
                <w:color w:val="000000"/>
                <w:sz w:val="20"/>
                <w:szCs w:val="20"/>
              </w:rPr>
            </w:pPr>
            <w:r>
              <w:rPr>
                <w:color w:val="000000"/>
                <w:sz w:val="20"/>
                <w:szCs w:val="20"/>
              </w:rPr>
              <w:t xml:space="preserve">Котельная с. Кислянское, ул. Советская, 25А</w:t>
            </w:r>
            <w:r>
              <w:rPr>
                <w:color w:val="000000"/>
                <w:sz w:val="20"/>
                <w:szCs w:val="20"/>
              </w:rPr>
            </w:r>
            <w:r>
              <w:rPr>
                <w:color w:val="000000"/>
                <w:sz w:val="20"/>
                <w:szCs w:val="20"/>
              </w:rPr>
            </w:r>
          </w:p>
        </w:tc>
        <w:tc>
          <w:tcPr>
            <w:tcW w:w="747" w:type="pct"/>
            <w:vAlign w:val="center"/>
            <w:textDirection w:val="lrTb"/>
            <w:noWrap w:val="false"/>
          </w:tcPr>
          <w:p>
            <w:pPr>
              <w:jc w:val="center"/>
              <w:rPr>
                <w:sz w:val="20"/>
                <w:szCs w:val="20"/>
              </w:rPr>
            </w:pPr>
            <w:r>
              <w:rPr>
                <w:sz w:val="20"/>
                <w:szCs w:val="20"/>
              </w:rPr>
              <w:t xml:space="preserve">индивидуальная</w:t>
            </w:r>
            <w:r>
              <w:rPr>
                <w:sz w:val="20"/>
                <w:szCs w:val="20"/>
              </w:rPr>
            </w:r>
            <w:r>
              <w:rPr>
                <w:sz w:val="20"/>
                <w:szCs w:val="20"/>
              </w:rPr>
            </w:r>
          </w:p>
        </w:tc>
        <w:tc>
          <w:tcPr>
            <w:tcW w:w="545" w:type="pct"/>
            <w:vAlign w:val="center"/>
            <w:textDirection w:val="lrTb"/>
            <w:noWrap w:val="false"/>
          </w:tcPr>
          <w:p>
            <w:pPr>
              <w:jc w:val="center"/>
              <w:rPr>
                <w:sz w:val="20"/>
                <w:szCs w:val="20"/>
              </w:rPr>
            </w:pPr>
            <w:r>
              <w:rPr>
                <w:sz w:val="20"/>
                <w:szCs w:val="20"/>
              </w:rPr>
              <w:t xml:space="preserve">отопительная</w:t>
            </w:r>
            <w:r>
              <w:rPr>
                <w:sz w:val="20"/>
                <w:szCs w:val="20"/>
              </w:rPr>
            </w:r>
            <w:r>
              <w:rPr>
                <w:sz w:val="20"/>
                <w:szCs w:val="20"/>
              </w:rPr>
            </w:r>
          </w:p>
        </w:tc>
        <w:tc>
          <w:tcPr>
            <w:tcW w:w="780" w:type="pct"/>
            <w:vAlign w:val="center"/>
            <w:textDirection w:val="lrTb"/>
            <w:noWrap w:val="false"/>
          </w:tcPr>
          <w:p>
            <w:pPr>
              <w:jc w:val="center"/>
              <w:rPr>
                <w:sz w:val="20"/>
                <w:szCs w:val="20"/>
              </w:rPr>
            </w:pPr>
            <w:r>
              <w:rPr>
                <w:sz w:val="20"/>
                <w:szCs w:val="20"/>
              </w:rPr>
              <w:t xml:space="preserve">отопление</w:t>
            </w:r>
            <w:r>
              <w:rPr>
                <w:sz w:val="20"/>
                <w:szCs w:val="20"/>
              </w:rPr>
            </w:r>
            <w:r>
              <w:rPr>
                <w:sz w:val="20"/>
                <w:szCs w:val="20"/>
              </w:rPr>
            </w:r>
          </w:p>
        </w:tc>
        <w:tc>
          <w:tcPr>
            <w:tcW w:w="763" w:type="pct"/>
            <w:vAlign w:val="center"/>
            <w:textDirection w:val="lrTb"/>
            <w:noWrap w:val="false"/>
          </w:tcPr>
          <w:p>
            <w:pPr>
              <w:jc w:val="center"/>
              <w:rPr>
                <w:sz w:val="20"/>
                <w:szCs w:val="20"/>
              </w:rPr>
            </w:pPr>
            <w:r>
              <w:rPr>
                <w:sz w:val="20"/>
                <w:szCs w:val="20"/>
              </w:rPr>
              <w:t xml:space="preserve">первой категории</w:t>
            </w:r>
            <w:r>
              <w:rPr>
                <w:sz w:val="20"/>
                <w:szCs w:val="20"/>
              </w:rPr>
            </w:r>
            <w:r>
              <w:rPr>
                <w:sz w:val="20"/>
                <w:szCs w:val="20"/>
              </w:rPr>
            </w:r>
          </w:p>
        </w:tc>
        <w:tc>
          <w:tcPr>
            <w:tcW w:w="888" w:type="pct"/>
            <w:vAlign w:val="center"/>
            <w:textDirection w:val="lrTb"/>
            <w:noWrap w:val="false"/>
          </w:tcPr>
          <w:p>
            <w:pPr>
              <w:jc w:val="center"/>
              <w:rPr>
                <w:sz w:val="20"/>
                <w:szCs w:val="20"/>
              </w:rPr>
            </w:pPr>
            <w:r>
              <w:rPr>
                <w:sz w:val="20"/>
                <w:szCs w:val="20"/>
              </w:rPr>
              <w:t xml:space="preserve">вторая</w:t>
            </w:r>
            <w:r>
              <w:rPr>
                <w:sz w:val="20"/>
                <w:szCs w:val="20"/>
              </w:rPr>
            </w:r>
            <w:r>
              <w:rPr>
                <w:sz w:val="20"/>
                <w:szCs w:val="20"/>
              </w:rPr>
            </w:r>
          </w:p>
        </w:tc>
      </w:tr>
      <w:tr>
        <w:tblPrEx/>
        <w:trPr/>
        <w:tc>
          <w:tcPr>
            <w:tcW w:w="224" w:type="pct"/>
            <w:vAlign w:val="center"/>
            <w:textDirection w:val="lrTb"/>
            <w:noWrap w:val="false"/>
          </w:tcPr>
          <w:p>
            <w:pPr>
              <w:jc w:val="center"/>
              <w:rPr>
                <w:sz w:val="20"/>
                <w:szCs w:val="20"/>
              </w:rPr>
            </w:pPr>
            <w:r>
              <w:rPr>
                <w:sz w:val="20"/>
                <w:szCs w:val="20"/>
              </w:rPr>
              <w:t xml:space="preserve">11</w:t>
            </w:r>
            <w:r>
              <w:rPr>
                <w:sz w:val="20"/>
                <w:szCs w:val="20"/>
              </w:rPr>
            </w:r>
            <w:r>
              <w:rPr>
                <w:sz w:val="20"/>
                <w:szCs w:val="20"/>
              </w:rPr>
            </w:r>
          </w:p>
        </w:tc>
        <w:tc>
          <w:tcPr>
            <w:tcW w:w="1053" w:type="pct"/>
            <w:vAlign w:val="bottom"/>
            <w:textDirection w:val="lrTb"/>
            <w:noWrap w:val="false"/>
          </w:tcPr>
          <w:p>
            <w:pPr>
              <w:rPr>
                <w:color w:val="000000"/>
                <w:sz w:val="20"/>
                <w:szCs w:val="20"/>
              </w:rPr>
            </w:pPr>
            <w:r>
              <w:rPr>
                <w:color w:val="000000"/>
                <w:sz w:val="20"/>
                <w:szCs w:val="20"/>
              </w:rPr>
              <w:t xml:space="preserve">Котельная с. Чинеево, ул. Центральная, 7Б</w:t>
            </w:r>
            <w:r>
              <w:rPr>
                <w:color w:val="000000"/>
                <w:sz w:val="20"/>
                <w:szCs w:val="20"/>
              </w:rPr>
            </w:r>
            <w:r>
              <w:rPr>
                <w:color w:val="000000"/>
                <w:sz w:val="20"/>
                <w:szCs w:val="20"/>
              </w:rPr>
            </w:r>
          </w:p>
        </w:tc>
        <w:tc>
          <w:tcPr>
            <w:tcW w:w="747" w:type="pct"/>
            <w:vAlign w:val="center"/>
            <w:textDirection w:val="lrTb"/>
            <w:noWrap w:val="false"/>
          </w:tcPr>
          <w:p>
            <w:pPr>
              <w:jc w:val="center"/>
              <w:rPr>
                <w:sz w:val="20"/>
                <w:szCs w:val="20"/>
              </w:rPr>
            </w:pPr>
            <w:r>
              <w:rPr>
                <w:sz w:val="20"/>
                <w:szCs w:val="20"/>
              </w:rPr>
              <w:t xml:space="preserve">индивидуальная</w:t>
            </w:r>
            <w:r>
              <w:rPr>
                <w:sz w:val="20"/>
                <w:szCs w:val="20"/>
              </w:rPr>
            </w:r>
            <w:r>
              <w:rPr>
                <w:sz w:val="20"/>
                <w:szCs w:val="20"/>
              </w:rPr>
            </w:r>
          </w:p>
        </w:tc>
        <w:tc>
          <w:tcPr>
            <w:tcW w:w="545" w:type="pct"/>
            <w:vAlign w:val="center"/>
            <w:textDirection w:val="lrTb"/>
            <w:noWrap w:val="false"/>
          </w:tcPr>
          <w:p>
            <w:pPr>
              <w:jc w:val="center"/>
              <w:rPr>
                <w:sz w:val="20"/>
                <w:szCs w:val="20"/>
              </w:rPr>
            </w:pPr>
            <w:r>
              <w:rPr>
                <w:sz w:val="20"/>
                <w:szCs w:val="20"/>
              </w:rPr>
              <w:t xml:space="preserve">отопительная</w:t>
            </w:r>
            <w:r>
              <w:rPr>
                <w:sz w:val="20"/>
                <w:szCs w:val="20"/>
              </w:rPr>
            </w:r>
            <w:r>
              <w:rPr>
                <w:sz w:val="20"/>
                <w:szCs w:val="20"/>
              </w:rPr>
            </w:r>
          </w:p>
        </w:tc>
        <w:tc>
          <w:tcPr>
            <w:tcW w:w="780" w:type="pct"/>
            <w:vAlign w:val="center"/>
            <w:textDirection w:val="lrTb"/>
            <w:noWrap w:val="false"/>
          </w:tcPr>
          <w:p>
            <w:pPr>
              <w:jc w:val="center"/>
              <w:rPr>
                <w:sz w:val="20"/>
                <w:szCs w:val="20"/>
              </w:rPr>
            </w:pPr>
            <w:r>
              <w:rPr>
                <w:sz w:val="20"/>
                <w:szCs w:val="20"/>
              </w:rPr>
              <w:t xml:space="preserve">отопление</w:t>
            </w:r>
            <w:r>
              <w:rPr>
                <w:sz w:val="20"/>
                <w:szCs w:val="20"/>
              </w:rPr>
            </w:r>
            <w:r>
              <w:rPr>
                <w:sz w:val="20"/>
                <w:szCs w:val="20"/>
              </w:rPr>
            </w:r>
          </w:p>
        </w:tc>
        <w:tc>
          <w:tcPr>
            <w:tcW w:w="763" w:type="pct"/>
            <w:vAlign w:val="center"/>
            <w:textDirection w:val="lrTb"/>
            <w:noWrap w:val="false"/>
          </w:tcPr>
          <w:p>
            <w:pPr>
              <w:jc w:val="center"/>
              <w:rPr>
                <w:sz w:val="20"/>
                <w:szCs w:val="20"/>
              </w:rPr>
            </w:pPr>
            <w:r>
              <w:rPr>
                <w:sz w:val="20"/>
                <w:szCs w:val="20"/>
              </w:rPr>
              <w:t xml:space="preserve">первой категории</w:t>
            </w:r>
            <w:r>
              <w:rPr>
                <w:sz w:val="20"/>
                <w:szCs w:val="20"/>
              </w:rPr>
            </w:r>
            <w:r>
              <w:rPr>
                <w:sz w:val="20"/>
                <w:szCs w:val="20"/>
              </w:rPr>
            </w:r>
          </w:p>
        </w:tc>
        <w:tc>
          <w:tcPr>
            <w:tcW w:w="888" w:type="pct"/>
            <w:vAlign w:val="center"/>
            <w:textDirection w:val="lrTb"/>
            <w:noWrap w:val="false"/>
          </w:tcPr>
          <w:p>
            <w:pPr>
              <w:jc w:val="center"/>
              <w:rPr>
                <w:sz w:val="20"/>
                <w:szCs w:val="20"/>
              </w:rPr>
            </w:pPr>
            <w:r>
              <w:rPr>
                <w:sz w:val="20"/>
                <w:szCs w:val="20"/>
              </w:rPr>
              <w:t xml:space="preserve">вторая</w:t>
            </w:r>
            <w:r>
              <w:rPr>
                <w:sz w:val="20"/>
                <w:szCs w:val="20"/>
              </w:rPr>
            </w:r>
            <w:r>
              <w:rPr>
                <w:sz w:val="20"/>
                <w:szCs w:val="20"/>
              </w:rPr>
            </w:r>
          </w:p>
        </w:tc>
      </w:tr>
      <w:tr>
        <w:tblPrEx/>
        <w:trPr/>
        <w:tc>
          <w:tcPr>
            <w:tcW w:w="224" w:type="pct"/>
            <w:vAlign w:val="center"/>
            <w:textDirection w:val="lrTb"/>
            <w:noWrap w:val="false"/>
          </w:tcPr>
          <w:p>
            <w:pPr>
              <w:jc w:val="center"/>
              <w:rPr>
                <w:sz w:val="20"/>
                <w:szCs w:val="20"/>
              </w:rPr>
            </w:pPr>
            <w:r>
              <w:rPr>
                <w:sz w:val="20"/>
                <w:szCs w:val="20"/>
              </w:rPr>
              <w:t xml:space="preserve">12</w:t>
            </w:r>
            <w:r>
              <w:rPr>
                <w:sz w:val="20"/>
                <w:szCs w:val="20"/>
              </w:rPr>
            </w:r>
            <w:r>
              <w:rPr>
                <w:sz w:val="20"/>
                <w:szCs w:val="20"/>
              </w:rPr>
            </w:r>
          </w:p>
        </w:tc>
        <w:tc>
          <w:tcPr>
            <w:tcW w:w="1053" w:type="pct"/>
            <w:vAlign w:val="bottom"/>
            <w:textDirection w:val="lrTb"/>
            <w:noWrap w:val="false"/>
          </w:tcPr>
          <w:p>
            <w:pPr>
              <w:rPr>
                <w:color w:val="000000"/>
                <w:sz w:val="20"/>
                <w:szCs w:val="20"/>
              </w:rPr>
            </w:pPr>
            <w:r>
              <w:rPr>
                <w:color w:val="000000"/>
                <w:sz w:val="20"/>
                <w:szCs w:val="20"/>
              </w:rPr>
              <w:t xml:space="preserve">Котельная с.Кипель, ул.Советская, 81а</w:t>
            </w:r>
            <w:r>
              <w:rPr>
                <w:color w:val="000000"/>
                <w:sz w:val="20"/>
                <w:szCs w:val="20"/>
              </w:rPr>
            </w:r>
            <w:r>
              <w:rPr>
                <w:color w:val="000000"/>
                <w:sz w:val="20"/>
                <w:szCs w:val="20"/>
              </w:rPr>
            </w:r>
          </w:p>
        </w:tc>
        <w:tc>
          <w:tcPr>
            <w:tcW w:w="747" w:type="pct"/>
            <w:vAlign w:val="center"/>
            <w:textDirection w:val="lrTb"/>
            <w:noWrap w:val="false"/>
          </w:tcPr>
          <w:p>
            <w:pPr>
              <w:jc w:val="center"/>
              <w:rPr>
                <w:sz w:val="20"/>
                <w:szCs w:val="20"/>
              </w:rPr>
            </w:pPr>
            <w:r>
              <w:rPr>
                <w:sz w:val="20"/>
                <w:szCs w:val="20"/>
              </w:rPr>
              <w:t xml:space="preserve">индивидуальная</w:t>
            </w:r>
            <w:r>
              <w:rPr>
                <w:sz w:val="20"/>
                <w:szCs w:val="20"/>
              </w:rPr>
            </w:r>
            <w:r>
              <w:rPr>
                <w:sz w:val="20"/>
                <w:szCs w:val="20"/>
              </w:rPr>
            </w:r>
          </w:p>
        </w:tc>
        <w:tc>
          <w:tcPr>
            <w:tcW w:w="545" w:type="pct"/>
            <w:vAlign w:val="center"/>
            <w:textDirection w:val="lrTb"/>
            <w:noWrap w:val="false"/>
          </w:tcPr>
          <w:p>
            <w:pPr>
              <w:jc w:val="center"/>
              <w:rPr>
                <w:sz w:val="20"/>
                <w:szCs w:val="20"/>
              </w:rPr>
            </w:pPr>
            <w:r>
              <w:rPr>
                <w:sz w:val="20"/>
                <w:szCs w:val="20"/>
              </w:rPr>
              <w:t xml:space="preserve">отопительная</w:t>
            </w:r>
            <w:r>
              <w:rPr>
                <w:sz w:val="20"/>
                <w:szCs w:val="20"/>
              </w:rPr>
            </w:r>
            <w:r>
              <w:rPr>
                <w:sz w:val="20"/>
                <w:szCs w:val="20"/>
              </w:rPr>
            </w:r>
          </w:p>
        </w:tc>
        <w:tc>
          <w:tcPr>
            <w:tcW w:w="780" w:type="pct"/>
            <w:vAlign w:val="center"/>
            <w:textDirection w:val="lrTb"/>
            <w:noWrap w:val="false"/>
          </w:tcPr>
          <w:p>
            <w:pPr>
              <w:jc w:val="center"/>
              <w:rPr>
                <w:sz w:val="20"/>
                <w:szCs w:val="20"/>
              </w:rPr>
            </w:pPr>
            <w:r>
              <w:rPr>
                <w:sz w:val="20"/>
                <w:szCs w:val="20"/>
              </w:rPr>
              <w:t xml:space="preserve">отопление</w:t>
            </w:r>
            <w:r>
              <w:rPr>
                <w:sz w:val="20"/>
                <w:szCs w:val="20"/>
              </w:rPr>
            </w:r>
            <w:r>
              <w:rPr>
                <w:sz w:val="20"/>
                <w:szCs w:val="20"/>
              </w:rPr>
            </w:r>
          </w:p>
        </w:tc>
        <w:tc>
          <w:tcPr>
            <w:tcW w:w="763" w:type="pct"/>
            <w:vAlign w:val="center"/>
            <w:textDirection w:val="lrTb"/>
            <w:noWrap w:val="false"/>
          </w:tcPr>
          <w:p>
            <w:pPr>
              <w:jc w:val="center"/>
              <w:rPr>
                <w:sz w:val="20"/>
                <w:szCs w:val="20"/>
              </w:rPr>
            </w:pPr>
            <w:r>
              <w:rPr>
                <w:sz w:val="20"/>
                <w:szCs w:val="20"/>
              </w:rPr>
              <w:t xml:space="preserve">первой категории</w:t>
            </w:r>
            <w:r>
              <w:rPr>
                <w:sz w:val="20"/>
                <w:szCs w:val="20"/>
              </w:rPr>
            </w:r>
            <w:r>
              <w:rPr>
                <w:sz w:val="20"/>
                <w:szCs w:val="20"/>
              </w:rPr>
            </w:r>
          </w:p>
        </w:tc>
        <w:tc>
          <w:tcPr>
            <w:tcW w:w="888" w:type="pct"/>
            <w:vAlign w:val="center"/>
            <w:textDirection w:val="lrTb"/>
            <w:noWrap w:val="false"/>
          </w:tcPr>
          <w:p>
            <w:pPr>
              <w:jc w:val="center"/>
              <w:rPr>
                <w:sz w:val="20"/>
                <w:szCs w:val="20"/>
              </w:rPr>
            </w:pPr>
            <w:r>
              <w:rPr>
                <w:sz w:val="20"/>
                <w:szCs w:val="20"/>
              </w:rPr>
              <w:t xml:space="preserve">первая</w:t>
            </w:r>
            <w:r>
              <w:rPr>
                <w:sz w:val="20"/>
                <w:szCs w:val="20"/>
              </w:rPr>
            </w:r>
            <w:r>
              <w:rPr>
                <w:sz w:val="20"/>
                <w:szCs w:val="20"/>
              </w:rPr>
            </w:r>
          </w:p>
        </w:tc>
      </w:tr>
      <w:tr>
        <w:tblPrEx/>
        <w:trPr/>
        <w:tc>
          <w:tcPr>
            <w:tcW w:w="224" w:type="pct"/>
            <w:vAlign w:val="center"/>
            <w:textDirection w:val="lrTb"/>
            <w:noWrap w:val="false"/>
          </w:tcPr>
          <w:p>
            <w:pPr>
              <w:jc w:val="center"/>
              <w:rPr>
                <w:sz w:val="20"/>
                <w:szCs w:val="20"/>
              </w:rPr>
            </w:pPr>
            <w:r>
              <w:rPr>
                <w:sz w:val="20"/>
                <w:szCs w:val="20"/>
              </w:rPr>
              <w:t xml:space="preserve">13</w:t>
            </w:r>
            <w:r>
              <w:rPr>
                <w:sz w:val="20"/>
                <w:szCs w:val="20"/>
              </w:rPr>
            </w:r>
            <w:r>
              <w:rPr>
                <w:sz w:val="20"/>
                <w:szCs w:val="20"/>
              </w:rPr>
            </w:r>
          </w:p>
        </w:tc>
        <w:tc>
          <w:tcPr>
            <w:tcW w:w="1053" w:type="pct"/>
            <w:vAlign w:val="bottom"/>
            <w:textDirection w:val="lrTb"/>
            <w:noWrap w:val="false"/>
          </w:tcPr>
          <w:p>
            <w:pPr>
              <w:rPr>
                <w:color w:val="000000"/>
                <w:sz w:val="20"/>
                <w:szCs w:val="20"/>
              </w:rPr>
            </w:pPr>
            <w:r>
              <w:rPr>
                <w:color w:val="000000"/>
                <w:sz w:val="20"/>
                <w:szCs w:val="20"/>
              </w:rPr>
              <w:t xml:space="preserve">Котельная с.Горохово, ул.Школьная, 37Б</w:t>
            </w:r>
            <w:r>
              <w:rPr>
                <w:color w:val="000000"/>
                <w:sz w:val="20"/>
                <w:szCs w:val="20"/>
              </w:rPr>
            </w:r>
            <w:r>
              <w:rPr>
                <w:color w:val="000000"/>
                <w:sz w:val="20"/>
                <w:szCs w:val="20"/>
              </w:rPr>
            </w:r>
          </w:p>
        </w:tc>
        <w:tc>
          <w:tcPr>
            <w:tcW w:w="747" w:type="pct"/>
            <w:vAlign w:val="center"/>
            <w:textDirection w:val="lrTb"/>
            <w:noWrap w:val="false"/>
          </w:tcPr>
          <w:p>
            <w:pPr>
              <w:jc w:val="center"/>
              <w:rPr>
                <w:sz w:val="20"/>
                <w:szCs w:val="20"/>
              </w:rPr>
            </w:pPr>
            <w:r>
              <w:rPr>
                <w:sz w:val="20"/>
                <w:szCs w:val="20"/>
              </w:rPr>
              <w:t xml:space="preserve">индивидуальная</w:t>
            </w:r>
            <w:r>
              <w:rPr>
                <w:sz w:val="20"/>
                <w:szCs w:val="20"/>
              </w:rPr>
            </w:r>
            <w:r>
              <w:rPr>
                <w:sz w:val="20"/>
                <w:szCs w:val="20"/>
              </w:rPr>
            </w:r>
          </w:p>
        </w:tc>
        <w:tc>
          <w:tcPr>
            <w:tcW w:w="545" w:type="pct"/>
            <w:vAlign w:val="center"/>
            <w:textDirection w:val="lrTb"/>
            <w:noWrap w:val="false"/>
          </w:tcPr>
          <w:p>
            <w:pPr>
              <w:jc w:val="center"/>
              <w:rPr>
                <w:sz w:val="20"/>
                <w:szCs w:val="20"/>
              </w:rPr>
            </w:pPr>
            <w:r>
              <w:rPr>
                <w:sz w:val="20"/>
                <w:szCs w:val="20"/>
              </w:rPr>
              <w:t xml:space="preserve">отопительная</w:t>
            </w:r>
            <w:r>
              <w:rPr>
                <w:sz w:val="20"/>
                <w:szCs w:val="20"/>
              </w:rPr>
            </w:r>
            <w:r>
              <w:rPr>
                <w:sz w:val="20"/>
                <w:szCs w:val="20"/>
              </w:rPr>
            </w:r>
          </w:p>
        </w:tc>
        <w:tc>
          <w:tcPr>
            <w:tcW w:w="780" w:type="pct"/>
            <w:vAlign w:val="center"/>
            <w:textDirection w:val="lrTb"/>
            <w:noWrap w:val="false"/>
          </w:tcPr>
          <w:p>
            <w:pPr>
              <w:jc w:val="center"/>
              <w:rPr>
                <w:sz w:val="20"/>
                <w:szCs w:val="20"/>
              </w:rPr>
            </w:pPr>
            <w:r>
              <w:rPr>
                <w:sz w:val="20"/>
                <w:szCs w:val="20"/>
              </w:rPr>
              <w:t xml:space="preserve">отопление</w:t>
            </w:r>
            <w:r>
              <w:rPr>
                <w:sz w:val="20"/>
                <w:szCs w:val="20"/>
              </w:rPr>
            </w:r>
            <w:r>
              <w:rPr>
                <w:sz w:val="20"/>
                <w:szCs w:val="20"/>
              </w:rPr>
            </w:r>
          </w:p>
        </w:tc>
        <w:tc>
          <w:tcPr>
            <w:tcW w:w="763" w:type="pct"/>
            <w:vAlign w:val="center"/>
            <w:textDirection w:val="lrTb"/>
            <w:noWrap w:val="false"/>
          </w:tcPr>
          <w:p>
            <w:pPr>
              <w:jc w:val="center"/>
              <w:rPr>
                <w:sz w:val="20"/>
                <w:szCs w:val="20"/>
              </w:rPr>
            </w:pPr>
            <w:r>
              <w:rPr>
                <w:sz w:val="20"/>
                <w:szCs w:val="20"/>
              </w:rPr>
              <w:t xml:space="preserve">первой категории</w:t>
            </w:r>
            <w:r>
              <w:rPr>
                <w:sz w:val="20"/>
                <w:szCs w:val="20"/>
              </w:rPr>
            </w:r>
            <w:r>
              <w:rPr>
                <w:sz w:val="20"/>
                <w:szCs w:val="20"/>
              </w:rPr>
            </w:r>
          </w:p>
        </w:tc>
        <w:tc>
          <w:tcPr>
            <w:tcW w:w="888" w:type="pct"/>
            <w:vAlign w:val="center"/>
            <w:textDirection w:val="lrTb"/>
            <w:noWrap w:val="false"/>
          </w:tcPr>
          <w:p>
            <w:pPr>
              <w:jc w:val="center"/>
              <w:rPr>
                <w:sz w:val="20"/>
                <w:szCs w:val="20"/>
              </w:rPr>
            </w:pPr>
            <w:r>
              <w:rPr>
                <w:sz w:val="20"/>
                <w:szCs w:val="20"/>
              </w:rPr>
              <w:t xml:space="preserve">вторая</w:t>
            </w:r>
            <w:r>
              <w:rPr>
                <w:sz w:val="20"/>
                <w:szCs w:val="20"/>
              </w:rPr>
            </w:r>
            <w:r>
              <w:rPr>
                <w:sz w:val="20"/>
                <w:szCs w:val="20"/>
              </w:rPr>
            </w:r>
          </w:p>
        </w:tc>
      </w:tr>
      <w:tr>
        <w:tblPrEx/>
        <w:trPr/>
        <w:tc>
          <w:tcPr>
            <w:tcW w:w="224" w:type="pct"/>
            <w:vAlign w:val="center"/>
            <w:textDirection w:val="lrTb"/>
            <w:noWrap w:val="false"/>
          </w:tcPr>
          <w:p>
            <w:pPr>
              <w:jc w:val="center"/>
              <w:rPr>
                <w:sz w:val="20"/>
                <w:szCs w:val="20"/>
              </w:rPr>
            </w:pPr>
            <w:r>
              <w:rPr>
                <w:sz w:val="20"/>
                <w:szCs w:val="20"/>
              </w:rPr>
              <w:t xml:space="preserve">14</w:t>
            </w:r>
            <w:r>
              <w:rPr>
                <w:sz w:val="20"/>
                <w:szCs w:val="20"/>
              </w:rPr>
            </w:r>
            <w:r>
              <w:rPr>
                <w:sz w:val="20"/>
                <w:szCs w:val="20"/>
              </w:rPr>
            </w:r>
          </w:p>
        </w:tc>
        <w:tc>
          <w:tcPr>
            <w:tcW w:w="1053" w:type="pct"/>
            <w:vAlign w:val="bottom"/>
            <w:textDirection w:val="lrTb"/>
            <w:noWrap w:val="false"/>
          </w:tcPr>
          <w:p>
            <w:pPr>
              <w:rPr>
                <w:color w:val="000000"/>
                <w:sz w:val="20"/>
                <w:szCs w:val="20"/>
              </w:rPr>
            </w:pPr>
            <w:r>
              <w:rPr>
                <w:color w:val="000000"/>
                <w:sz w:val="20"/>
                <w:szCs w:val="20"/>
              </w:rPr>
              <w:t xml:space="preserve">Котельная с.Гагарье, ул.Новая 5Б</w:t>
            </w:r>
            <w:r>
              <w:rPr>
                <w:color w:val="000000"/>
                <w:sz w:val="20"/>
                <w:szCs w:val="20"/>
              </w:rPr>
            </w:r>
            <w:r>
              <w:rPr>
                <w:color w:val="000000"/>
                <w:sz w:val="20"/>
                <w:szCs w:val="20"/>
              </w:rPr>
            </w:r>
          </w:p>
        </w:tc>
        <w:tc>
          <w:tcPr>
            <w:tcW w:w="747" w:type="pct"/>
            <w:vAlign w:val="center"/>
            <w:textDirection w:val="lrTb"/>
            <w:noWrap w:val="false"/>
          </w:tcPr>
          <w:p>
            <w:pPr>
              <w:jc w:val="center"/>
              <w:rPr>
                <w:sz w:val="20"/>
                <w:szCs w:val="20"/>
              </w:rPr>
            </w:pPr>
            <w:r>
              <w:rPr>
                <w:sz w:val="20"/>
                <w:szCs w:val="20"/>
              </w:rPr>
              <w:t xml:space="preserve">индивидуальная</w:t>
            </w:r>
            <w:r>
              <w:rPr>
                <w:sz w:val="20"/>
                <w:szCs w:val="20"/>
              </w:rPr>
            </w:r>
            <w:r>
              <w:rPr>
                <w:sz w:val="20"/>
                <w:szCs w:val="20"/>
              </w:rPr>
            </w:r>
          </w:p>
        </w:tc>
        <w:tc>
          <w:tcPr>
            <w:tcW w:w="545" w:type="pct"/>
            <w:vAlign w:val="center"/>
            <w:textDirection w:val="lrTb"/>
            <w:noWrap w:val="false"/>
          </w:tcPr>
          <w:p>
            <w:pPr>
              <w:jc w:val="center"/>
              <w:rPr>
                <w:sz w:val="20"/>
                <w:szCs w:val="20"/>
              </w:rPr>
            </w:pPr>
            <w:r>
              <w:rPr>
                <w:sz w:val="20"/>
                <w:szCs w:val="20"/>
              </w:rPr>
              <w:t xml:space="preserve">отопительная</w:t>
            </w:r>
            <w:r>
              <w:rPr>
                <w:sz w:val="20"/>
                <w:szCs w:val="20"/>
              </w:rPr>
            </w:r>
            <w:r>
              <w:rPr>
                <w:sz w:val="20"/>
                <w:szCs w:val="20"/>
              </w:rPr>
            </w:r>
          </w:p>
        </w:tc>
        <w:tc>
          <w:tcPr>
            <w:tcW w:w="780" w:type="pct"/>
            <w:vAlign w:val="center"/>
            <w:textDirection w:val="lrTb"/>
            <w:noWrap w:val="false"/>
          </w:tcPr>
          <w:p>
            <w:pPr>
              <w:jc w:val="center"/>
              <w:rPr>
                <w:sz w:val="20"/>
                <w:szCs w:val="20"/>
              </w:rPr>
            </w:pPr>
            <w:r>
              <w:rPr>
                <w:sz w:val="20"/>
                <w:szCs w:val="20"/>
              </w:rPr>
              <w:t xml:space="preserve">отопление</w:t>
            </w:r>
            <w:r>
              <w:rPr>
                <w:sz w:val="20"/>
                <w:szCs w:val="20"/>
              </w:rPr>
            </w:r>
            <w:r>
              <w:rPr>
                <w:sz w:val="20"/>
                <w:szCs w:val="20"/>
              </w:rPr>
            </w:r>
          </w:p>
        </w:tc>
        <w:tc>
          <w:tcPr>
            <w:tcW w:w="763" w:type="pct"/>
            <w:vAlign w:val="center"/>
            <w:textDirection w:val="lrTb"/>
            <w:noWrap w:val="false"/>
          </w:tcPr>
          <w:p>
            <w:pPr>
              <w:jc w:val="center"/>
              <w:rPr>
                <w:sz w:val="20"/>
                <w:szCs w:val="20"/>
              </w:rPr>
            </w:pPr>
            <w:r>
              <w:rPr>
                <w:sz w:val="20"/>
                <w:szCs w:val="20"/>
              </w:rPr>
              <w:t xml:space="preserve">первой категории</w:t>
            </w:r>
            <w:r>
              <w:rPr>
                <w:sz w:val="20"/>
                <w:szCs w:val="20"/>
              </w:rPr>
            </w:r>
            <w:r>
              <w:rPr>
                <w:sz w:val="20"/>
                <w:szCs w:val="20"/>
              </w:rPr>
            </w:r>
          </w:p>
        </w:tc>
        <w:tc>
          <w:tcPr>
            <w:tcW w:w="888" w:type="pct"/>
            <w:vAlign w:val="center"/>
            <w:textDirection w:val="lrTb"/>
            <w:noWrap w:val="false"/>
          </w:tcPr>
          <w:p>
            <w:pPr>
              <w:jc w:val="center"/>
              <w:rPr>
                <w:sz w:val="20"/>
                <w:szCs w:val="20"/>
              </w:rPr>
            </w:pPr>
            <w:r>
              <w:rPr>
                <w:sz w:val="20"/>
                <w:szCs w:val="20"/>
              </w:rPr>
              <w:t xml:space="preserve">вторая</w:t>
            </w:r>
            <w:r>
              <w:rPr>
                <w:sz w:val="20"/>
                <w:szCs w:val="20"/>
              </w:rPr>
            </w:r>
            <w:r>
              <w:rPr>
                <w:sz w:val="20"/>
                <w:szCs w:val="20"/>
              </w:rPr>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tc>
          <w:tcPr>
            <w:tcBorders>
              <w:top w:val="single" w:color="auto" w:sz="4" w:space="0"/>
              <w:left w:val="single" w:color="auto" w:sz="4" w:space="0"/>
              <w:bottom w:val="single" w:color="auto" w:sz="4" w:space="0"/>
              <w:right w:val="single" w:color="auto" w:sz="4" w:space="0"/>
            </w:tcBorders>
            <w:tcW w:w="224" w:type="pct"/>
            <w:vAlign w:val="center"/>
            <w:textDirection w:val="lrTb"/>
            <w:noWrap w:val="false"/>
          </w:tcPr>
          <w:p>
            <w:pPr>
              <w:jc w:val="center"/>
              <w:rPr>
                <w:sz w:val="20"/>
                <w:szCs w:val="20"/>
              </w:rPr>
            </w:pPr>
            <w:r>
              <w:rPr>
                <w:sz w:val="20"/>
                <w:szCs w:val="20"/>
              </w:rPr>
              <w:t xml:space="preserve">15</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1053" w:type="pct"/>
            <w:vAlign w:val="bottom"/>
            <w:textDirection w:val="lrTb"/>
            <w:noWrap w:val="false"/>
          </w:tcPr>
          <w:p>
            <w:pPr>
              <w:rPr>
                <w:color w:val="000000"/>
                <w:sz w:val="20"/>
                <w:szCs w:val="20"/>
              </w:rPr>
            </w:pPr>
            <w:r>
              <w:rPr>
                <w:color w:val="000000"/>
                <w:sz w:val="20"/>
                <w:szCs w:val="20"/>
              </w:rPr>
              <w:t xml:space="preserve">Котельная с.Скоблино, </w:t>
            </w:r>
            <w:r>
              <w:rPr>
                <w:color w:val="000000"/>
                <w:sz w:val="20"/>
                <w:szCs w:val="20"/>
              </w:rPr>
              <w:t xml:space="preserve">ул.Школьная, 41Б</w:t>
            </w:r>
            <w:r>
              <w:rPr>
                <w:color w:val="000000"/>
                <w:sz w:val="20"/>
                <w:szCs w:val="20"/>
              </w:rPr>
            </w:r>
            <w:r>
              <w:rPr>
                <w:color w:val="000000"/>
                <w:sz w:val="20"/>
                <w:szCs w:val="20"/>
              </w:rPr>
            </w:r>
          </w:p>
        </w:tc>
        <w:tc>
          <w:tcPr>
            <w:tcBorders>
              <w:top w:val="single" w:color="auto" w:sz="4" w:space="0"/>
              <w:left w:val="single" w:color="auto" w:sz="4" w:space="0"/>
              <w:bottom w:val="single" w:color="auto" w:sz="4" w:space="0"/>
              <w:right w:val="single" w:color="auto" w:sz="4" w:space="0"/>
            </w:tcBorders>
            <w:tcW w:w="747" w:type="pct"/>
            <w:vAlign w:val="center"/>
            <w:textDirection w:val="lrTb"/>
            <w:noWrap w:val="false"/>
          </w:tcPr>
          <w:p>
            <w:pPr>
              <w:jc w:val="center"/>
              <w:rPr>
                <w:sz w:val="20"/>
                <w:szCs w:val="20"/>
              </w:rPr>
            </w:pPr>
            <w:r>
              <w:rPr>
                <w:sz w:val="20"/>
                <w:szCs w:val="20"/>
              </w:rPr>
              <w:t xml:space="preserve">индивидуальная</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545" w:type="pct"/>
            <w:vAlign w:val="center"/>
            <w:textDirection w:val="lrTb"/>
            <w:noWrap w:val="false"/>
          </w:tcPr>
          <w:p>
            <w:pPr>
              <w:jc w:val="center"/>
              <w:rPr>
                <w:sz w:val="20"/>
                <w:szCs w:val="20"/>
              </w:rPr>
            </w:pPr>
            <w:r>
              <w:rPr>
                <w:sz w:val="20"/>
                <w:szCs w:val="20"/>
              </w:rPr>
              <w:t xml:space="preserve">отопительная</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780" w:type="pct"/>
            <w:vAlign w:val="center"/>
            <w:textDirection w:val="lrTb"/>
            <w:noWrap w:val="false"/>
          </w:tcPr>
          <w:p>
            <w:pPr>
              <w:jc w:val="center"/>
              <w:rPr>
                <w:sz w:val="20"/>
                <w:szCs w:val="20"/>
              </w:rPr>
            </w:pPr>
            <w:r>
              <w:rPr>
                <w:sz w:val="20"/>
                <w:szCs w:val="20"/>
              </w:rPr>
              <w:t xml:space="preserve">отопление</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763" w:type="pct"/>
            <w:vAlign w:val="center"/>
            <w:textDirection w:val="lrTb"/>
            <w:noWrap w:val="false"/>
          </w:tcPr>
          <w:p>
            <w:pPr>
              <w:jc w:val="center"/>
              <w:rPr>
                <w:sz w:val="20"/>
                <w:szCs w:val="20"/>
              </w:rPr>
            </w:pPr>
            <w:r>
              <w:rPr>
                <w:sz w:val="20"/>
                <w:szCs w:val="20"/>
              </w:rPr>
              <w:t xml:space="preserve">первой категории</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888" w:type="pct"/>
            <w:vAlign w:val="center"/>
            <w:textDirection w:val="lrTb"/>
            <w:noWrap w:val="false"/>
          </w:tcPr>
          <w:p>
            <w:pPr>
              <w:jc w:val="center"/>
              <w:rPr>
                <w:sz w:val="20"/>
                <w:szCs w:val="20"/>
              </w:rPr>
            </w:pPr>
            <w:r>
              <w:rPr>
                <w:sz w:val="20"/>
                <w:szCs w:val="20"/>
              </w:rPr>
              <w:t xml:space="preserve">первая</w:t>
            </w:r>
            <w:r>
              <w:rPr>
                <w:sz w:val="20"/>
                <w:szCs w:val="20"/>
              </w:rPr>
            </w:r>
            <w:r>
              <w:rPr>
                <w:sz w:val="20"/>
                <w:szCs w:val="20"/>
              </w:rPr>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tc>
          <w:tcPr>
            <w:tcBorders>
              <w:top w:val="single" w:color="auto" w:sz="4" w:space="0"/>
              <w:left w:val="single" w:color="auto" w:sz="4" w:space="0"/>
              <w:bottom w:val="single" w:color="auto" w:sz="4" w:space="0"/>
              <w:right w:val="single" w:color="auto" w:sz="4" w:space="0"/>
            </w:tcBorders>
            <w:tcW w:w="224" w:type="pct"/>
            <w:vAlign w:val="center"/>
            <w:textDirection w:val="lrTb"/>
            <w:noWrap w:val="false"/>
          </w:tcPr>
          <w:p>
            <w:pPr>
              <w:jc w:val="center"/>
              <w:rPr>
                <w:sz w:val="20"/>
                <w:szCs w:val="20"/>
              </w:rPr>
            </w:pPr>
            <w:r>
              <w:rPr>
                <w:sz w:val="20"/>
                <w:szCs w:val="20"/>
              </w:rPr>
              <w:t xml:space="preserve">16</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1053" w:type="pct"/>
            <w:vAlign w:val="bottom"/>
            <w:textDirection w:val="lrTb"/>
            <w:noWrap w:val="false"/>
          </w:tcPr>
          <w:p>
            <w:pPr>
              <w:rPr>
                <w:color w:val="000000"/>
                <w:sz w:val="20"/>
                <w:szCs w:val="20"/>
              </w:rPr>
            </w:pPr>
            <w:r>
              <w:rPr>
                <w:color w:val="000000"/>
                <w:sz w:val="20"/>
                <w:szCs w:val="20"/>
              </w:rPr>
              <w:t xml:space="preserve">Котельная с.Красный Уралец, ул.Ленина, 6а</w:t>
            </w:r>
            <w:r>
              <w:rPr>
                <w:color w:val="000000"/>
                <w:sz w:val="20"/>
                <w:szCs w:val="20"/>
              </w:rPr>
            </w:r>
            <w:r>
              <w:rPr>
                <w:color w:val="000000"/>
                <w:sz w:val="20"/>
                <w:szCs w:val="20"/>
              </w:rPr>
            </w:r>
          </w:p>
        </w:tc>
        <w:tc>
          <w:tcPr>
            <w:tcBorders>
              <w:top w:val="single" w:color="auto" w:sz="4" w:space="0"/>
              <w:left w:val="single" w:color="auto" w:sz="4" w:space="0"/>
              <w:bottom w:val="single" w:color="auto" w:sz="4" w:space="0"/>
              <w:right w:val="single" w:color="auto" w:sz="4" w:space="0"/>
            </w:tcBorders>
            <w:tcW w:w="747" w:type="pct"/>
            <w:vAlign w:val="center"/>
            <w:textDirection w:val="lrTb"/>
            <w:noWrap w:val="false"/>
          </w:tcPr>
          <w:p>
            <w:pPr>
              <w:jc w:val="center"/>
              <w:rPr>
                <w:sz w:val="20"/>
                <w:szCs w:val="20"/>
              </w:rPr>
            </w:pPr>
            <w:r>
              <w:rPr>
                <w:sz w:val="20"/>
                <w:szCs w:val="20"/>
              </w:rPr>
              <w:t xml:space="preserve">индивидуальная</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545" w:type="pct"/>
            <w:vAlign w:val="center"/>
            <w:textDirection w:val="lrTb"/>
            <w:noWrap w:val="false"/>
          </w:tcPr>
          <w:p>
            <w:pPr>
              <w:jc w:val="center"/>
              <w:rPr>
                <w:sz w:val="20"/>
                <w:szCs w:val="20"/>
              </w:rPr>
            </w:pPr>
            <w:r>
              <w:rPr>
                <w:sz w:val="20"/>
                <w:szCs w:val="20"/>
              </w:rPr>
              <w:t xml:space="preserve">отопительная</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780" w:type="pct"/>
            <w:vAlign w:val="center"/>
            <w:textDirection w:val="lrTb"/>
            <w:noWrap w:val="false"/>
          </w:tcPr>
          <w:p>
            <w:pPr>
              <w:jc w:val="center"/>
              <w:rPr>
                <w:sz w:val="20"/>
                <w:szCs w:val="20"/>
              </w:rPr>
            </w:pPr>
            <w:r>
              <w:rPr>
                <w:sz w:val="20"/>
                <w:szCs w:val="20"/>
              </w:rPr>
              <w:t xml:space="preserve">отопление</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763" w:type="pct"/>
            <w:vAlign w:val="center"/>
            <w:textDirection w:val="lrTb"/>
            <w:noWrap w:val="false"/>
          </w:tcPr>
          <w:p>
            <w:pPr>
              <w:jc w:val="center"/>
              <w:rPr>
                <w:sz w:val="20"/>
                <w:szCs w:val="20"/>
              </w:rPr>
            </w:pPr>
            <w:r>
              <w:rPr>
                <w:sz w:val="20"/>
                <w:szCs w:val="20"/>
              </w:rPr>
              <w:t xml:space="preserve">первой категории</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888" w:type="pct"/>
            <w:vAlign w:val="center"/>
            <w:textDirection w:val="lrTb"/>
            <w:noWrap w:val="false"/>
          </w:tcPr>
          <w:p>
            <w:pPr>
              <w:jc w:val="center"/>
              <w:rPr>
                <w:sz w:val="20"/>
                <w:szCs w:val="20"/>
              </w:rPr>
            </w:pPr>
            <w:r>
              <w:rPr>
                <w:sz w:val="20"/>
                <w:szCs w:val="20"/>
              </w:rPr>
              <w:t xml:space="preserve">вторая</w:t>
            </w:r>
            <w:r>
              <w:rPr>
                <w:sz w:val="20"/>
                <w:szCs w:val="20"/>
              </w:rPr>
            </w:r>
            <w:r>
              <w:rPr>
                <w:sz w:val="20"/>
                <w:szCs w:val="20"/>
              </w:rPr>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tc>
          <w:tcPr>
            <w:tcBorders>
              <w:top w:val="single" w:color="auto" w:sz="4" w:space="0"/>
              <w:left w:val="single" w:color="auto" w:sz="4" w:space="0"/>
              <w:bottom w:val="single" w:color="auto" w:sz="4" w:space="0"/>
              <w:right w:val="single" w:color="auto" w:sz="4" w:space="0"/>
            </w:tcBorders>
            <w:tcW w:w="224" w:type="pct"/>
            <w:vAlign w:val="center"/>
            <w:textDirection w:val="lrTb"/>
            <w:noWrap w:val="false"/>
          </w:tcPr>
          <w:p>
            <w:pPr>
              <w:jc w:val="center"/>
              <w:rPr>
                <w:sz w:val="20"/>
                <w:szCs w:val="20"/>
              </w:rPr>
            </w:pPr>
            <w:r>
              <w:rPr>
                <w:sz w:val="20"/>
                <w:szCs w:val="20"/>
              </w:rPr>
              <w:t xml:space="preserve">17</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1053" w:type="pct"/>
            <w:vAlign w:val="bottom"/>
            <w:textDirection w:val="lrTb"/>
            <w:noWrap w:val="false"/>
          </w:tcPr>
          <w:p>
            <w:pPr>
              <w:rPr>
                <w:color w:val="000000"/>
                <w:sz w:val="20"/>
                <w:szCs w:val="20"/>
              </w:rPr>
            </w:pPr>
            <w:r>
              <w:rPr>
                <w:color w:val="000000"/>
                <w:sz w:val="20"/>
                <w:szCs w:val="20"/>
              </w:rPr>
              <w:t xml:space="preserve">Котельная с.Красный Уралец, нет адреса</w:t>
            </w:r>
            <w:r>
              <w:rPr>
                <w:color w:val="000000"/>
                <w:sz w:val="20"/>
                <w:szCs w:val="20"/>
              </w:rPr>
            </w:r>
            <w:r>
              <w:rPr>
                <w:color w:val="000000"/>
                <w:sz w:val="20"/>
                <w:szCs w:val="20"/>
              </w:rPr>
            </w:r>
          </w:p>
        </w:tc>
        <w:tc>
          <w:tcPr>
            <w:tcBorders>
              <w:top w:val="single" w:color="auto" w:sz="4" w:space="0"/>
              <w:left w:val="single" w:color="auto" w:sz="4" w:space="0"/>
              <w:bottom w:val="single" w:color="auto" w:sz="4" w:space="0"/>
              <w:right w:val="single" w:color="auto" w:sz="4" w:space="0"/>
            </w:tcBorders>
            <w:tcW w:w="747" w:type="pct"/>
            <w:vAlign w:val="center"/>
            <w:textDirection w:val="lrTb"/>
            <w:noWrap w:val="false"/>
          </w:tcPr>
          <w:p>
            <w:pPr>
              <w:jc w:val="center"/>
              <w:rPr>
                <w:sz w:val="20"/>
                <w:szCs w:val="20"/>
              </w:rPr>
            </w:pPr>
            <w:r>
              <w:rPr>
                <w:sz w:val="20"/>
                <w:szCs w:val="20"/>
              </w:rPr>
              <w:t xml:space="preserve">индивидуальная</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545" w:type="pct"/>
            <w:vAlign w:val="center"/>
            <w:textDirection w:val="lrTb"/>
            <w:noWrap w:val="false"/>
          </w:tcPr>
          <w:p>
            <w:pPr>
              <w:jc w:val="center"/>
              <w:rPr>
                <w:sz w:val="20"/>
                <w:szCs w:val="20"/>
              </w:rPr>
            </w:pPr>
            <w:r>
              <w:rPr>
                <w:sz w:val="20"/>
                <w:szCs w:val="20"/>
              </w:rPr>
              <w:t xml:space="preserve">отопительная</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780" w:type="pct"/>
            <w:vAlign w:val="center"/>
            <w:textDirection w:val="lrTb"/>
            <w:noWrap w:val="false"/>
          </w:tcPr>
          <w:p>
            <w:pPr>
              <w:jc w:val="center"/>
              <w:rPr>
                <w:sz w:val="20"/>
                <w:szCs w:val="20"/>
              </w:rPr>
            </w:pPr>
            <w:r>
              <w:rPr>
                <w:sz w:val="20"/>
                <w:szCs w:val="20"/>
              </w:rPr>
              <w:t xml:space="preserve">отопление</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763" w:type="pct"/>
            <w:vAlign w:val="center"/>
            <w:textDirection w:val="lrTb"/>
            <w:noWrap w:val="false"/>
          </w:tcPr>
          <w:p>
            <w:pPr>
              <w:jc w:val="center"/>
              <w:rPr>
                <w:sz w:val="20"/>
                <w:szCs w:val="20"/>
              </w:rPr>
            </w:pPr>
            <w:r>
              <w:rPr>
                <w:sz w:val="20"/>
                <w:szCs w:val="20"/>
              </w:rPr>
              <w:t xml:space="preserve">первой категории</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888" w:type="pct"/>
            <w:vAlign w:val="center"/>
            <w:textDirection w:val="lrTb"/>
            <w:noWrap w:val="false"/>
          </w:tcPr>
          <w:p>
            <w:pPr>
              <w:jc w:val="center"/>
              <w:rPr>
                <w:sz w:val="20"/>
                <w:szCs w:val="20"/>
              </w:rPr>
            </w:pPr>
            <w:r>
              <w:rPr>
                <w:sz w:val="20"/>
                <w:szCs w:val="20"/>
              </w:rPr>
              <w:t xml:space="preserve">вторая</w:t>
            </w:r>
            <w:r>
              <w:rPr>
                <w:sz w:val="20"/>
                <w:szCs w:val="20"/>
              </w:rPr>
            </w:r>
            <w:r>
              <w:rPr>
                <w:sz w:val="20"/>
                <w:szCs w:val="20"/>
              </w:rPr>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tc>
          <w:tcPr>
            <w:tcBorders>
              <w:top w:val="single" w:color="auto" w:sz="4" w:space="0"/>
              <w:left w:val="single" w:color="auto" w:sz="4" w:space="0"/>
              <w:bottom w:val="single" w:color="auto" w:sz="4" w:space="0"/>
              <w:right w:val="single" w:color="auto" w:sz="4" w:space="0"/>
            </w:tcBorders>
            <w:tcW w:w="224" w:type="pct"/>
            <w:vAlign w:val="center"/>
            <w:textDirection w:val="lrTb"/>
            <w:noWrap w:val="false"/>
          </w:tcPr>
          <w:p>
            <w:pPr>
              <w:jc w:val="center"/>
              <w:rPr>
                <w:sz w:val="20"/>
                <w:szCs w:val="20"/>
              </w:rPr>
            </w:pPr>
            <w:r>
              <w:rPr>
                <w:sz w:val="20"/>
                <w:szCs w:val="20"/>
              </w:rPr>
              <w:t xml:space="preserve">18</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1053" w:type="pct"/>
            <w:vAlign w:val="bottom"/>
            <w:textDirection w:val="lrTb"/>
            <w:noWrap w:val="false"/>
          </w:tcPr>
          <w:p>
            <w:pPr>
              <w:rPr>
                <w:color w:val="000000"/>
                <w:sz w:val="20"/>
                <w:szCs w:val="20"/>
              </w:rPr>
            </w:pPr>
            <w:r>
              <w:rPr>
                <w:color w:val="000000"/>
                <w:sz w:val="20"/>
                <w:szCs w:val="20"/>
              </w:rPr>
              <w:t xml:space="preserve">Котельная с.Караси, ул.Школьная, 3б</w:t>
            </w:r>
            <w:r>
              <w:rPr>
                <w:color w:val="000000"/>
                <w:sz w:val="20"/>
                <w:szCs w:val="20"/>
              </w:rPr>
            </w:r>
            <w:r>
              <w:rPr>
                <w:color w:val="000000"/>
                <w:sz w:val="20"/>
                <w:szCs w:val="20"/>
              </w:rPr>
            </w:r>
          </w:p>
        </w:tc>
        <w:tc>
          <w:tcPr>
            <w:tcBorders>
              <w:top w:val="single" w:color="auto" w:sz="4" w:space="0"/>
              <w:left w:val="single" w:color="auto" w:sz="4" w:space="0"/>
              <w:bottom w:val="single" w:color="auto" w:sz="4" w:space="0"/>
              <w:right w:val="single" w:color="auto" w:sz="4" w:space="0"/>
            </w:tcBorders>
            <w:tcW w:w="747" w:type="pct"/>
            <w:vAlign w:val="center"/>
            <w:textDirection w:val="lrTb"/>
            <w:noWrap w:val="false"/>
          </w:tcPr>
          <w:p>
            <w:pPr>
              <w:jc w:val="center"/>
              <w:rPr>
                <w:sz w:val="20"/>
                <w:szCs w:val="20"/>
              </w:rPr>
            </w:pPr>
            <w:r>
              <w:rPr>
                <w:sz w:val="20"/>
                <w:szCs w:val="20"/>
              </w:rPr>
              <w:t xml:space="preserve">индивидуальная</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545" w:type="pct"/>
            <w:vAlign w:val="center"/>
            <w:textDirection w:val="lrTb"/>
            <w:noWrap w:val="false"/>
          </w:tcPr>
          <w:p>
            <w:pPr>
              <w:jc w:val="center"/>
              <w:rPr>
                <w:sz w:val="20"/>
                <w:szCs w:val="20"/>
              </w:rPr>
            </w:pPr>
            <w:r>
              <w:rPr>
                <w:sz w:val="20"/>
                <w:szCs w:val="20"/>
              </w:rPr>
              <w:t xml:space="preserve">отопительная</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780" w:type="pct"/>
            <w:vAlign w:val="center"/>
            <w:textDirection w:val="lrTb"/>
            <w:noWrap w:val="false"/>
          </w:tcPr>
          <w:p>
            <w:pPr>
              <w:jc w:val="center"/>
              <w:rPr>
                <w:sz w:val="20"/>
                <w:szCs w:val="20"/>
              </w:rPr>
            </w:pPr>
            <w:r>
              <w:rPr>
                <w:sz w:val="20"/>
                <w:szCs w:val="20"/>
              </w:rPr>
              <w:t xml:space="preserve">отопление</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763" w:type="pct"/>
            <w:vAlign w:val="center"/>
            <w:textDirection w:val="lrTb"/>
            <w:noWrap w:val="false"/>
          </w:tcPr>
          <w:p>
            <w:pPr>
              <w:jc w:val="center"/>
              <w:rPr>
                <w:sz w:val="20"/>
                <w:szCs w:val="20"/>
              </w:rPr>
            </w:pPr>
            <w:r>
              <w:rPr>
                <w:sz w:val="20"/>
                <w:szCs w:val="20"/>
              </w:rPr>
              <w:t xml:space="preserve">первой категории</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888" w:type="pct"/>
            <w:vAlign w:val="center"/>
            <w:textDirection w:val="lrTb"/>
            <w:noWrap w:val="false"/>
          </w:tcPr>
          <w:p>
            <w:pPr>
              <w:jc w:val="center"/>
              <w:rPr>
                <w:sz w:val="20"/>
                <w:szCs w:val="20"/>
              </w:rPr>
            </w:pPr>
            <w:r>
              <w:rPr>
                <w:sz w:val="20"/>
                <w:szCs w:val="20"/>
              </w:rPr>
              <w:t xml:space="preserve">вторая</w:t>
            </w:r>
            <w:r>
              <w:rPr>
                <w:sz w:val="20"/>
                <w:szCs w:val="20"/>
              </w:rPr>
            </w:r>
            <w:r>
              <w:rPr>
                <w:sz w:val="20"/>
                <w:szCs w:val="20"/>
              </w:rPr>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tc>
          <w:tcPr>
            <w:tcBorders>
              <w:top w:val="single" w:color="auto" w:sz="4" w:space="0"/>
              <w:left w:val="single" w:color="auto" w:sz="4" w:space="0"/>
              <w:bottom w:val="single" w:color="auto" w:sz="4" w:space="0"/>
              <w:right w:val="single" w:color="auto" w:sz="4" w:space="0"/>
            </w:tcBorders>
            <w:tcW w:w="224" w:type="pct"/>
            <w:vAlign w:val="center"/>
            <w:textDirection w:val="lrTb"/>
            <w:noWrap w:val="false"/>
          </w:tcPr>
          <w:p>
            <w:pPr>
              <w:jc w:val="center"/>
              <w:rPr>
                <w:sz w:val="20"/>
                <w:szCs w:val="20"/>
              </w:rPr>
            </w:pPr>
            <w:r>
              <w:rPr>
                <w:sz w:val="20"/>
                <w:szCs w:val="20"/>
              </w:rPr>
              <w:t xml:space="preserve">19</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1053" w:type="pct"/>
            <w:vAlign w:val="bottom"/>
            <w:textDirection w:val="lrTb"/>
            <w:noWrap w:val="false"/>
          </w:tcPr>
          <w:p>
            <w:pPr>
              <w:rPr>
                <w:color w:val="000000"/>
                <w:sz w:val="20"/>
                <w:szCs w:val="20"/>
              </w:rPr>
            </w:pPr>
            <w:r>
              <w:rPr>
                <w:color w:val="000000"/>
                <w:sz w:val="20"/>
                <w:szCs w:val="20"/>
              </w:rPr>
              <w:t xml:space="preserve">Котельная с.Вилкино, ул.Ленина, 9а</w:t>
            </w:r>
            <w:r>
              <w:rPr>
                <w:color w:val="000000"/>
                <w:sz w:val="20"/>
                <w:szCs w:val="20"/>
              </w:rPr>
            </w:r>
            <w:r>
              <w:rPr>
                <w:color w:val="000000"/>
                <w:sz w:val="20"/>
                <w:szCs w:val="20"/>
              </w:rPr>
            </w:r>
          </w:p>
        </w:tc>
        <w:tc>
          <w:tcPr>
            <w:tcBorders>
              <w:top w:val="single" w:color="auto" w:sz="4" w:space="0"/>
              <w:left w:val="single" w:color="auto" w:sz="4" w:space="0"/>
              <w:bottom w:val="single" w:color="auto" w:sz="4" w:space="0"/>
              <w:right w:val="single" w:color="auto" w:sz="4" w:space="0"/>
            </w:tcBorders>
            <w:tcW w:w="747" w:type="pct"/>
            <w:vAlign w:val="center"/>
            <w:textDirection w:val="lrTb"/>
            <w:noWrap w:val="false"/>
          </w:tcPr>
          <w:p>
            <w:pPr>
              <w:jc w:val="center"/>
              <w:rPr>
                <w:sz w:val="20"/>
                <w:szCs w:val="20"/>
              </w:rPr>
            </w:pPr>
            <w:r>
              <w:rPr>
                <w:sz w:val="20"/>
                <w:szCs w:val="20"/>
              </w:rPr>
              <w:t xml:space="preserve">индивидуальная</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545" w:type="pct"/>
            <w:vAlign w:val="center"/>
            <w:textDirection w:val="lrTb"/>
            <w:noWrap w:val="false"/>
          </w:tcPr>
          <w:p>
            <w:pPr>
              <w:jc w:val="center"/>
              <w:rPr>
                <w:sz w:val="20"/>
                <w:szCs w:val="20"/>
              </w:rPr>
            </w:pPr>
            <w:r>
              <w:rPr>
                <w:sz w:val="20"/>
                <w:szCs w:val="20"/>
              </w:rPr>
              <w:t xml:space="preserve">отопительная</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780" w:type="pct"/>
            <w:vAlign w:val="center"/>
            <w:textDirection w:val="lrTb"/>
            <w:noWrap w:val="false"/>
          </w:tcPr>
          <w:p>
            <w:pPr>
              <w:jc w:val="center"/>
              <w:rPr>
                <w:sz w:val="20"/>
                <w:szCs w:val="20"/>
              </w:rPr>
            </w:pPr>
            <w:r>
              <w:rPr>
                <w:sz w:val="20"/>
                <w:szCs w:val="20"/>
              </w:rPr>
              <w:t xml:space="preserve">отопление</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763" w:type="pct"/>
            <w:vAlign w:val="center"/>
            <w:textDirection w:val="lrTb"/>
            <w:noWrap w:val="false"/>
          </w:tcPr>
          <w:p>
            <w:pPr>
              <w:jc w:val="center"/>
              <w:rPr>
                <w:sz w:val="20"/>
                <w:szCs w:val="20"/>
              </w:rPr>
            </w:pPr>
            <w:r>
              <w:rPr>
                <w:sz w:val="20"/>
                <w:szCs w:val="20"/>
              </w:rPr>
              <w:t xml:space="preserve">первой категории</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888" w:type="pct"/>
            <w:vAlign w:val="center"/>
            <w:textDirection w:val="lrTb"/>
            <w:noWrap w:val="false"/>
          </w:tcPr>
          <w:p>
            <w:pPr>
              <w:jc w:val="center"/>
              <w:rPr>
                <w:sz w:val="20"/>
                <w:szCs w:val="20"/>
              </w:rPr>
            </w:pPr>
            <w:r>
              <w:rPr>
                <w:sz w:val="20"/>
                <w:szCs w:val="20"/>
              </w:rPr>
              <w:t xml:space="preserve">вторая</w:t>
            </w:r>
            <w:r>
              <w:rPr>
                <w:sz w:val="20"/>
                <w:szCs w:val="20"/>
              </w:rPr>
            </w:r>
            <w:r>
              <w:rPr>
                <w:sz w:val="20"/>
                <w:szCs w:val="20"/>
              </w:rPr>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tc>
          <w:tcPr>
            <w:tcBorders>
              <w:top w:val="single" w:color="auto" w:sz="4" w:space="0"/>
              <w:left w:val="single" w:color="auto" w:sz="4" w:space="0"/>
              <w:bottom w:val="single" w:color="auto" w:sz="4" w:space="0"/>
              <w:right w:val="single" w:color="auto" w:sz="4" w:space="0"/>
            </w:tcBorders>
            <w:tcW w:w="224" w:type="pct"/>
            <w:vAlign w:val="center"/>
            <w:textDirection w:val="lrTb"/>
            <w:noWrap w:val="false"/>
          </w:tcPr>
          <w:p>
            <w:pPr>
              <w:jc w:val="center"/>
              <w:rPr>
                <w:sz w:val="20"/>
                <w:szCs w:val="20"/>
              </w:rPr>
            </w:pPr>
            <w:r>
              <w:rPr>
                <w:sz w:val="20"/>
                <w:szCs w:val="20"/>
              </w:rPr>
              <w:t xml:space="preserve">20</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1053" w:type="pct"/>
            <w:vAlign w:val="bottom"/>
            <w:textDirection w:val="lrTb"/>
            <w:noWrap w:val="false"/>
          </w:tcPr>
          <w:p>
            <w:pPr>
              <w:rPr>
                <w:color w:val="000000"/>
                <w:sz w:val="20"/>
                <w:szCs w:val="20"/>
              </w:rPr>
            </w:pPr>
            <w:r>
              <w:rPr>
                <w:color w:val="000000"/>
                <w:sz w:val="20"/>
                <w:szCs w:val="20"/>
              </w:rPr>
              <w:t xml:space="preserve">Котельная с.Губерля, ул.Школьная, 10А</w:t>
            </w:r>
            <w:r>
              <w:rPr>
                <w:color w:val="000000"/>
                <w:sz w:val="20"/>
                <w:szCs w:val="20"/>
              </w:rPr>
            </w:r>
            <w:r>
              <w:rPr>
                <w:color w:val="000000"/>
                <w:sz w:val="20"/>
                <w:szCs w:val="20"/>
              </w:rPr>
            </w:r>
          </w:p>
        </w:tc>
        <w:tc>
          <w:tcPr>
            <w:tcBorders>
              <w:top w:val="single" w:color="auto" w:sz="4" w:space="0"/>
              <w:left w:val="single" w:color="auto" w:sz="4" w:space="0"/>
              <w:bottom w:val="single" w:color="auto" w:sz="4" w:space="0"/>
              <w:right w:val="single" w:color="auto" w:sz="4" w:space="0"/>
            </w:tcBorders>
            <w:tcW w:w="747" w:type="pct"/>
            <w:vAlign w:val="center"/>
            <w:textDirection w:val="lrTb"/>
            <w:noWrap w:val="false"/>
          </w:tcPr>
          <w:p>
            <w:pPr>
              <w:jc w:val="center"/>
              <w:rPr>
                <w:sz w:val="20"/>
                <w:szCs w:val="20"/>
              </w:rPr>
            </w:pPr>
            <w:r>
              <w:rPr>
                <w:sz w:val="20"/>
                <w:szCs w:val="20"/>
              </w:rPr>
              <w:t xml:space="preserve">индивидуальная</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545" w:type="pct"/>
            <w:vAlign w:val="center"/>
            <w:textDirection w:val="lrTb"/>
            <w:noWrap w:val="false"/>
          </w:tcPr>
          <w:p>
            <w:pPr>
              <w:jc w:val="center"/>
              <w:rPr>
                <w:sz w:val="20"/>
                <w:szCs w:val="20"/>
              </w:rPr>
            </w:pPr>
            <w:r>
              <w:rPr>
                <w:sz w:val="20"/>
                <w:szCs w:val="20"/>
              </w:rPr>
              <w:t xml:space="preserve">отопительная</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780" w:type="pct"/>
            <w:vAlign w:val="center"/>
            <w:textDirection w:val="lrTb"/>
            <w:noWrap w:val="false"/>
          </w:tcPr>
          <w:p>
            <w:pPr>
              <w:jc w:val="center"/>
              <w:rPr>
                <w:sz w:val="20"/>
                <w:szCs w:val="20"/>
              </w:rPr>
            </w:pPr>
            <w:r>
              <w:rPr>
                <w:sz w:val="20"/>
                <w:szCs w:val="20"/>
              </w:rPr>
              <w:t xml:space="preserve">отопление</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763" w:type="pct"/>
            <w:vAlign w:val="center"/>
            <w:textDirection w:val="lrTb"/>
            <w:noWrap w:val="false"/>
          </w:tcPr>
          <w:p>
            <w:pPr>
              <w:jc w:val="center"/>
              <w:rPr>
                <w:sz w:val="20"/>
                <w:szCs w:val="20"/>
              </w:rPr>
            </w:pPr>
            <w:r>
              <w:rPr>
                <w:sz w:val="20"/>
                <w:szCs w:val="20"/>
              </w:rPr>
              <w:t xml:space="preserve">первой категории</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888" w:type="pct"/>
            <w:vAlign w:val="center"/>
            <w:textDirection w:val="lrTb"/>
            <w:noWrap w:val="false"/>
          </w:tcPr>
          <w:p>
            <w:pPr>
              <w:jc w:val="center"/>
              <w:rPr>
                <w:sz w:val="20"/>
                <w:szCs w:val="20"/>
              </w:rPr>
            </w:pPr>
            <w:r>
              <w:rPr>
                <w:sz w:val="20"/>
                <w:szCs w:val="20"/>
              </w:rPr>
              <w:t xml:space="preserve">вторая</w:t>
            </w:r>
            <w:r>
              <w:rPr>
                <w:sz w:val="20"/>
                <w:szCs w:val="20"/>
              </w:rPr>
            </w:r>
            <w:r>
              <w:rPr>
                <w:sz w:val="20"/>
                <w:szCs w:val="20"/>
              </w:rPr>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tc>
          <w:tcPr>
            <w:tcBorders>
              <w:top w:val="single" w:color="auto" w:sz="4" w:space="0"/>
              <w:left w:val="single" w:color="auto" w:sz="4" w:space="0"/>
              <w:bottom w:val="single" w:color="auto" w:sz="4" w:space="0"/>
              <w:right w:val="single" w:color="auto" w:sz="4" w:space="0"/>
            </w:tcBorders>
            <w:tcW w:w="224" w:type="pct"/>
            <w:vAlign w:val="center"/>
            <w:textDirection w:val="lrTb"/>
            <w:noWrap w:val="false"/>
          </w:tcPr>
          <w:p>
            <w:pPr>
              <w:jc w:val="center"/>
              <w:rPr>
                <w:sz w:val="20"/>
                <w:szCs w:val="20"/>
              </w:rPr>
            </w:pPr>
            <w:r>
              <w:rPr>
                <w:sz w:val="20"/>
                <w:szCs w:val="20"/>
              </w:rPr>
              <w:t xml:space="preserve">21</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1053" w:type="pct"/>
            <w:vAlign w:val="bottom"/>
            <w:textDirection w:val="lrTb"/>
            <w:noWrap w:val="false"/>
          </w:tcPr>
          <w:p>
            <w:pPr>
              <w:rPr>
                <w:color w:val="000000"/>
                <w:sz w:val="20"/>
                <w:szCs w:val="20"/>
              </w:rPr>
            </w:pPr>
            <w:r>
              <w:rPr>
                <w:color w:val="000000"/>
                <w:sz w:val="20"/>
                <w:szCs w:val="20"/>
              </w:rPr>
              <w:t xml:space="preserve">Котельная с.М.Белое, ул.Школьная, 2А</w:t>
            </w:r>
            <w:r>
              <w:rPr>
                <w:color w:val="000000"/>
                <w:sz w:val="20"/>
                <w:szCs w:val="20"/>
              </w:rPr>
            </w:r>
            <w:r>
              <w:rPr>
                <w:color w:val="000000"/>
                <w:sz w:val="20"/>
                <w:szCs w:val="20"/>
              </w:rPr>
            </w:r>
          </w:p>
        </w:tc>
        <w:tc>
          <w:tcPr>
            <w:tcBorders>
              <w:top w:val="single" w:color="auto" w:sz="4" w:space="0"/>
              <w:left w:val="single" w:color="auto" w:sz="4" w:space="0"/>
              <w:bottom w:val="single" w:color="auto" w:sz="4" w:space="0"/>
              <w:right w:val="single" w:color="auto" w:sz="4" w:space="0"/>
            </w:tcBorders>
            <w:tcW w:w="747" w:type="pct"/>
            <w:vAlign w:val="center"/>
            <w:textDirection w:val="lrTb"/>
            <w:noWrap w:val="false"/>
          </w:tcPr>
          <w:p>
            <w:pPr>
              <w:jc w:val="center"/>
              <w:rPr>
                <w:sz w:val="20"/>
                <w:szCs w:val="20"/>
              </w:rPr>
            </w:pPr>
            <w:r>
              <w:rPr>
                <w:sz w:val="20"/>
                <w:szCs w:val="20"/>
              </w:rPr>
              <w:t xml:space="preserve">индивидуальная</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545" w:type="pct"/>
            <w:vAlign w:val="center"/>
            <w:textDirection w:val="lrTb"/>
            <w:noWrap w:val="false"/>
          </w:tcPr>
          <w:p>
            <w:pPr>
              <w:jc w:val="center"/>
              <w:rPr>
                <w:sz w:val="20"/>
                <w:szCs w:val="20"/>
              </w:rPr>
            </w:pPr>
            <w:r>
              <w:rPr>
                <w:sz w:val="20"/>
                <w:szCs w:val="20"/>
              </w:rPr>
              <w:t xml:space="preserve">отопительная</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780" w:type="pct"/>
            <w:vAlign w:val="center"/>
            <w:textDirection w:val="lrTb"/>
            <w:noWrap w:val="false"/>
          </w:tcPr>
          <w:p>
            <w:pPr>
              <w:jc w:val="center"/>
              <w:rPr>
                <w:sz w:val="20"/>
                <w:szCs w:val="20"/>
              </w:rPr>
            </w:pPr>
            <w:r>
              <w:rPr>
                <w:sz w:val="20"/>
                <w:szCs w:val="20"/>
              </w:rPr>
              <w:t xml:space="preserve">отопление</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763" w:type="pct"/>
            <w:vAlign w:val="center"/>
            <w:textDirection w:val="lrTb"/>
            <w:noWrap w:val="false"/>
          </w:tcPr>
          <w:p>
            <w:pPr>
              <w:jc w:val="center"/>
              <w:rPr>
                <w:sz w:val="20"/>
                <w:szCs w:val="20"/>
              </w:rPr>
            </w:pPr>
            <w:r>
              <w:rPr>
                <w:sz w:val="20"/>
                <w:szCs w:val="20"/>
              </w:rPr>
              <w:t xml:space="preserve">первой категории</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888" w:type="pct"/>
            <w:vAlign w:val="center"/>
            <w:textDirection w:val="lrTb"/>
            <w:noWrap w:val="false"/>
          </w:tcPr>
          <w:p>
            <w:pPr>
              <w:jc w:val="center"/>
              <w:rPr>
                <w:sz w:val="20"/>
                <w:szCs w:val="20"/>
              </w:rPr>
            </w:pPr>
            <w:r>
              <w:rPr>
                <w:sz w:val="20"/>
                <w:szCs w:val="20"/>
              </w:rPr>
              <w:t xml:space="preserve">вторая</w:t>
            </w:r>
            <w:r>
              <w:rPr>
                <w:sz w:val="20"/>
                <w:szCs w:val="20"/>
              </w:rPr>
            </w:r>
            <w:r>
              <w:rPr>
                <w:sz w:val="20"/>
                <w:szCs w:val="20"/>
              </w:rPr>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tc>
          <w:tcPr>
            <w:tcBorders>
              <w:top w:val="single" w:color="auto" w:sz="4" w:space="0"/>
              <w:left w:val="single" w:color="auto" w:sz="4" w:space="0"/>
              <w:bottom w:val="single" w:color="auto" w:sz="4" w:space="0"/>
              <w:right w:val="single" w:color="auto" w:sz="4" w:space="0"/>
            </w:tcBorders>
            <w:tcW w:w="224" w:type="pct"/>
            <w:vAlign w:val="center"/>
            <w:textDirection w:val="lrTb"/>
            <w:noWrap w:val="false"/>
          </w:tcPr>
          <w:p>
            <w:pPr>
              <w:jc w:val="center"/>
              <w:rPr>
                <w:sz w:val="20"/>
                <w:szCs w:val="20"/>
              </w:rPr>
            </w:pPr>
            <w:r>
              <w:rPr>
                <w:sz w:val="20"/>
                <w:szCs w:val="20"/>
              </w:rPr>
              <w:t xml:space="preserve">22</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1053" w:type="pct"/>
            <w:vAlign w:val="bottom"/>
            <w:textDirection w:val="lrTb"/>
            <w:noWrap w:val="false"/>
          </w:tcPr>
          <w:p>
            <w:pPr>
              <w:rPr>
                <w:color w:val="000000"/>
                <w:sz w:val="20"/>
                <w:szCs w:val="20"/>
              </w:rPr>
            </w:pPr>
            <w:r>
              <w:rPr>
                <w:color w:val="000000"/>
                <w:sz w:val="20"/>
                <w:szCs w:val="20"/>
              </w:rPr>
              <w:t xml:space="preserve">Котельная с.М.Белое, ул.Школьная, 2Б</w:t>
            </w:r>
            <w:r>
              <w:rPr>
                <w:color w:val="000000"/>
                <w:sz w:val="20"/>
                <w:szCs w:val="20"/>
              </w:rPr>
            </w:r>
            <w:r>
              <w:rPr>
                <w:color w:val="000000"/>
                <w:sz w:val="20"/>
                <w:szCs w:val="20"/>
              </w:rPr>
            </w:r>
          </w:p>
        </w:tc>
        <w:tc>
          <w:tcPr>
            <w:tcBorders>
              <w:top w:val="single" w:color="auto" w:sz="4" w:space="0"/>
              <w:left w:val="single" w:color="auto" w:sz="4" w:space="0"/>
              <w:bottom w:val="single" w:color="auto" w:sz="4" w:space="0"/>
              <w:right w:val="single" w:color="auto" w:sz="4" w:space="0"/>
            </w:tcBorders>
            <w:tcW w:w="747" w:type="pct"/>
            <w:vAlign w:val="center"/>
            <w:textDirection w:val="lrTb"/>
            <w:noWrap w:val="false"/>
          </w:tcPr>
          <w:p>
            <w:pPr>
              <w:jc w:val="center"/>
              <w:rPr>
                <w:sz w:val="20"/>
                <w:szCs w:val="20"/>
              </w:rPr>
            </w:pPr>
            <w:r>
              <w:rPr>
                <w:sz w:val="20"/>
                <w:szCs w:val="20"/>
              </w:rPr>
              <w:t xml:space="preserve">индивидуальная</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545" w:type="pct"/>
            <w:vAlign w:val="center"/>
            <w:textDirection w:val="lrTb"/>
            <w:noWrap w:val="false"/>
          </w:tcPr>
          <w:p>
            <w:pPr>
              <w:jc w:val="center"/>
              <w:rPr>
                <w:sz w:val="20"/>
                <w:szCs w:val="20"/>
              </w:rPr>
            </w:pPr>
            <w:r>
              <w:rPr>
                <w:sz w:val="20"/>
                <w:szCs w:val="20"/>
              </w:rPr>
              <w:t xml:space="preserve">отопительная</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780" w:type="pct"/>
            <w:vAlign w:val="center"/>
            <w:textDirection w:val="lrTb"/>
            <w:noWrap w:val="false"/>
          </w:tcPr>
          <w:p>
            <w:pPr>
              <w:jc w:val="center"/>
              <w:rPr>
                <w:sz w:val="20"/>
                <w:szCs w:val="20"/>
              </w:rPr>
            </w:pPr>
            <w:r>
              <w:rPr>
                <w:sz w:val="20"/>
                <w:szCs w:val="20"/>
              </w:rPr>
              <w:t xml:space="preserve">отопление</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763" w:type="pct"/>
            <w:vAlign w:val="center"/>
            <w:textDirection w:val="lrTb"/>
            <w:noWrap w:val="false"/>
          </w:tcPr>
          <w:p>
            <w:pPr>
              <w:jc w:val="center"/>
              <w:rPr>
                <w:sz w:val="20"/>
                <w:szCs w:val="20"/>
              </w:rPr>
            </w:pPr>
            <w:r>
              <w:rPr>
                <w:sz w:val="20"/>
                <w:szCs w:val="20"/>
              </w:rPr>
              <w:t xml:space="preserve">первой категории</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888" w:type="pct"/>
            <w:vAlign w:val="center"/>
            <w:textDirection w:val="lrTb"/>
            <w:noWrap w:val="false"/>
          </w:tcPr>
          <w:p>
            <w:pPr>
              <w:jc w:val="center"/>
              <w:rPr>
                <w:sz w:val="20"/>
                <w:szCs w:val="20"/>
              </w:rPr>
            </w:pPr>
            <w:r>
              <w:rPr>
                <w:sz w:val="20"/>
                <w:szCs w:val="20"/>
              </w:rPr>
              <w:t xml:space="preserve">вторая</w:t>
            </w:r>
            <w:r>
              <w:rPr>
                <w:sz w:val="20"/>
                <w:szCs w:val="20"/>
              </w:rPr>
            </w:r>
            <w:r>
              <w:rPr>
                <w:sz w:val="20"/>
                <w:szCs w:val="20"/>
              </w:rPr>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tc>
          <w:tcPr>
            <w:tcBorders>
              <w:top w:val="single" w:color="auto" w:sz="4" w:space="0"/>
              <w:left w:val="single" w:color="auto" w:sz="4" w:space="0"/>
              <w:bottom w:val="single" w:color="auto" w:sz="4" w:space="0"/>
              <w:right w:val="single" w:color="auto" w:sz="4" w:space="0"/>
            </w:tcBorders>
            <w:tcW w:w="224" w:type="pct"/>
            <w:vAlign w:val="center"/>
            <w:textDirection w:val="lrTb"/>
            <w:noWrap w:val="false"/>
          </w:tcPr>
          <w:p>
            <w:pPr>
              <w:jc w:val="center"/>
              <w:rPr>
                <w:sz w:val="20"/>
                <w:szCs w:val="20"/>
              </w:rPr>
            </w:pPr>
            <w:r>
              <w:rPr>
                <w:sz w:val="20"/>
                <w:szCs w:val="20"/>
              </w:rPr>
              <w:t xml:space="preserve">23</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1053" w:type="pct"/>
            <w:vAlign w:val="center"/>
            <w:textDirection w:val="lrTb"/>
            <w:noWrap w:val="false"/>
          </w:tcPr>
          <w:p>
            <w:pPr>
              <w:rPr>
                <w:color w:val="000000"/>
                <w:sz w:val="20"/>
                <w:szCs w:val="20"/>
              </w:rPr>
            </w:pPr>
            <w:r>
              <w:rPr>
                <w:color w:val="000000"/>
                <w:sz w:val="20"/>
                <w:szCs w:val="20"/>
              </w:rPr>
              <w:t xml:space="preserve">Котельная </w:t>
            </w:r>
            <w:r>
              <w:rPr>
                <w:color w:val="000000"/>
                <w:sz w:val="20"/>
                <w:szCs w:val="20"/>
              </w:rPr>
              <w:t xml:space="preserve">д. Фадюшино, ул. Центральная, 50Б</w:t>
            </w:r>
            <w:r>
              <w:rPr>
                <w:color w:val="000000"/>
                <w:sz w:val="20"/>
                <w:szCs w:val="20"/>
              </w:rPr>
            </w:r>
            <w:r>
              <w:rPr>
                <w:color w:val="000000"/>
                <w:sz w:val="20"/>
                <w:szCs w:val="20"/>
              </w:rPr>
            </w:r>
          </w:p>
        </w:tc>
        <w:tc>
          <w:tcPr>
            <w:tcBorders>
              <w:top w:val="single" w:color="auto" w:sz="4" w:space="0"/>
              <w:left w:val="single" w:color="auto" w:sz="4" w:space="0"/>
              <w:bottom w:val="single" w:color="auto" w:sz="4" w:space="0"/>
              <w:right w:val="single" w:color="auto" w:sz="4" w:space="0"/>
            </w:tcBorders>
            <w:tcW w:w="747" w:type="pct"/>
            <w:vAlign w:val="center"/>
            <w:textDirection w:val="lrTb"/>
            <w:noWrap w:val="false"/>
          </w:tcPr>
          <w:p>
            <w:pPr>
              <w:jc w:val="center"/>
              <w:rPr>
                <w:sz w:val="20"/>
                <w:szCs w:val="20"/>
              </w:rPr>
            </w:pPr>
            <w:r>
              <w:rPr>
                <w:sz w:val="20"/>
                <w:szCs w:val="20"/>
              </w:rPr>
              <w:t xml:space="preserve">индивидуальная</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545" w:type="pct"/>
            <w:vAlign w:val="center"/>
            <w:textDirection w:val="lrTb"/>
            <w:noWrap w:val="false"/>
          </w:tcPr>
          <w:p>
            <w:pPr>
              <w:jc w:val="center"/>
              <w:rPr>
                <w:sz w:val="20"/>
                <w:szCs w:val="20"/>
              </w:rPr>
            </w:pPr>
            <w:r>
              <w:rPr>
                <w:sz w:val="20"/>
                <w:szCs w:val="20"/>
              </w:rPr>
              <w:t xml:space="preserve">отопительная</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780" w:type="pct"/>
            <w:vAlign w:val="center"/>
            <w:textDirection w:val="lrTb"/>
            <w:noWrap w:val="false"/>
          </w:tcPr>
          <w:p>
            <w:pPr>
              <w:jc w:val="center"/>
              <w:rPr>
                <w:sz w:val="20"/>
                <w:szCs w:val="20"/>
              </w:rPr>
            </w:pPr>
            <w:r>
              <w:rPr>
                <w:sz w:val="20"/>
                <w:szCs w:val="20"/>
              </w:rPr>
              <w:t xml:space="preserve">отопление</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763" w:type="pct"/>
            <w:vAlign w:val="center"/>
            <w:textDirection w:val="lrTb"/>
            <w:noWrap w:val="false"/>
          </w:tcPr>
          <w:p>
            <w:pPr>
              <w:jc w:val="center"/>
              <w:rPr>
                <w:sz w:val="20"/>
                <w:szCs w:val="20"/>
              </w:rPr>
            </w:pPr>
            <w:r>
              <w:rPr>
                <w:sz w:val="20"/>
                <w:szCs w:val="20"/>
              </w:rPr>
              <w:t xml:space="preserve">первой категории</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888" w:type="pct"/>
            <w:vAlign w:val="center"/>
            <w:textDirection w:val="lrTb"/>
            <w:noWrap w:val="false"/>
          </w:tcPr>
          <w:p>
            <w:pPr>
              <w:jc w:val="center"/>
              <w:rPr>
                <w:sz w:val="20"/>
                <w:szCs w:val="20"/>
              </w:rPr>
            </w:pPr>
            <w:r>
              <w:rPr>
                <w:sz w:val="20"/>
                <w:szCs w:val="20"/>
              </w:rPr>
              <w:t xml:space="preserve">вторая</w:t>
            </w:r>
            <w:r>
              <w:rPr>
                <w:sz w:val="20"/>
                <w:szCs w:val="20"/>
              </w:rPr>
            </w:r>
            <w:r>
              <w:rPr>
                <w:sz w:val="20"/>
                <w:szCs w:val="20"/>
              </w:rPr>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tc>
          <w:tcPr>
            <w:tcBorders>
              <w:top w:val="single" w:color="auto" w:sz="4" w:space="0"/>
              <w:left w:val="single" w:color="auto" w:sz="4" w:space="0"/>
              <w:bottom w:val="single" w:color="auto" w:sz="4" w:space="0"/>
              <w:right w:val="single" w:color="auto" w:sz="4" w:space="0"/>
            </w:tcBorders>
            <w:tcW w:w="224" w:type="pct"/>
            <w:vAlign w:val="center"/>
            <w:textDirection w:val="lrTb"/>
            <w:noWrap w:val="false"/>
          </w:tcPr>
          <w:p>
            <w:pPr>
              <w:jc w:val="center"/>
              <w:rPr>
                <w:sz w:val="20"/>
                <w:szCs w:val="20"/>
              </w:rPr>
            </w:pPr>
            <w:r>
              <w:rPr>
                <w:sz w:val="20"/>
                <w:szCs w:val="20"/>
              </w:rPr>
              <w:t xml:space="preserve">24</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1053" w:type="pct"/>
            <w:vAlign w:val="bottom"/>
            <w:textDirection w:val="lrTb"/>
            <w:noWrap w:val="false"/>
          </w:tcPr>
          <w:p>
            <w:pPr>
              <w:rPr>
                <w:color w:val="000000"/>
                <w:sz w:val="20"/>
                <w:szCs w:val="20"/>
              </w:rPr>
            </w:pPr>
            <w:r>
              <w:rPr>
                <w:color w:val="000000"/>
                <w:sz w:val="20"/>
                <w:szCs w:val="20"/>
              </w:rPr>
              <w:t xml:space="preserve">Котельная с. Скоблино, пер. Октябрьский 11</w:t>
            </w:r>
            <w:r>
              <w:rPr>
                <w:color w:val="000000"/>
                <w:sz w:val="20"/>
                <w:szCs w:val="20"/>
              </w:rPr>
            </w:r>
            <w:r>
              <w:rPr>
                <w:color w:val="000000"/>
                <w:sz w:val="20"/>
                <w:szCs w:val="20"/>
              </w:rPr>
            </w:r>
          </w:p>
        </w:tc>
        <w:tc>
          <w:tcPr>
            <w:tcBorders>
              <w:top w:val="single" w:color="auto" w:sz="4" w:space="0"/>
              <w:left w:val="single" w:color="auto" w:sz="4" w:space="0"/>
              <w:bottom w:val="single" w:color="auto" w:sz="4" w:space="0"/>
              <w:right w:val="single" w:color="auto" w:sz="4" w:space="0"/>
            </w:tcBorders>
            <w:tcW w:w="747" w:type="pct"/>
            <w:vAlign w:val="center"/>
            <w:textDirection w:val="lrTb"/>
            <w:noWrap w:val="false"/>
          </w:tcPr>
          <w:p>
            <w:pPr>
              <w:jc w:val="center"/>
              <w:rPr>
                <w:sz w:val="20"/>
                <w:szCs w:val="20"/>
              </w:rPr>
            </w:pPr>
            <w:r>
              <w:rPr>
                <w:sz w:val="20"/>
                <w:szCs w:val="20"/>
              </w:rPr>
              <w:t xml:space="preserve">индивидуальная</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545" w:type="pct"/>
            <w:vAlign w:val="center"/>
            <w:textDirection w:val="lrTb"/>
            <w:noWrap w:val="false"/>
          </w:tcPr>
          <w:p>
            <w:pPr>
              <w:jc w:val="center"/>
              <w:rPr>
                <w:sz w:val="20"/>
                <w:szCs w:val="20"/>
              </w:rPr>
            </w:pPr>
            <w:r>
              <w:rPr>
                <w:sz w:val="20"/>
                <w:szCs w:val="20"/>
              </w:rPr>
              <w:t xml:space="preserve">отопительная</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780" w:type="pct"/>
            <w:vAlign w:val="center"/>
            <w:textDirection w:val="lrTb"/>
            <w:noWrap w:val="false"/>
          </w:tcPr>
          <w:p>
            <w:pPr>
              <w:jc w:val="center"/>
              <w:rPr>
                <w:sz w:val="20"/>
                <w:szCs w:val="20"/>
              </w:rPr>
            </w:pPr>
            <w:r>
              <w:rPr>
                <w:sz w:val="20"/>
                <w:szCs w:val="20"/>
              </w:rPr>
              <w:t xml:space="preserve">отопление</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763" w:type="pct"/>
            <w:vAlign w:val="center"/>
            <w:textDirection w:val="lrTb"/>
            <w:noWrap w:val="false"/>
          </w:tcPr>
          <w:p>
            <w:pPr>
              <w:jc w:val="center"/>
              <w:rPr>
                <w:sz w:val="20"/>
                <w:szCs w:val="20"/>
              </w:rPr>
            </w:pPr>
            <w:r>
              <w:rPr>
                <w:sz w:val="20"/>
                <w:szCs w:val="20"/>
              </w:rPr>
              <w:t xml:space="preserve">первой категории</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888" w:type="pct"/>
            <w:vAlign w:val="center"/>
            <w:textDirection w:val="lrTb"/>
            <w:noWrap w:val="false"/>
          </w:tcPr>
          <w:p>
            <w:pPr>
              <w:jc w:val="center"/>
              <w:rPr>
                <w:sz w:val="20"/>
                <w:szCs w:val="20"/>
              </w:rPr>
            </w:pPr>
            <w:r>
              <w:rPr>
                <w:sz w:val="20"/>
                <w:szCs w:val="20"/>
              </w:rPr>
              <w:t xml:space="preserve">вторая</w:t>
            </w:r>
            <w:r>
              <w:rPr>
                <w:sz w:val="20"/>
                <w:szCs w:val="20"/>
              </w:rPr>
            </w:r>
            <w:r>
              <w:rPr>
                <w:sz w:val="20"/>
                <w:szCs w:val="20"/>
              </w:rPr>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tc>
          <w:tcPr>
            <w:tcBorders>
              <w:top w:val="single" w:color="auto" w:sz="4" w:space="0"/>
              <w:left w:val="single" w:color="auto" w:sz="4" w:space="0"/>
              <w:bottom w:val="single" w:color="auto" w:sz="4" w:space="0"/>
              <w:right w:val="single" w:color="auto" w:sz="4" w:space="0"/>
            </w:tcBorders>
            <w:tcW w:w="224" w:type="pct"/>
            <w:vAlign w:val="center"/>
            <w:textDirection w:val="lrTb"/>
            <w:noWrap w:val="false"/>
          </w:tcPr>
          <w:p>
            <w:pPr>
              <w:jc w:val="center"/>
              <w:rPr>
                <w:sz w:val="20"/>
                <w:szCs w:val="20"/>
              </w:rPr>
            </w:pPr>
            <w:r>
              <w:rPr>
                <w:sz w:val="20"/>
                <w:szCs w:val="20"/>
              </w:rPr>
              <w:t xml:space="preserve">25</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1053" w:type="pct"/>
            <w:vAlign w:val="bottom"/>
            <w:textDirection w:val="lrTb"/>
            <w:noWrap w:val="false"/>
          </w:tcPr>
          <w:p>
            <w:pPr>
              <w:rPr>
                <w:rFonts w:ascii="Liberation Serif" w:hAnsi="Liberation Serif" w:cs="Calibri"/>
                <w:color w:val="000000"/>
                <w:sz w:val="20"/>
                <w:szCs w:val="20"/>
              </w:rPr>
            </w:pPr>
            <w:r>
              <w:rPr>
                <w:color w:val="000000"/>
                <w:sz w:val="20"/>
                <w:szCs w:val="20"/>
              </w:rPr>
              <w:t xml:space="preserve">Котельная </w:t>
            </w:r>
            <w:r>
              <w:rPr>
                <w:rFonts w:ascii="Liberation Serif" w:hAnsi="Liberation Serif" w:cs="Calibri"/>
                <w:color w:val="000000"/>
                <w:sz w:val="20"/>
                <w:szCs w:val="20"/>
              </w:rPr>
              <w:t xml:space="preserve">п. Лесные Горки</w:t>
            </w:r>
            <w:r>
              <w:rPr>
                <w:rFonts w:ascii="Liberation Serif" w:hAnsi="Liberation Serif" w:cs="Calibri"/>
                <w:color w:val="000000"/>
                <w:sz w:val="20"/>
                <w:szCs w:val="20"/>
              </w:rPr>
            </w:r>
            <w:r>
              <w:rPr>
                <w:rFonts w:ascii="Liberation Serif" w:hAnsi="Liberation Serif" w:cs="Calibri"/>
                <w:color w:val="000000"/>
                <w:sz w:val="20"/>
                <w:szCs w:val="20"/>
              </w:rPr>
            </w:r>
          </w:p>
        </w:tc>
        <w:tc>
          <w:tcPr>
            <w:tcBorders>
              <w:top w:val="single" w:color="auto" w:sz="4" w:space="0"/>
              <w:left w:val="single" w:color="auto" w:sz="4" w:space="0"/>
              <w:bottom w:val="single" w:color="auto" w:sz="4" w:space="0"/>
              <w:right w:val="single" w:color="auto" w:sz="4" w:space="0"/>
            </w:tcBorders>
            <w:tcW w:w="747" w:type="pct"/>
            <w:vAlign w:val="center"/>
            <w:textDirection w:val="lrTb"/>
            <w:noWrap w:val="false"/>
          </w:tcPr>
          <w:p>
            <w:pPr>
              <w:jc w:val="center"/>
              <w:rPr>
                <w:sz w:val="20"/>
                <w:szCs w:val="20"/>
              </w:rPr>
            </w:pPr>
            <w:r>
              <w:rPr>
                <w:sz w:val="20"/>
                <w:szCs w:val="20"/>
              </w:rPr>
              <w:t xml:space="preserve">индивидуальная</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545" w:type="pct"/>
            <w:vAlign w:val="center"/>
            <w:textDirection w:val="lrTb"/>
            <w:noWrap w:val="false"/>
          </w:tcPr>
          <w:p>
            <w:pPr>
              <w:jc w:val="center"/>
              <w:rPr>
                <w:sz w:val="20"/>
                <w:szCs w:val="20"/>
              </w:rPr>
            </w:pPr>
            <w:r>
              <w:rPr>
                <w:sz w:val="20"/>
                <w:szCs w:val="20"/>
              </w:rPr>
              <w:t xml:space="preserve">отопительная</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780" w:type="pct"/>
            <w:vAlign w:val="center"/>
            <w:textDirection w:val="lrTb"/>
            <w:noWrap w:val="false"/>
          </w:tcPr>
          <w:p>
            <w:pPr>
              <w:jc w:val="center"/>
              <w:rPr>
                <w:sz w:val="20"/>
                <w:szCs w:val="20"/>
              </w:rPr>
            </w:pPr>
            <w:r>
              <w:rPr>
                <w:sz w:val="20"/>
                <w:szCs w:val="20"/>
              </w:rPr>
              <w:t xml:space="preserve">отопление</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763" w:type="pct"/>
            <w:vAlign w:val="center"/>
            <w:textDirection w:val="lrTb"/>
            <w:noWrap w:val="false"/>
          </w:tcPr>
          <w:p>
            <w:pPr>
              <w:jc w:val="center"/>
              <w:rPr>
                <w:sz w:val="20"/>
                <w:szCs w:val="20"/>
              </w:rPr>
            </w:pPr>
            <w:r>
              <w:rPr>
                <w:sz w:val="20"/>
                <w:szCs w:val="20"/>
              </w:rPr>
              <w:t xml:space="preserve">первой категории</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888" w:type="pct"/>
            <w:vAlign w:val="center"/>
            <w:textDirection w:val="lrTb"/>
            <w:noWrap w:val="false"/>
          </w:tcPr>
          <w:p>
            <w:pPr>
              <w:jc w:val="center"/>
              <w:rPr>
                <w:sz w:val="20"/>
                <w:szCs w:val="20"/>
              </w:rPr>
            </w:pPr>
            <w:r>
              <w:rPr>
                <w:sz w:val="20"/>
                <w:szCs w:val="20"/>
              </w:rPr>
              <w:t xml:space="preserve">первая</w:t>
            </w:r>
            <w:r>
              <w:rPr>
                <w:sz w:val="20"/>
                <w:szCs w:val="20"/>
              </w:rPr>
            </w:r>
            <w:r>
              <w:rPr>
                <w:sz w:val="20"/>
                <w:szCs w:val="20"/>
              </w:rPr>
            </w:r>
          </w:p>
        </w:tc>
      </w:tr>
    </w:tbl>
    <w:p>
      <w:pPr>
        <w:ind w:left="1395"/>
        <w:jc w:val="right"/>
        <w:spacing w:before="72"/>
        <w:rPr>
          <w:sz w:val="24"/>
          <w:szCs w:val="24"/>
        </w:rPr>
        <w:sectPr>
          <w:footnotePr/>
          <w:endnotePr/>
          <w:type w:val="continuous"/>
          <w:pgSz w:w="16840" w:h="11910" w:orient="landscape"/>
          <w:pgMar w:top="1298" w:right="1100" w:bottom="743" w:left="941" w:header="0" w:footer="760" w:gutter="0"/>
          <w:cols w:num="1" w:sep="0" w:space="720" w:equalWidth="1"/>
          <w:docGrid w:linePitch="360"/>
        </w:sectPr>
      </w:pPr>
      <w:r>
        <w:rPr>
          <w:sz w:val="24"/>
          <w:szCs w:val="24"/>
        </w:rPr>
      </w:r>
      <w:r>
        <w:rPr>
          <w:sz w:val="24"/>
          <w:szCs w:val="24"/>
        </w:rPr>
      </w:r>
      <w:r>
        <w:rPr>
          <w:sz w:val="24"/>
          <w:szCs w:val="24"/>
        </w:rPr>
      </w:r>
    </w:p>
    <w:p>
      <w:pPr>
        <w:ind w:left="1395"/>
        <w:jc w:val="right"/>
        <w:spacing w:before="72"/>
        <w:rPr>
          <w:sz w:val="24"/>
          <w:szCs w:val="24"/>
        </w:rPr>
      </w:pPr>
      <w:r>
        <w:rPr>
          <w:sz w:val="24"/>
          <w:szCs w:val="24"/>
        </w:rPr>
        <w:t xml:space="preserve">Таблица</w:t>
      </w:r>
      <w:r>
        <w:rPr>
          <w:spacing w:val="-8"/>
          <w:sz w:val="24"/>
          <w:szCs w:val="24"/>
        </w:rPr>
        <w:t xml:space="preserve"> </w:t>
      </w:r>
      <w:r>
        <w:rPr>
          <w:sz w:val="24"/>
          <w:szCs w:val="24"/>
        </w:rPr>
        <w:t xml:space="preserve">1</w:t>
      </w:r>
      <w:r>
        <w:rPr>
          <w:sz w:val="24"/>
          <w:szCs w:val="24"/>
        </w:rPr>
        <w:t xml:space="preserve">.2.1</w:t>
      </w:r>
      <w:r>
        <w:rPr>
          <w:sz w:val="24"/>
          <w:szCs w:val="24"/>
        </w:rPr>
        <w:t xml:space="preserve">.2</w:t>
      </w:r>
      <w:r>
        <w:rPr>
          <w:spacing w:val="-8"/>
          <w:sz w:val="24"/>
          <w:szCs w:val="24"/>
        </w:rPr>
        <w:t xml:space="preserve"> </w:t>
      </w:r>
      <w:r>
        <w:rPr>
          <w:sz w:val="24"/>
          <w:szCs w:val="24"/>
        </w:rPr>
      </w:r>
      <w:r>
        <w:rPr>
          <w:sz w:val="24"/>
          <w:szCs w:val="24"/>
        </w:rPr>
      </w:r>
    </w:p>
    <w:p>
      <w:pPr>
        <w:jc w:val="center"/>
        <w:spacing w:before="72"/>
        <w:rPr>
          <w:sz w:val="24"/>
          <w:szCs w:val="24"/>
        </w:rPr>
      </w:pPr>
      <w:r>
        <w:rPr>
          <w:sz w:val="24"/>
          <w:szCs w:val="24"/>
        </w:rPr>
        <w:t xml:space="preserve">Характеристика</w:t>
      </w:r>
      <w:r>
        <w:rPr>
          <w:spacing w:val="-7"/>
          <w:sz w:val="24"/>
          <w:szCs w:val="24"/>
        </w:rPr>
        <w:t xml:space="preserve"> </w:t>
      </w:r>
      <w:r>
        <w:rPr>
          <w:sz w:val="24"/>
          <w:szCs w:val="24"/>
        </w:rPr>
        <w:t xml:space="preserve">котельных</w:t>
      </w:r>
      <w:r>
        <w:rPr>
          <w:spacing w:val="-11"/>
          <w:sz w:val="24"/>
          <w:szCs w:val="24"/>
        </w:rPr>
        <w:t xml:space="preserve"> </w:t>
      </w:r>
      <w:r>
        <w:rPr>
          <w:sz w:val="24"/>
          <w:szCs w:val="24"/>
        </w:rPr>
        <w:t xml:space="preserve">Юргамышского</w:t>
      </w:r>
      <w:r>
        <w:rPr>
          <w:sz w:val="24"/>
          <w:szCs w:val="24"/>
        </w:rPr>
        <w:t xml:space="preserve"> муниципального округа</w:t>
      </w:r>
      <w:r>
        <w:rPr>
          <w:sz w:val="24"/>
          <w:szCs w:val="24"/>
        </w:rPr>
      </w:r>
      <w:r>
        <w:rPr>
          <w:sz w:val="24"/>
          <w:szCs w:val="24"/>
        </w:rPr>
      </w:r>
    </w:p>
    <w:tbl>
      <w:tblPr>
        <w:tblW w:w="5000" w:type="pct"/>
        <w:tblLayout w:type="fixed"/>
        <w:tblLook w:val="04A0" w:firstRow="1" w:lastRow="0" w:firstColumn="1" w:lastColumn="0" w:noHBand="0" w:noVBand="1"/>
      </w:tblPr>
      <w:tblGrid>
        <w:gridCol w:w="2688"/>
        <w:gridCol w:w="2269"/>
        <w:gridCol w:w="2902"/>
        <w:gridCol w:w="1349"/>
        <w:gridCol w:w="1399"/>
        <w:gridCol w:w="1514"/>
        <w:gridCol w:w="1355"/>
        <w:gridCol w:w="1313"/>
      </w:tblGrid>
      <w:tr>
        <w:tblPrEx/>
        <w:trPr>
          <w:trHeight w:val="20"/>
        </w:trPr>
        <w:tc>
          <w:tcPr>
            <w:shd w:val="clear" w:color="auto" w:fill="auto"/>
            <w:tcBorders>
              <w:top w:val="single" w:color="auto" w:sz="4" w:space="0"/>
              <w:left w:val="single" w:color="auto" w:sz="4" w:space="0"/>
              <w:bottom w:val="single" w:color="auto" w:sz="4" w:space="0"/>
              <w:right w:val="single" w:color="auto" w:sz="4" w:space="0"/>
            </w:tcBorders>
            <w:tcW w:w="909" w:type="pct"/>
            <w:vAlign w:val="center"/>
            <w:textDirection w:val="lrTb"/>
            <w:noWrap w:val="false"/>
          </w:tcPr>
          <w:p>
            <w:pPr>
              <w:jc w:val="center"/>
              <w:widowControl/>
              <w:rPr>
                <w:bCs/>
                <w:color w:val="000000"/>
                <w:sz w:val="20"/>
                <w:szCs w:val="20"/>
                <w:lang w:eastAsia="ru-RU"/>
              </w:rPr>
            </w:pPr>
            <w:r>
              <w:rPr>
                <w:bCs/>
                <w:color w:val="000000"/>
                <w:sz w:val="20"/>
                <w:szCs w:val="20"/>
                <w:lang w:eastAsia="ru-RU"/>
              </w:rPr>
              <w:t xml:space="preserve">Наименовавание собственника</w:t>
            </w:r>
            <w:r>
              <w:rPr>
                <w:bCs/>
                <w:color w:val="000000"/>
                <w:sz w:val="20"/>
                <w:szCs w:val="20"/>
                <w:lang w:eastAsia="ru-RU"/>
              </w:rPr>
            </w:r>
            <w:r>
              <w:rPr>
                <w:bCs/>
                <w:color w:val="000000"/>
                <w:sz w:val="20"/>
                <w:szCs w:val="20"/>
                <w:lang w:eastAsia="ru-RU"/>
              </w:rPr>
            </w:r>
          </w:p>
        </w:tc>
        <w:tc>
          <w:tcPr>
            <w:shd w:val="clear" w:color="auto" w:fill="auto"/>
            <w:tcBorders>
              <w:top w:val="single" w:color="auto" w:sz="4" w:space="0"/>
              <w:left w:val="none" w:color="000000" w:sz="4" w:space="0"/>
              <w:bottom w:val="single" w:color="auto" w:sz="4" w:space="0"/>
              <w:right w:val="single" w:color="auto" w:sz="4" w:space="0"/>
            </w:tcBorders>
            <w:tcW w:w="767" w:type="pct"/>
            <w:vAlign w:val="center"/>
            <w:textDirection w:val="lrTb"/>
            <w:noWrap w:val="false"/>
          </w:tcPr>
          <w:p>
            <w:pPr>
              <w:jc w:val="center"/>
              <w:widowControl/>
              <w:rPr>
                <w:bCs/>
                <w:color w:val="000000"/>
                <w:sz w:val="20"/>
                <w:szCs w:val="20"/>
                <w:lang w:eastAsia="ru-RU"/>
              </w:rPr>
            </w:pPr>
            <w:r>
              <w:rPr>
                <w:bCs/>
                <w:color w:val="000000"/>
                <w:sz w:val="20"/>
                <w:szCs w:val="20"/>
                <w:lang w:eastAsia="ru-RU"/>
              </w:rPr>
              <w:t xml:space="preserve">Наименование </w:t>
            </w:r>
            <w:r>
              <w:rPr>
                <w:bCs/>
                <w:color w:val="000000"/>
                <w:sz w:val="20"/>
                <w:szCs w:val="20"/>
                <w:lang w:eastAsia="ru-RU"/>
              </w:rPr>
              <w:t xml:space="preserve">эксплуатирующей</w:t>
            </w:r>
            <w:r>
              <w:rPr>
                <w:bCs/>
                <w:color w:val="000000"/>
                <w:sz w:val="20"/>
                <w:szCs w:val="20"/>
                <w:lang w:eastAsia="ru-RU"/>
              </w:rPr>
              <w:t xml:space="preserve"> организации</w:t>
            </w:r>
            <w:r>
              <w:rPr>
                <w:bCs/>
                <w:color w:val="000000"/>
                <w:sz w:val="20"/>
                <w:szCs w:val="20"/>
                <w:lang w:eastAsia="ru-RU"/>
              </w:rPr>
            </w:r>
            <w:r>
              <w:rPr>
                <w:bCs/>
                <w:color w:val="000000"/>
                <w:sz w:val="20"/>
                <w:szCs w:val="20"/>
                <w:lang w:eastAsia="ru-RU"/>
              </w:rPr>
            </w:r>
          </w:p>
        </w:tc>
        <w:tc>
          <w:tcPr>
            <w:shd w:val="clear" w:color="auto" w:fill="auto"/>
            <w:tcBorders>
              <w:top w:val="single" w:color="auto" w:sz="4" w:space="0"/>
              <w:left w:val="none" w:color="000000" w:sz="4" w:space="0"/>
              <w:bottom w:val="single" w:color="auto" w:sz="4" w:space="0"/>
              <w:right w:val="single" w:color="auto" w:sz="4" w:space="0"/>
            </w:tcBorders>
            <w:tcW w:w="981" w:type="pct"/>
            <w:vAlign w:val="center"/>
            <w:textDirection w:val="lrTb"/>
            <w:noWrap w:val="false"/>
          </w:tcPr>
          <w:p>
            <w:pPr>
              <w:jc w:val="center"/>
              <w:widowControl/>
              <w:rPr>
                <w:bCs/>
                <w:color w:val="000000"/>
                <w:sz w:val="20"/>
                <w:szCs w:val="20"/>
                <w:lang w:eastAsia="ru-RU"/>
              </w:rPr>
            </w:pPr>
            <w:r>
              <w:rPr>
                <w:bCs/>
                <w:color w:val="000000"/>
                <w:sz w:val="20"/>
                <w:szCs w:val="20"/>
                <w:lang w:eastAsia="ru-RU"/>
              </w:rPr>
              <w:t xml:space="preserve">Адрес котельной</w:t>
            </w:r>
            <w:r>
              <w:rPr>
                <w:bCs/>
                <w:color w:val="000000"/>
                <w:sz w:val="20"/>
                <w:szCs w:val="20"/>
                <w:lang w:eastAsia="ru-RU"/>
              </w:rPr>
            </w:r>
            <w:r>
              <w:rPr>
                <w:bCs/>
                <w:color w:val="000000"/>
                <w:sz w:val="20"/>
                <w:szCs w:val="20"/>
                <w:lang w:eastAsia="ru-RU"/>
              </w:rPr>
            </w:r>
          </w:p>
        </w:tc>
        <w:tc>
          <w:tcPr>
            <w:shd w:val="clear" w:color="auto" w:fill="auto"/>
            <w:tcBorders>
              <w:top w:val="single" w:color="auto" w:sz="4" w:space="0"/>
              <w:left w:val="none" w:color="000000" w:sz="4" w:space="0"/>
              <w:bottom w:val="single" w:color="auto" w:sz="4" w:space="0"/>
              <w:right w:val="single" w:color="auto" w:sz="4" w:space="0"/>
            </w:tcBorders>
            <w:tcW w:w="456" w:type="pct"/>
            <w:vAlign w:val="center"/>
            <w:textDirection w:val="lrTb"/>
            <w:noWrap w:val="false"/>
          </w:tcPr>
          <w:p>
            <w:pPr>
              <w:jc w:val="center"/>
              <w:widowControl/>
              <w:rPr>
                <w:color w:val="000000"/>
                <w:sz w:val="20"/>
                <w:szCs w:val="20"/>
                <w:lang w:eastAsia="ru-RU"/>
              </w:rPr>
            </w:pPr>
            <w:r>
              <w:rPr>
                <w:bCs/>
                <w:color w:val="000000"/>
                <w:sz w:val="20"/>
                <w:szCs w:val="20"/>
                <w:lang w:eastAsia="ru-RU"/>
              </w:rPr>
              <w:t xml:space="preserve">Вид топлива</w:t>
            </w:r>
            <w:r>
              <w:rPr>
                <w:color w:val="000000"/>
                <w:sz w:val="20"/>
                <w:szCs w:val="20"/>
                <w:lang w:eastAsia="ru-RU"/>
              </w:rPr>
            </w:r>
            <w:r>
              <w:rPr>
                <w:color w:val="000000"/>
                <w:sz w:val="20"/>
                <w:szCs w:val="20"/>
                <w:lang w:eastAsia="ru-RU"/>
              </w:rPr>
            </w:r>
          </w:p>
        </w:tc>
        <w:tc>
          <w:tcPr>
            <w:shd w:val="clear" w:color="auto" w:fill="auto"/>
            <w:tcBorders>
              <w:top w:val="single" w:color="auto" w:sz="4" w:space="0"/>
              <w:left w:val="none" w:color="000000" w:sz="4" w:space="0"/>
              <w:bottom w:val="single" w:color="auto" w:sz="4" w:space="0"/>
              <w:right w:val="single" w:color="auto" w:sz="4" w:space="0"/>
            </w:tcBorders>
            <w:tcW w:w="473" w:type="pct"/>
            <w:vAlign w:val="center"/>
            <w:textDirection w:val="lrTb"/>
            <w:noWrap w:val="false"/>
          </w:tcPr>
          <w:p>
            <w:pPr>
              <w:ind w:left="-107" w:right="-128"/>
              <w:jc w:val="center"/>
              <w:widowControl/>
              <w:rPr>
                <w:color w:val="000000"/>
                <w:sz w:val="20"/>
                <w:szCs w:val="20"/>
                <w:lang w:eastAsia="ru-RU"/>
              </w:rPr>
            </w:pPr>
            <w:r>
              <w:rPr>
                <w:bCs/>
                <w:color w:val="000000"/>
                <w:sz w:val="20"/>
                <w:szCs w:val="20"/>
                <w:lang w:eastAsia="ru-RU"/>
              </w:rPr>
              <w:t xml:space="preserve">Разновидность топлива</w:t>
            </w:r>
            <w:r>
              <w:rPr>
                <w:color w:val="000000"/>
                <w:sz w:val="20"/>
                <w:szCs w:val="20"/>
                <w:lang w:eastAsia="ru-RU"/>
              </w:rPr>
            </w:r>
            <w:r>
              <w:rPr>
                <w:color w:val="000000"/>
                <w:sz w:val="20"/>
                <w:szCs w:val="20"/>
                <w:lang w:eastAsia="ru-RU"/>
              </w:rPr>
            </w:r>
          </w:p>
        </w:tc>
        <w:tc>
          <w:tcPr>
            <w:shd w:val="clear" w:color="auto" w:fill="auto"/>
            <w:tcBorders>
              <w:top w:val="single" w:color="auto" w:sz="4" w:space="0"/>
              <w:left w:val="none" w:color="000000" w:sz="4" w:space="0"/>
              <w:bottom w:val="single" w:color="auto" w:sz="4" w:space="0"/>
              <w:right w:val="single" w:color="auto" w:sz="4" w:space="0"/>
            </w:tcBorders>
            <w:tcW w:w="512" w:type="pct"/>
            <w:vAlign w:val="center"/>
            <w:textDirection w:val="lrTb"/>
            <w:noWrap w:val="false"/>
          </w:tcPr>
          <w:p>
            <w:pPr>
              <w:jc w:val="center"/>
              <w:widowControl/>
              <w:rPr>
                <w:color w:val="000000"/>
                <w:sz w:val="20"/>
                <w:szCs w:val="20"/>
                <w:lang w:eastAsia="ru-RU"/>
              </w:rPr>
            </w:pPr>
            <w:r>
              <w:rPr>
                <w:bCs/>
                <w:color w:val="000000"/>
                <w:sz w:val="20"/>
                <w:szCs w:val="20"/>
                <w:lang w:eastAsia="ru-RU"/>
              </w:rPr>
              <w:t xml:space="preserve">Тип размещения</w:t>
            </w:r>
            <w:r>
              <w:rPr>
                <w:color w:val="000000"/>
                <w:sz w:val="20"/>
                <w:szCs w:val="20"/>
                <w:lang w:eastAsia="ru-RU"/>
              </w:rPr>
            </w:r>
            <w:r>
              <w:rPr>
                <w:color w:val="000000"/>
                <w:sz w:val="20"/>
                <w:szCs w:val="20"/>
                <w:lang w:eastAsia="ru-RU"/>
              </w:rPr>
            </w:r>
          </w:p>
        </w:tc>
        <w:tc>
          <w:tcPr>
            <w:shd w:val="clear" w:color="auto" w:fill="auto"/>
            <w:tcBorders>
              <w:top w:val="single" w:color="auto" w:sz="4" w:space="0"/>
              <w:left w:val="none" w:color="000000" w:sz="4" w:space="0"/>
              <w:bottom w:val="single" w:color="auto" w:sz="4" w:space="0"/>
              <w:right w:val="single" w:color="auto" w:sz="4" w:space="0"/>
            </w:tcBorders>
            <w:tcW w:w="458" w:type="pct"/>
            <w:vAlign w:val="center"/>
            <w:textDirection w:val="lrTb"/>
            <w:noWrap w:val="false"/>
          </w:tcPr>
          <w:p>
            <w:pPr>
              <w:jc w:val="center"/>
              <w:widowControl/>
              <w:rPr>
                <w:color w:val="000000"/>
                <w:sz w:val="20"/>
                <w:szCs w:val="20"/>
                <w:lang w:eastAsia="ru-RU"/>
              </w:rPr>
            </w:pPr>
            <w:r>
              <w:rPr>
                <w:bCs/>
                <w:color w:val="000000"/>
                <w:sz w:val="20"/>
                <w:szCs w:val="20"/>
                <w:lang w:eastAsia="ru-RU"/>
              </w:rPr>
              <w:t xml:space="preserve">Уровень механизации</w:t>
            </w:r>
            <w:r>
              <w:rPr>
                <w:color w:val="000000"/>
                <w:sz w:val="20"/>
                <w:szCs w:val="20"/>
                <w:lang w:eastAsia="ru-RU"/>
              </w:rPr>
            </w:r>
            <w:r>
              <w:rPr>
                <w:color w:val="000000"/>
                <w:sz w:val="20"/>
                <w:szCs w:val="20"/>
                <w:lang w:eastAsia="ru-RU"/>
              </w:rPr>
            </w:r>
          </w:p>
        </w:tc>
        <w:tc>
          <w:tcPr>
            <w:shd w:val="clear" w:color="auto" w:fill="auto"/>
            <w:tcBorders>
              <w:top w:val="single" w:color="auto" w:sz="4" w:space="0"/>
              <w:left w:val="none" w:color="000000" w:sz="4" w:space="0"/>
              <w:bottom w:val="single" w:color="auto" w:sz="4" w:space="0"/>
              <w:right w:val="single" w:color="auto" w:sz="4" w:space="0"/>
            </w:tcBorders>
            <w:tcW w:w="444" w:type="pct"/>
            <w:vAlign w:val="center"/>
            <w:textDirection w:val="lrTb"/>
            <w:noWrap w:val="false"/>
          </w:tcPr>
          <w:p>
            <w:pPr>
              <w:jc w:val="center"/>
              <w:widowControl/>
              <w:rPr>
                <w:color w:val="000000"/>
                <w:sz w:val="20"/>
                <w:szCs w:val="20"/>
                <w:lang w:eastAsia="ru-RU"/>
              </w:rPr>
            </w:pPr>
            <w:r>
              <w:rPr>
                <w:bCs/>
                <w:color w:val="000000"/>
                <w:sz w:val="20"/>
                <w:szCs w:val="20"/>
                <w:lang w:eastAsia="ru-RU"/>
              </w:rPr>
              <w:t xml:space="preserve">Установленная мощность,</w:t>
            </w:r>
            <w:r>
              <w:rPr>
                <w:color w:val="000000"/>
                <w:sz w:val="20"/>
                <w:szCs w:val="20"/>
                <w:lang w:eastAsia="ru-RU"/>
              </w:rPr>
              <w:t xml:space="preserve">          МВт</w:t>
            </w:r>
            <w:r>
              <w:rPr>
                <w:color w:val="000000"/>
                <w:sz w:val="20"/>
                <w:szCs w:val="20"/>
                <w:lang w:eastAsia="ru-RU"/>
              </w:rPr>
            </w:r>
            <w:r>
              <w:rPr>
                <w:color w:val="000000"/>
                <w:sz w:val="20"/>
                <w:szCs w:val="20"/>
                <w:lang w:eastAsia="ru-RU"/>
              </w:rPr>
            </w:r>
          </w:p>
        </w:tc>
      </w:tr>
      <w:tr>
        <w:tblPrEx/>
        <w:trPr>
          <w:trHeight w:val="20"/>
        </w:trPr>
        <w:tc>
          <w:tcPr>
            <w:shd w:val="clear" w:color="auto" w:fill="auto"/>
            <w:tcBorders>
              <w:top w:val="single" w:color="auto" w:sz="4" w:space="0"/>
              <w:left w:val="single" w:color="auto" w:sz="4" w:space="0"/>
              <w:bottom w:val="single" w:color="auto" w:sz="4" w:space="0"/>
              <w:right w:val="single" w:color="auto" w:sz="4" w:space="0"/>
            </w:tcBorders>
            <w:tcW w:w="909" w:type="pct"/>
            <w:vAlign w:val="center"/>
            <w:textDirection w:val="lrTb"/>
            <w:noWrap w:val="false"/>
          </w:tcPr>
          <w:p>
            <w:pPr>
              <w:widowControl/>
              <w:rPr>
                <w:color w:val="000000"/>
                <w:sz w:val="20"/>
                <w:szCs w:val="20"/>
                <w:lang w:eastAsia="ru-RU"/>
              </w:rPr>
            </w:pPr>
            <w:r>
              <w:rPr>
                <w:color w:val="000000"/>
                <w:sz w:val="20"/>
                <w:szCs w:val="20"/>
                <w:lang w:eastAsia="ru-RU"/>
              </w:rPr>
              <w:t xml:space="preserve">АО «Транснефть-Урал»</w:t>
            </w:r>
            <w:r>
              <w:rPr>
                <w:color w:val="000000"/>
                <w:sz w:val="20"/>
                <w:szCs w:val="20"/>
                <w:lang w:eastAsia="ru-RU"/>
              </w:rPr>
            </w:r>
            <w:r>
              <w:rPr>
                <w:color w:val="000000"/>
                <w:sz w:val="20"/>
                <w:szCs w:val="20"/>
                <w:lang w:eastAsia="ru-RU"/>
              </w:rPr>
            </w:r>
          </w:p>
        </w:tc>
        <w:tc>
          <w:tcPr>
            <w:shd w:val="clear" w:color="auto" w:fill="auto"/>
            <w:tcBorders>
              <w:top w:val="single" w:color="auto" w:sz="4" w:space="0"/>
              <w:left w:val="none" w:color="000000" w:sz="4" w:space="0"/>
              <w:bottom w:val="single" w:color="auto" w:sz="4" w:space="0"/>
              <w:right w:val="single" w:color="auto" w:sz="4" w:space="0"/>
            </w:tcBorders>
            <w:tcW w:w="767" w:type="pct"/>
            <w:vAlign w:val="center"/>
            <w:textDirection w:val="lrTb"/>
            <w:noWrap w:val="false"/>
          </w:tcPr>
          <w:p>
            <w:pPr>
              <w:jc w:val="center"/>
              <w:widowControl/>
              <w:rPr>
                <w:color w:val="000000"/>
                <w:sz w:val="20"/>
                <w:szCs w:val="20"/>
                <w:lang w:eastAsia="ru-RU"/>
              </w:rPr>
            </w:pPr>
            <w:r>
              <w:rPr>
                <w:color w:val="000000"/>
                <w:sz w:val="20"/>
                <w:szCs w:val="20"/>
                <w:lang w:eastAsia="ru-RU"/>
              </w:rPr>
              <w:t xml:space="preserve">Курганская область, Юргамышский район</w:t>
            </w:r>
            <w:r>
              <w:rPr>
                <w:color w:val="000000"/>
                <w:sz w:val="20"/>
                <w:szCs w:val="20"/>
                <w:lang w:eastAsia="ru-RU"/>
              </w:rPr>
              <w:t xml:space="preserve"> </w:t>
            </w:r>
            <w:r>
              <w:rPr>
                <w:color w:val="000000"/>
                <w:sz w:val="20"/>
                <w:szCs w:val="20"/>
                <w:lang w:eastAsia="ru-RU"/>
              </w:rPr>
            </w:r>
            <w:r>
              <w:rPr>
                <w:color w:val="000000"/>
                <w:sz w:val="20"/>
                <w:szCs w:val="20"/>
                <w:lang w:eastAsia="ru-RU"/>
              </w:rPr>
            </w:r>
          </w:p>
          <w:p>
            <w:pPr>
              <w:jc w:val="center"/>
              <w:widowControl/>
              <w:rPr>
                <w:color w:val="000000"/>
                <w:sz w:val="20"/>
                <w:szCs w:val="20"/>
                <w:lang w:eastAsia="ru-RU"/>
              </w:rPr>
            </w:pPr>
            <w:r>
              <w:rPr>
                <w:color w:val="000000"/>
                <w:sz w:val="20"/>
                <w:szCs w:val="20"/>
                <w:lang w:eastAsia="ru-RU"/>
              </w:rPr>
              <w:t xml:space="preserve">п,  Новый мир, ЛПДС «Юргамыш»</w:t>
            </w:r>
            <w:r>
              <w:rPr>
                <w:color w:val="000000"/>
                <w:sz w:val="20"/>
                <w:szCs w:val="20"/>
                <w:lang w:eastAsia="ru-RU"/>
              </w:rPr>
            </w:r>
            <w:r>
              <w:rPr>
                <w:color w:val="000000"/>
                <w:sz w:val="20"/>
                <w:szCs w:val="20"/>
                <w:lang w:eastAsia="ru-RU"/>
              </w:rPr>
            </w:r>
          </w:p>
        </w:tc>
        <w:tc>
          <w:tcPr>
            <w:shd w:val="clear" w:color="auto" w:fill="auto"/>
            <w:tcBorders>
              <w:top w:val="single" w:color="auto" w:sz="4" w:space="0"/>
              <w:left w:val="none" w:color="000000" w:sz="4" w:space="0"/>
              <w:bottom w:val="single" w:color="auto" w:sz="4" w:space="0"/>
              <w:right w:val="single" w:color="auto" w:sz="4" w:space="0"/>
            </w:tcBorders>
            <w:tcW w:w="981" w:type="pct"/>
            <w:vAlign w:val="center"/>
            <w:textDirection w:val="lrTb"/>
            <w:noWrap w:val="false"/>
          </w:tcPr>
          <w:p>
            <w:pPr>
              <w:jc w:val="center"/>
              <w:widowControl/>
              <w:rPr>
                <w:color w:val="000000"/>
                <w:sz w:val="20"/>
                <w:szCs w:val="20"/>
                <w:lang w:eastAsia="ru-RU"/>
              </w:rPr>
            </w:pPr>
            <w:r>
              <w:rPr>
                <w:color w:val="000000"/>
                <w:sz w:val="20"/>
                <w:szCs w:val="20"/>
                <w:lang w:eastAsia="ru-RU"/>
              </w:rPr>
              <w:t xml:space="preserve">Курганская область, Юргамышский район, п. Новый Мир, ЛПДС «Юргамыш»*</w:t>
            </w:r>
            <w:r>
              <w:rPr>
                <w:color w:val="000000"/>
                <w:sz w:val="20"/>
                <w:szCs w:val="20"/>
                <w:lang w:eastAsia="ru-RU"/>
              </w:rPr>
            </w:r>
            <w:r>
              <w:rPr>
                <w:color w:val="000000"/>
                <w:sz w:val="20"/>
                <w:szCs w:val="20"/>
                <w:lang w:eastAsia="ru-RU"/>
              </w:rPr>
            </w:r>
          </w:p>
        </w:tc>
        <w:tc>
          <w:tcPr>
            <w:shd w:val="clear" w:color="auto" w:fill="auto"/>
            <w:tcBorders>
              <w:top w:val="single" w:color="auto" w:sz="4" w:space="0"/>
              <w:left w:val="none" w:color="000000" w:sz="4" w:space="0"/>
              <w:bottom w:val="single" w:color="auto" w:sz="4" w:space="0"/>
              <w:right w:val="single" w:color="auto" w:sz="4" w:space="0"/>
            </w:tcBorders>
            <w:tcW w:w="456" w:type="pct"/>
            <w:vAlign w:val="center"/>
            <w:textDirection w:val="lrTb"/>
            <w:noWrap w:val="false"/>
          </w:tcPr>
          <w:p>
            <w:pPr>
              <w:jc w:val="center"/>
              <w:widowControl/>
              <w:rPr>
                <w:color w:val="000000"/>
                <w:sz w:val="20"/>
                <w:szCs w:val="20"/>
                <w:lang w:eastAsia="ru-RU"/>
              </w:rPr>
            </w:pPr>
            <w:r>
              <w:rPr>
                <w:color w:val="000000"/>
                <w:sz w:val="20"/>
                <w:szCs w:val="20"/>
                <w:lang w:eastAsia="ru-RU"/>
              </w:rPr>
              <w:t xml:space="preserve">газовая</w:t>
            </w:r>
            <w:r>
              <w:rPr>
                <w:color w:val="000000"/>
                <w:sz w:val="20"/>
                <w:szCs w:val="20"/>
                <w:lang w:eastAsia="ru-RU"/>
              </w:rPr>
            </w:r>
            <w:r>
              <w:rPr>
                <w:color w:val="000000"/>
                <w:sz w:val="20"/>
                <w:szCs w:val="20"/>
                <w:lang w:eastAsia="ru-RU"/>
              </w:rPr>
            </w:r>
          </w:p>
        </w:tc>
        <w:tc>
          <w:tcPr>
            <w:shd w:val="clear" w:color="auto" w:fill="auto"/>
            <w:tcBorders>
              <w:top w:val="single" w:color="auto" w:sz="4" w:space="0"/>
              <w:left w:val="none" w:color="000000" w:sz="4" w:space="0"/>
              <w:bottom w:val="single" w:color="auto" w:sz="4" w:space="0"/>
              <w:right w:val="single" w:color="auto" w:sz="4" w:space="0"/>
            </w:tcBorders>
            <w:tcW w:w="473" w:type="pct"/>
            <w:vAlign w:val="center"/>
            <w:textDirection w:val="lrTb"/>
            <w:noWrap w:val="false"/>
          </w:tcPr>
          <w:p>
            <w:pPr>
              <w:jc w:val="center"/>
              <w:widowControl/>
              <w:rPr>
                <w:color w:val="000000"/>
                <w:sz w:val="20"/>
                <w:szCs w:val="20"/>
                <w:lang w:eastAsia="ru-RU"/>
              </w:rPr>
            </w:pPr>
            <w:r>
              <w:rPr>
                <w:color w:val="000000"/>
                <w:sz w:val="20"/>
                <w:szCs w:val="20"/>
                <w:lang w:eastAsia="ru-RU"/>
              </w:rPr>
              <w:t xml:space="preserve">газ</w:t>
            </w:r>
            <w:r>
              <w:rPr>
                <w:color w:val="000000"/>
                <w:sz w:val="20"/>
                <w:szCs w:val="20"/>
                <w:lang w:eastAsia="ru-RU"/>
              </w:rPr>
            </w:r>
            <w:r>
              <w:rPr>
                <w:color w:val="000000"/>
                <w:sz w:val="20"/>
                <w:szCs w:val="20"/>
                <w:lang w:eastAsia="ru-RU"/>
              </w:rPr>
            </w:r>
          </w:p>
        </w:tc>
        <w:tc>
          <w:tcPr>
            <w:shd w:val="clear" w:color="auto" w:fill="auto"/>
            <w:tcBorders>
              <w:top w:val="single" w:color="auto" w:sz="4" w:space="0"/>
              <w:left w:val="none" w:color="000000" w:sz="4" w:space="0"/>
              <w:bottom w:val="single" w:color="auto" w:sz="4" w:space="0"/>
              <w:right w:val="single" w:color="auto" w:sz="4" w:space="0"/>
            </w:tcBorders>
            <w:tcW w:w="512" w:type="pct"/>
            <w:vAlign w:val="center"/>
            <w:textDirection w:val="lrTb"/>
            <w:noWrap w:val="false"/>
          </w:tcPr>
          <w:p>
            <w:pPr>
              <w:jc w:val="center"/>
              <w:widowControl/>
              <w:rPr>
                <w:color w:val="000000"/>
                <w:sz w:val="20"/>
                <w:szCs w:val="20"/>
                <w:lang w:eastAsia="ru-RU"/>
              </w:rPr>
            </w:pPr>
            <w:r>
              <w:rPr>
                <w:color w:val="000000"/>
                <w:sz w:val="20"/>
                <w:szCs w:val="20"/>
                <w:lang w:eastAsia="ru-RU"/>
              </w:rPr>
              <w:t xml:space="preserve">отдельностоящая</w:t>
            </w:r>
            <w:r>
              <w:rPr>
                <w:color w:val="000000"/>
                <w:sz w:val="20"/>
                <w:szCs w:val="20"/>
                <w:lang w:eastAsia="ru-RU"/>
              </w:rPr>
            </w:r>
            <w:r>
              <w:rPr>
                <w:color w:val="000000"/>
                <w:sz w:val="20"/>
                <w:szCs w:val="20"/>
                <w:lang w:eastAsia="ru-RU"/>
              </w:rPr>
            </w:r>
          </w:p>
        </w:tc>
        <w:tc>
          <w:tcPr>
            <w:shd w:val="clear" w:color="auto" w:fill="auto"/>
            <w:tcBorders>
              <w:top w:val="single" w:color="auto" w:sz="4" w:space="0"/>
              <w:left w:val="none" w:color="000000" w:sz="4" w:space="0"/>
              <w:bottom w:val="single" w:color="auto" w:sz="4" w:space="0"/>
              <w:right w:val="single" w:color="auto" w:sz="4" w:space="0"/>
            </w:tcBorders>
            <w:tcW w:w="458" w:type="pct"/>
            <w:vAlign w:val="center"/>
            <w:textDirection w:val="lrTb"/>
            <w:noWrap w:val="false"/>
          </w:tcPr>
          <w:p>
            <w:pPr>
              <w:jc w:val="center"/>
              <w:widowControl/>
              <w:rPr>
                <w:color w:val="000000"/>
                <w:sz w:val="20"/>
                <w:szCs w:val="20"/>
                <w:lang w:eastAsia="ru-RU"/>
              </w:rPr>
            </w:pPr>
            <w:r>
              <w:rPr>
                <w:color w:val="000000"/>
                <w:sz w:val="20"/>
                <w:szCs w:val="20"/>
                <w:lang w:eastAsia="ru-RU"/>
              </w:rPr>
              <w:t xml:space="preserve">автоматическая</w:t>
            </w:r>
            <w:r>
              <w:rPr>
                <w:color w:val="000000"/>
                <w:sz w:val="20"/>
                <w:szCs w:val="20"/>
                <w:lang w:eastAsia="ru-RU"/>
              </w:rPr>
            </w:r>
            <w:r>
              <w:rPr>
                <w:color w:val="000000"/>
                <w:sz w:val="20"/>
                <w:szCs w:val="20"/>
                <w:lang w:eastAsia="ru-RU"/>
              </w:rPr>
            </w:r>
          </w:p>
        </w:tc>
        <w:tc>
          <w:tcPr>
            <w:shd w:val="clear" w:color="auto" w:fill="auto"/>
            <w:tcBorders>
              <w:top w:val="single" w:color="auto" w:sz="4" w:space="0"/>
              <w:left w:val="none" w:color="000000" w:sz="4" w:space="0"/>
              <w:bottom w:val="single" w:color="auto" w:sz="4" w:space="0"/>
              <w:right w:val="single" w:color="auto" w:sz="4" w:space="0"/>
            </w:tcBorders>
            <w:tcW w:w="444" w:type="pct"/>
            <w:vAlign w:val="center"/>
            <w:textDirection w:val="lrTb"/>
            <w:noWrap w:val="false"/>
          </w:tcPr>
          <w:p>
            <w:pPr>
              <w:jc w:val="center"/>
              <w:widowControl/>
              <w:rPr>
                <w:color w:val="000000"/>
                <w:sz w:val="20"/>
                <w:szCs w:val="20"/>
                <w:lang w:eastAsia="ru-RU"/>
              </w:rPr>
            </w:pPr>
            <w:r>
              <w:rPr>
                <w:color w:val="000000"/>
                <w:sz w:val="20"/>
                <w:szCs w:val="20"/>
                <w:lang w:eastAsia="ru-RU"/>
              </w:rPr>
              <w:t xml:space="preserve">24,36</w:t>
            </w:r>
            <w:r>
              <w:rPr>
                <w:color w:val="000000"/>
                <w:sz w:val="20"/>
                <w:szCs w:val="20"/>
                <w:lang w:eastAsia="ru-RU"/>
              </w:rPr>
            </w:r>
            <w:r>
              <w:rPr>
                <w:color w:val="000000"/>
                <w:sz w:val="20"/>
                <w:szCs w:val="20"/>
                <w:lang w:eastAsia="ru-RU"/>
              </w:rPr>
            </w:r>
          </w:p>
        </w:tc>
      </w:tr>
      <w:tr>
        <w:tblPrEx/>
        <w:trPr>
          <w:trHeight w:val="20"/>
        </w:trPr>
        <w:tc>
          <w:tcPr>
            <w:shd w:val="clear" w:color="auto" w:fill="auto"/>
            <w:tcBorders>
              <w:top w:val="single" w:color="auto" w:sz="4" w:space="0"/>
              <w:left w:val="single" w:color="auto" w:sz="4" w:space="0"/>
              <w:bottom w:val="single" w:color="auto" w:sz="4" w:space="0"/>
              <w:right w:val="single" w:color="auto" w:sz="4" w:space="0"/>
            </w:tcBorders>
            <w:tcW w:w="909" w:type="pct"/>
            <w:vAlign w:val="center"/>
            <w:textDirection w:val="lrTb"/>
            <w:noWrap w:val="false"/>
          </w:tcPr>
          <w:p>
            <w:pPr>
              <w:widowControl/>
              <w:rPr>
                <w:iCs/>
                <w:sz w:val="20"/>
                <w:szCs w:val="20"/>
                <w:lang w:eastAsia="ru-RU"/>
              </w:rPr>
            </w:pPr>
            <w:r>
              <w:rPr>
                <w:iCs/>
                <w:sz w:val="20"/>
                <w:szCs w:val="20"/>
                <w:lang w:eastAsia="ru-RU"/>
              </w:rPr>
              <w:t xml:space="preserve">Курганское отделение Южно-Уральской железной дороги-Филиала Открытого Акционерного Общества «Российские железные дороги»</w:t>
            </w:r>
            <w:r>
              <w:rPr>
                <w:iCs/>
                <w:sz w:val="20"/>
                <w:szCs w:val="20"/>
                <w:lang w:eastAsia="ru-RU"/>
              </w:rPr>
            </w:r>
            <w:r>
              <w:rPr>
                <w:iCs/>
                <w:sz w:val="20"/>
                <w:szCs w:val="20"/>
                <w:lang w:eastAsia="ru-RU"/>
              </w:rPr>
            </w:r>
          </w:p>
        </w:tc>
        <w:tc>
          <w:tcPr>
            <w:shd w:val="clear" w:color="auto" w:fill="auto"/>
            <w:tcBorders>
              <w:top w:val="single" w:color="auto" w:sz="4" w:space="0"/>
              <w:left w:val="none" w:color="000000" w:sz="4" w:space="0"/>
              <w:bottom w:val="single" w:color="auto" w:sz="4" w:space="0"/>
              <w:right w:val="single" w:color="auto" w:sz="4" w:space="0"/>
            </w:tcBorders>
            <w:tcW w:w="767" w:type="pct"/>
            <w:vAlign w:val="center"/>
            <w:textDirection w:val="lrTb"/>
            <w:noWrap w:val="false"/>
          </w:tcPr>
          <w:p>
            <w:pPr>
              <w:jc w:val="center"/>
              <w:widowControl/>
              <w:rPr>
                <w:iCs/>
                <w:sz w:val="20"/>
                <w:szCs w:val="20"/>
                <w:lang w:eastAsia="ru-RU"/>
              </w:rPr>
            </w:pPr>
            <w:r>
              <w:rPr>
                <w:iCs/>
                <w:sz w:val="20"/>
                <w:szCs w:val="20"/>
                <w:lang w:eastAsia="ru-RU"/>
              </w:rPr>
              <w:t xml:space="preserve">Курганское отделение Южно-Уральской железной дороги-Филиала Открытого Акционерного Общества «Российские железные дороги»</w:t>
            </w:r>
            <w:r>
              <w:rPr>
                <w:iCs/>
                <w:sz w:val="20"/>
                <w:szCs w:val="20"/>
                <w:lang w:eastAsia="ru-RU"/>
              </w:rPr>
            </w:r>
            <w:r>
              <w:rPr>
                <w:iCs/>
                <w:sz w:val="20"/>
                <w:szCs w:val="20"/>
                <w:lang w:eastAsia="ru-RU"/>
              </w:rPr>
            </w:r>
          </w:p>
        </w:tc>
        <w:tc>
          <w:tcPr>
            <w:shd w:val="clear" w:color="auto" w:fill="auto"/>
            <w:tcBorders>
              <w:top w:val="single" w:color="auto" w:sz="4" w:space="0"/>
              <w:left w:val="none" w:color="000000" w:sz="4" w:space="0"/>
              <w:bottom w:val="single" w:color="auto" w:sz="4" w:space="0"/>
              <w:right w:val="single" w:color="auto" w:sz="4" w:space="0"/>
            </w:tcBorders>
            <w:tcW w:w="981" w:type="pct"/>
            <w:vAlign w:val="center"/>
            <w:textDirection w:val="lrTb"/>
            <w:noWrap w:val="false"/>
          </w:tcPr>
          <w:p>
            <w:pPr>
              <w:jc w:val="center"/>
              <w:widowControl/>
              <w:rPr>
                <w:color w:val="000000"/>
                <w:sz w:val="20"/>
                <w:szCs w:val="20"/>
                <w:lang w:eastAsia="ru-RU"/>
              </w:rPr>
            </w:pPr>
            <w:r>
              <w:rPr>
                <w:color w:val="000000"/>
                <w:sz w:val="20"/>
                <w:szCs w:val="20"/>
                <w:lang w:eastAsia="ru-RU"/>
              </w:rPr>
              <w:t xml:space="preserve">Курганская область, р.п.  Юргамыш, ул.Железнодорожный вокзал, 20</w:t>
            </w:r>
            <w:r>
              <w:rPr>
                <w:color w:val="000000"/>
                <w:sz w:val="20"/>
                <w:szCs w:val="20"/>
                <w:lang w:eastAsia="ru-RU"/>
              </w:rPr>
            </w:r>
            <w:r>
              <w:rPr>
                <w:color w:val="000000"/>
                <w:sz w:val="20"/>
                <w:szCs w:val="20"/>
                <w:lang w:eastAsia="ru-RU"/>
              </w:rPr>
            </w:r>
          </w:p>
        </w:tc>
        <w:tc>
          <w:tcPr>
            <w:shd w:val="clear" w:color="auto" w:fill="auto"/>
            <w:tcBorders>
              <w:top w:val="single" w:color="auto" w:sz="4" w:space="0"/>
              <w:left w:val="none" w:color="000000" w:sz="4" w:space="0"/>
              <w:bottom w:val="single" w:color="auto" w:sz="4" w:space="0"/>
              <w:right w:val="single" w:color="auto" w:sz="4" w:space="0"/>
            </w:tcBorders>
            <w:tcW w:w="456" w:type="pct"/>
            <w:vAlign w:val="center"/>
            <w:textDirection w:val="lrTb"/>
            <w:noWrap w:val="false"/>
          </w:tcPr>
          <w:p>
            <w:pPr>
              <w:jc w:val="center"/>
              <w:widowControl/>
              <w:rPr>
                <w:color w:val="000000"/>
                <w:sz w:val="20"/>
                <w:szCs w:val="20"/>
                <w:lang w:eastAsia="ru-RU"/>
              </w:rPr>
            </w:pPr>
            <w:r>
              <w:rPr>
                <w:color w:val="000000"/>
                <w:sz w:val="20"/>
                <w:szCs w:val="20"/>
                <w:lang w:eastAsia="ru-RU"/>
              </w:rPr>
              <w:t xml:space="preserve">твердотопливная</w:t>
            </w:r>
            <w:r>
              <w:rPr>
                <w:color w:val="000000"/>
                <w:sz w:val="20"/>
                <w:szCs w:val="20"/>
                <w:lang w:eastAsia="ru-RU"/>
              </w:rPr>
            </w:r>
            <w:r>
              <w:rPr>
                <w:color w:val="000000"/>
                <w:sz w:val="20"/>
                <w:szCs w:val="20"/>
                <w:lang w:eastAsia="ru-RU"/>
              </w:rPr>
            </w:r>
          </w:p>
        </w:tc>
        <w:tc>
          <w:tcPr>
            <w:shd w:val="clear" w:color="auto" w:fill="auto"/>
            <w:tcBorders>
              <w:top w:val="single" w:color="auto" w:sz="4" w:space="0"/>
              <w:left w:val="none" w:color="000000" w:sz="4" w:space="0"/>
              <w:bottom w:val="single" w:color="auto" w:sz="4" w:space="0"/>
              <w:right w:val="single" w:color="auto" w:sz="4" w:space="0"/>
            </w:tcBorders>
            <w:tcW w:w="473" w:type="pct"/>
            <w:vAlign w:val="center"/>
            <w:textDirection w:val="lrTb"/>
            <w:noWrap w:val="false"/>
          </w:tcPr>
          <w:p>
            <w:pPr>
              <w:jc w:val="center"/>
              <w:widowControl/>
              <w:rPr>
                <w:color w:val="000000"/>
                <w:sz w:val="20"/>
                <w:szCs w:val="20"/>
                <w:lang w:eastAsia="ru-RU"/>
              </w:rPr>
            </w:pPr>
            <w:r>
              <w:rPr>
                <w:color w:val="000000"/>
                <w:sz w:val="20"/>
                <w:szCs w:val="20"/>
                <w:lang w:eastAsia="ru-RU"/>
              </w:rPr>
              <w:t xml:space="preserve">уголь</w:t>
            </w:r>
            <w:r>
              <w:rPr>
                <w:color w:val="000000"/>
                <w:sz w:val="20"/>
                <w:szCs w:val="20"/>
                <w:lang w:eastAsia="ru-RU"/>
              </w:rPr>
            </w:r>
            <w:r>
              <w:rPr>
                <w:color w:val="000000"/>
                <w:sz w:val="20"/>
                <w:szCs w:val="20"/>
                <w:lang w:eastAsia="ru-RU"/>
              </w:rPr>
            </w:r>
          </w:p>
        </w:tc>
        <w:tc>
          <w:tcPr>
            <w:shd w:val="clear" w:color="auto" w:fill="auto"/>
            <w:tcBorders>
              <w:top w:val="single" w:color="auto" w:sz="4" w:space="0"/>
              <w:left w:val="none" w:color="000000" w:sz="4" w:space="0"/>
              <w:bottom w:val="single" w:color="auto" w:sz="4" w:space="0"/>
              <w:right w:val="single" w:color="auto" w:sz="4" w:space="0"/>
            </w:tcBorders>
            <w:tcW w:w="512" w:type="pct"/>
            <w:vAlign w:val="center"/>
            <w:textDirection w:val="lrTb"/>
            <w:noWrap w:val="false"/>
          </w:tcPr>
          <w:p>
            <w:pPr>
              <w:jc w:val="center"/>
              <w:widowControl/>
              <w:rPr>
                <w:color w:val="000000"/>
                <w:sz w:val="20"/>
                <w:szCs w:val="20"/>
                <w:lang w:eastAsia="ru-RU"/>
              </w:rPr>
            </w:pPr>
            <w:r>
              <w:rPr>
                <w:color w:val="000000"/>
                <w:sz w:val="20"/>
                <w:szCs w:val="20"/>
                <w:lang w:eastAsia="ru-RU"/>
              </w:rPr>
              <w:t xml:space="preserve">отдельностоящая</w:t>
            </w:r>
            <w:r>
              <w:rPr>
                <w:color w:val="000000"/>
                <w:sz w:val="20"/>
                <w:szCs w:val="20"/>
                <w:lang w:eastAsia="ru-RU"/>
              </w:rPr>
            </w:r>
            <w:r>
              <w:rPr>
                <w:color w:val="000000"/>
                <w:sz w:val="20"/>
                <w:szCs w:val="20"/>
                <w:lang w:eastAsia="ru-RU"/>
              </w:rPr>
            </w:r>
          </w:p>
        </w:tc>
        <w:tc>
          <w:tcPr>
            <w:shd w:val="clear" w:color="auto" w:fill="auto"/>
            <w:tcBorders>
              <w:top w:val="single" w:color="auto" w:sz="4" w:space="0"/>
              <w:left w:val="none" w:color="000000" w:sz="4" w:space="0"/>
              <w:bottom w:val="single" w:color="auto" w:sz="4" w:space="0"/>
              <w:right w:val="single" w:color="auto" w:sz="4" w:space="0"/>
            </w:tcBorders>
            <w:tcW w:w="458" w:type="pct"/>
            <w:vAlign w:val="center"/>
            <w:textDirection w:val="lrTb"/>
            <w:noWrap w:val="false"/>
          </w:tcPr>
          <w:p>
            <w:pPr>
              <w:jc w:val="center"/>
              <w:widowControl/>
              <w:rPr>
                <w:color w:val="000000"/>
                <w:sz w:val="20"/>
                <w:szCs w:val="20"/>
                <w:lang w:eastAsia="ru-RU"/>
              </w:rPr>
            </w:pPr>
            <w:r>
              <w:rPr>
                <w:color w:val="000000"/>
                <w:sz w:val="20"/>
                <w:szCs w:val="20"/>
                <w:lang w:eastAsia="ru-RU"/>
              </w:rPr>
              <w:t xml:space="preserve">ручная</w:t>
            </w:r>
            <w:r>
              <w:rPr>
                <w:color w:val="000000"/>
                <w:sz w:val="20"/>
                <w:szCs w:val="20"/>
                <w:lang w:eastAsia="ru-RU"/>
              </w:rPr>
            </w:r>
            <w:r>
              <w:rPr>
                <w:color w:val="000000"/>
                <w:sz w:val="20"/>
                <w:szCs w:val="20"/>
                <w:lang w:eastAsia="ru-RU"/>
              </w:rPr>
            </w:r>
          </w:p>
        </w:tc>
        <w:tc>
          <w:tcPr>
            <w:shd w:val="clear" w:color="auto" w:fill="auto"/>
            <w:tcBorders>
              <w:top w:val="single" w:color="auto" w:sz="4" w:space="0"/>
              <w:left w:val="none" w:color="000000" w:sz="4" w:space="0"/>
              <w:bottom w:val="single" w:color="auto" w:sz="4" w:space="0"/>
              <w:right w:val="single" w:color="auto" w:sz="4" w:space="0"/>
            </w:tcBorders>
            <w:tcW w:w="444" w:type="pct"/>
            <w:vAlign w:val="center"/>
            <w:textDirection w:val="lrTb"/>
            <w:noWrap w:val="false"/>
          </w:tcPr>
          <w:p>
            <w:pPr>
              <w:jc w:val="center"/>
              <w:widowControl/>
              <w:rPr>
                <w:color w:val="000000"/>
                <w:sz w:val="20"/>
                <w:szCs w:val="20"/>
                <w:lang w:eastAsia="ru-RU"/>
              </w:rPr>
            </w:pPr>
            <w:r>
              <w:rPr>
                <w:color w:val="000000"/>
                <w:sz w:val="20"/>
                <w:szCs w:val="20"/>
                <w:lang w:eastAsia="ru-RU"/>
              </w:rPr>
              <w:t xml:space="preserve">1,116</w:t>
            </w:r>
            <w:r>
              <w:rPr>
                <w:color w:val="000000"/>
                <w:sz w:val="20"/>
                <w:szCs w:val="20"/>
                <w:lang w:eastAsia="ru-RU"/>
              </w:rPr>
            </w:r>
            <w:r>
              <w:rPr>
                <w:color w:val="000000"/>
                <w:sz w:val="20"/>
                <w:szCs w:val="20"/>
                <w:lang w:eastAsia="ru-RU"/>
              </w:rPr>
            </w:r>
          </w:p>
        </w:tc>
      </w:tr>
      <w:tr>
        <w:tblPrEx/>
        <w:trPr>
          <w:trHeight w:val="20"/>
        </w:trPr>
        <w:tc>
          <w:tcPr>
            <w:shd w:val="clear" w:color="auto" w:fill="auto"/>
            <w:tcBorders>
              <w:top w:val="single" w:color="auto" w:sz="4" w:space="0"/>
              <w:left w:val="single" w:color="auto" w:sz="4" w:space="0"/>
              <w:bottom w:val="single" w:color="auto" w:sz="4" w:space="0"/>
              <w:right w:val="single" w:color="auto" w:sz="4" w:space="0"/>
            </w:tcBorders>
            <w:tcW w:w="909" w:type="pct"/>
            <w:vAlign w:val="center"/>
            <w:textDirection w:val="lrTb"/>
            <w:noWrap w:val="false"/>
          </w:tcPr>
          <w:p>
            <w:pPr>
              <w:widowControl/>
              <w:rPr>
                <w:color w:val="000000"/>
                <w:sz w:val="20"/>
                <w:szCs w:val="20"/>
                <w:lang w:eastAsia="ru-RU"/>
              </w:rPr>
            </w:pPr>
            <w:r>
              <w:rPr>
                <w:color w:val="000000"/>
                <w:sz w:val="20"/>
                <w:szCs w:val="20"/>
                <w:lang w:eastAsia="ru-RU"/>
              </w:rPr>
              <w:t xml:space="preserve">ФКУ «ИК №7 Федеральной службы исполнения наказания по Курганской области»</w:t>
            </w:r>
            <w:r>
              <w:rPr>
                <w:color w:val="000000"/>
                <w:sz w:val="20"/>
                <w:szCs w:val="20"/>
                <w:lang w:eastAsia="ru-RU"/>
              </w:rPr>
            </w:r>
            <w:r>
              <w:rPr>
                <w:color w:val="000000"/>
                <w:sz w:val="20"/>
                <w:szCs w:val="20"/>
                <w:lang w:eastAsia="ru-RU"/>
              </w:rPr>
            </w:r>
          </w:p>
        </w:tc>
        <w:tc>
          <w:tcPr>
            <w:shd w:val="clear" w:color="auto" w:fill="auto"/>
            <w:tcBorders>
              <w:top w:val="single" w:color="auto" w:sz="4" w:space="0"/>
              <w:left w:val="none" w:color="000000" w:sz="4" w:space="0"/>
              <w:bottom w:val="single" w:color="auto" w:sz="4" w:space="0"/>
              <w:right w:val="single" w:color="auto" w:sz="4" w:space="0"/>
            </w:tcBorders>
            <w:tcW w:w="767" w:type="pct"/>
            <w:vAlign w:val="center"/>
            <w:textDirection w:val="lrTb"/>
            <w:noWrap w:val="false"/>
          </w:tcPr>
          <w:p>
            <w:pPr>
              <w:jc w:val="center"/>
              <w:widowControl/>
              <w:rPr>
                <w:color w:val="000000"/>
                <w:sz w:val="20"/>
                <w:szCs w:val="20"/>
                <w:lang w:eastAsia="ru-RU"/>
              </w:rPr>
            </w:pPr>
            <w:r>
              <w:rPr>
                <w:color w:val="000000"/>
                <w:sz w:val="20"/>
                <w:szCs w:val="20"/>
                <w:lang w:eastAsia="ru-RU"/>
              </w:rPr>
              <w:t xml:space="preserve">ФКУ «ИК №7 Федеральной службы исполнения наказания по Курганской области»</w:t>
            </w:r>
            <w:r>
              <w:rPr>
                <w:color w:val="000000"/>
                <w:sz w:val="20"/>
                <w:szCs w:val="20"/>
                <w:lang w:eastAsia="ru-RU"/>
              </w:rPr>
            </w:r>
            <w:r>
              <w:rPr>
                <w:color w:val="000000"/>
                <w:sz w:val="20"/>
                <w:szCs w:val="20"/>
                <w:lang w:eastAsia="ru-RU"/>
              </w:rPr>
            </w:r>
          </w:p>
        </w:tc>
        <w:tc>
          <w:tcPr>
            <w:shd w:val="clear" w:color="auto" w:fill="auto"/>
            <w:tcBorders>
              <w:top w:val="single" w:color="auto" w:sz="4" w:space="0"/>
              <w:left w:val="none" w:color="000000" w:sz="4" w:space="0"/>
              <w:bottom w:val="single" w:color="auto" w:sz="4" w:space="0"/>
              <w:right w:val="single" w:color="auto" w:sz="4" w:space="0"/>
            </w:tcBorders>
            <w:tcW w:w="981" w:type="pct"/>
            <w:vAlign w:val="center"/>
            <w:textDirection w:val="lrTb"/>
            <w:noWrap w:val="false"/>
          </w:tcPr>
          <w:p>
            <w:pPr>
              <w:jc w:val="center"/>
              <w:widowControl/>
              <w:rPr>
                <w:color w:val="000000"/>
                <w:sz w:val="20"/>
                <w:szCs w:val="20"/>
                <w:lang w:eastAsia="ru-RU"/>
              </w:rPr>
            </w:pPr>
            <w:r>
              <w:rPr>
                <w:color w:val="000000"/>
                <w:sz w:val="20"/>
                <w:szCs w:val="20"/>
                <w:lang w:eastAsia="ru-RU"/>
              </w:rPr>
              <w:t xml:space="preserve">Курганская область, </w:t>
            </w:r>
            <w:r>
              <w:rPr>
                <w:color w:val="000000"/>
                <w:sz w:val="20"/>
                <w:szCs w:val="20"/>
                <w:lang w:eastAsia="ru-RU"/>
              </w:rPr>
              <w:t xml:space="preserve">Юргамышский район, </w:t>
            </w:r>
            <w:r>
              <w:rPr>
                <w:color w:val="000000"/>
                <w:sz w:val="20"/>
                <w:szCs w:val="20"/>
                <w:lang w:eastAsia="ru-RU"/>
              </w:rPr>
              <w:t xml:space="preserve">р.п.Юргамыш, ул. Труда, 147</w:t>
            </w:r>
            <w:r>
              <w:rPr>
                <w:color w:val="000000"/>
                <w:sz w:val="20"/>
                <w:szCs w:val="20"/>
                <w:lang w:eastAsia="ru-RU"/>
              </w:rPr>
            </w:r>
            <w:r>
              <w:rPr>
                <w:color w:val="000000"/>
                <w:sz w:val="20"/>
                <w:szCs w:val="20"/>
                <w:lang w:eastAsia="ru-RU"/>
              </w:rPr>
            </w:r>
          </w:p>
        </w:tc>
        <w:tc>
          <w:tcPr>
            <w:shd w:val="clear" w:color="auto" w:fill="auto"/>
            <w:tcBorders>
              <w:top w:val="single" w:color="auto" w:sz="4" w:space="0"/>
              <w:left w:val="none" w:color="000000" w:sz="4" w:space="0"/>
              <w:bottom w:val="single" w:color="auto" w:sz="4" w:space="0"/>
              <w:right w:val="single" w:color="auto" w:sz="4" w:space="0"/>
            </w:tcBorders>
            <w:tcW w:w="456" w:type="pct"/>
            <w:vAlign w:val="center"/>
            <w:textDirection w:val="lrTb"/>
            <w:noWrap w:val="false"/>
          </w:tcPr>
          <w:p>
            <w:pPr>
              <w:jc w:val="center"/>
              <w:widowControl/>
              <w:rPr>
                <w:color w:val="000000"/>
                <w:sz w:val="20"/>
                <w:szCs w:val="20"/>
                <w:lang w:eastAsia="ru-RU"/>
              </w:rPr>
            </w:pPr>
            <w:r>
              <w:rPr>
                <w:color w:val="000000"/>
                <w:sz w:val="20"/>
                <w:szCs w:val="20"/>
                <w:lang w:eastAsia="ru-RU"/>
              </w:rPr>
              <w:t xml:space="preserve">твердотопливная</w:t>
            </w:r>
            <w:r>
              <w:rPr>
                <w:color w:val="000000"/>
                <w:sz w:val="20"/>
                <w:szCs w:val="20"/>
                <w:lang w:eastAsia="ru-RU"/>
              </w:rPr>
            </w:r>
            <w:r>
              <w:rPr>
                <w:color w:val="000000"/>
                <w:sz w:val="20"/>
                <w:szCs w:val="20"/>
                <w:lang w:eastAsia="ru-RU"/>
              </w:rPr>
            </w:r>
          </w:p>
        </w:tc>
        <w:tc>
          <w:tcPr>
            <w:shd w:val="clear" w:color="auto" w:fill="auto"/>
            <w:tcBorders>
              <w:top w:val="single" w:color="auto" w:sz="4" w:space="0"/>
              <w:left w:val="none" w:color="000000" w:sz="4" w:space="0"/>
              <w:bottom w:val="single" w:color="auto" w:sz="4" w:space="0"/>
              <w:right w:val="single" w:color="auto" w:sz="4" w:space="0"/>
            </w:tcBorders>
            <w:tcW w:w="473" w:type="pct"/>
            <w:vAlign w:val="center"/>
            <w:textDirection w:val="lrTb"/>
            <w:noWrap w:val="false"/>
          </w:tcPr>
          <w:p>
            <w:pPr>
              <w:jc w:val="center"/>
              <w:widowControl/>
              <w:rPr>
                <w:color w:val="000000"/>
                <w:sz w:val="20"/>
                <w:szCs w:val="20"/>
                <w:lang w:eastAsia="ru-RU"/>
              </w:rPr>
            </w:pPr>
            <w:r>
              <w:rPr>
                <w:color w:val="000000"/>
                <w:sz w:val="20"/>
                <w:szCs w:val="20"/>
                <w:lang w:eastAsia="ru-RU"/>
              </w:rPr>
              <w:t xml:space="preserve">уголь</w:t>
            </w:r>
            <w:r>
              <w:rPr>
                <w:color w:val="000000"/>
                <w:sz w:val="20"/>
                <w:szCs w:val="20"/>
                <w:lang w:eastAsia="ru-RU"/>
              </w:rPr>
            </w:r>
            <w:r>
              <w:rPr>
                <w:color w:val="000000"/>
                <w:sz w:val="20"/>
                <w:szCs w:val="20"/>
                <w:lang w:eastAsia="ru-RU"/>
              </w:rPr>
            </w:r>
          </w:p>
        </w:tc>
        <w:tc>
          <w:tcPr>
            <w:shd w:val="clear" w:color="auto" w:fill="auto"/>
            <w:tcBorders>
              <w:top w:val="single" w:color="auto" w:sz="4" w:space="0"/>
              <w:left w:val="none" w:color="000000" w:sz="4" w:space="0"/>
              <w:bottom w:val="single" w:color="auto" w:sz="4" w:space="0"/>
              <w:right w:val="single" w:color="auto" w:sz="4" w:space="0"/>
            </w:tcBorders>
            <w:tcW w:w="512" w:type="pct"/>
            <w:vAlign w:val="center"/>
            <w:textDirection w:val="lrTb"/>
            <w:noWrap w:val="false"/>
          </w:tcPr>
          <w:p>
            <w:pPr>
              <w:jc w:val="center"/>
              <w:widowControl/>
              <w:rPr>
                <w:color w:val="000000"/>
                <w:sz w:val="20"/>
                <w:szCs w:val="20"/>
                <w:lang w:eastAsia="ru-RU"/>
              </w:rPr>
            </w:pPr>
            <w:r>
              <w:rPr>
                <w:color w:val="000000"/>
                <w:sz w:val="20"/>
                <w:szCs w:val="20"/>
                <w:lang w:eastAsia="ru-RU"/>
              </w:rPr>
              <w:t xml:space="preserve">отдельностоящая</w:t>
            </w:r>
            <w:r>
              <w:rPr>
                <w:color w:val="000000"/>
                <w:sz w:val="20"/>
                <w:szCs w:val="20"/>
                <w:lang w:eastAsia="ru-RU"/>
              </w:rPr>
            </w:r>
            <w:r>
              <w:rPr>
                <w:color w:val="000000"/>
                <w:sz w:val="20"/>
                <w:szCs w:val="20"/>
                <w:lang w:eastAsia="ru-RU"/>
              </w:rPr>
            </w:r>
          </w:p>
        </w:tc>
        <w:tc>
          <w:tcPr>
            <w:shd w:val="clear" w:color="auto" w:fill="auto"/>
            <w:tcBorders>
              <w:top w:val="single" w:color="auto" w:sz="4" w:space="0"/>
              <w:left w:val="none" w:color="000000" w:sz="4" w:space="0"/>
              <w:bottom w:val="single" w:color="auto" w:sz="4" w:space="0"/>
              <w:right w:val="single" w:color="auto" w:sz="4" w:space="0"/>
            </w:tcBorders>
            <w:tcW w:w="458" w:type="pct"/>
            <w:vAlign w:val="center"/>
            <w:textDirection w:val="lrTb"/>
            <w:noWrap w:val="false"/>
          </w:tcPr>
          <w:p>
            <w:pPr>
              <w:jc w:val="center"/>
              <w:widowControl/>
              <w:rPr>
                <w:color w:val="000000"/>
                <w:sz w:val="20"/>
                <w:szCs w:val="20"/>
                <w:lang w:eastAsia="ru-RU"/>
              </w:rPr>
            </w:pPr>
            <w:r>
              <w:rPr>
                <w:color w:val="000000"/>
                <w:sz w:val="20"/>
                <w:szCs w:val="20"/>
                <w:lang w:eastAsia="ru-RU"/>
              </w:rPr>
              <w:t xml:space="preserve">ручная</w:t>
            </w:r>
            <w:r>
              <w:rPr>
                <w:color w:val="000000"/>
                <w:sz w:val="20"/>
                <w:szCs w:val="20"/>
                <w:lang w:eastAsia="ru-RU"/>
              </w:rPr>
            </w:r>
            <w:r>
              <w:rPr>
                <w:color w:val="000000"/>
                <w:sz w:val="20"/>
                <w:szCs w:val="20"/>
                <w:lang w:eastAsia="ru-RU"/>
              </w:rPr>
            </w:r>
          </w:p>
        </w:tc>
        <w:tc>
          <w:tcPr>
            <w:shd w:val="clear" w:color="auto" w:fill="auto"/>
            <w:tcBorders>
              <w:top w:val="single" w:color="auto" w:sz="4" w:space="0"/>
              <w:left w:val="none" w:color="000000" w:sz="4" w:space="0"/>
              <w:bottom w:val="single" w:color="auto" w:sz="4" w:space="0"/>
              <w:right w:val="single" w:color="auto" w:sz="4" w:space="0"/>
            </w:tcBorders>
            <w:tcW w:w="444" w:type="pct"/>
            <w:vAlign w:val="center"/>
            <w:textDirection w:val="lrTb"/>
            <w:noWrap w:val="false"/>
          </w:tcPr>
          <w:p>
            <w:pPr>
              <w:jc w:val="center"/>
              <w:widowControl/>
              <w:rPr>
                <w:color w:val="000000"/>
                <w:sz w:val="20"/>
                <w:szCs w:val="20"/>
                <w:lang w:eastAsia="ru-RU"/>
              </w:rPr>
            </w:pPr>
            <w:r>
              <w:rPr>
                <w:color w:val="000000"/>
                <w:sz w:val="20"/>
                <w:szCs w:val="20"/>
                <w:lang w:eastAsia="ru-RU"/>
              </w:rPr>
              <w:t xml:space="preserve">7,6</w:t>
            </w:r>
            <w:r>
              <w:rPr>
                <w:color w:val="000000"/>
                <w:sz w:val="20"/>
                <w:szCs w:val="20"/>
                <w:lang w:eastAsia="ru-RU"/>
              </w:rPr>
            </w:r>
            <w:r>
              <w:rPr>
                <w:color w:val="000000"/>
                <w:sz w:val="20"/>
                <w:szCs w:val="20"/>
                <w:lang w:eastAsia="ru-RU"/>
              </w:rPr>
            </w:r>
          </w:p>
        </w:tc>
      </w:tr>
      <w:tr>
        <w:tblPrEx/>
        <w:trPr>
          <w:trHeight w:val="20"/>
        </w:trPr>
        <w:tc>
          <w:tcPr>
            <w:shd w:val="clear" w:color="auto" w:fill="auto"/>
            <w:tcBorders>
              <w:top w:val="single" w:color="auto" w:sz="4" w:space="0"/>
              <w:left w:val="single" w:color="auto" w:sz="4" w:space="0"/>
              <w:bottom w:val="single" w:color="auto" w:sz="4" w:space="0"/>
              <w:right w:val="single" w:color="auto" w:sz="4" w:space="0"/>
            </w:tcBorders>
            <w:tcW w:w="909" w:type="pct"/>
            <w:vAlign w:val="center"/>
            <w:textDirection w:val="lrTb"/>
            <w:noWrap w:val="false"/>
          </w:tcPr>
          <w:p>
            <w:pPr>
              <w:widowControl/>
              <w:rPr>
                <w:color w:val="000000"/>
                <w:sz w:val="20"/>
                <w:szCs w:val="20"/>
                <w:lang w:eastAsia="ru-RU"/>
              </w:rPr>
            </w:pPr>
            <w:r>
              <w:rPr>
                <w:color w:val="000000"/>
                <w:sz w:val="20"/>
                <w:szCs w:val="20"/>
                <w:lang w:eastAsia="ru-RU"/>
              </w:rPr>
              <w:t xml:space="preserve">ООО «ТеплоРесурс»</w:t>
            </w:r>
            <w:r>
              <w:rPr>
                <w:color w:val="000000"/>
                <w:sz w:val="20"/>
                <w:szCs w:val="20"/>
                <w:lang w:eastAsia="ru-RU"/>
              </w:rPr>
            </w:r>
            <w:r>
              <w:rPr>
                <w:color w:val="000000"/>
                <w:sz w:val="20"/>
                <w:szCs w:val="20"/>
                <w:lang w:eastAsia="ru-RU"/>
              </w:rPr>
            </w:r>
          </w:p>
        </w:tc>
        <w:tc>
          <w:tcPr>
            <w:shd w:val="clear" w:color="auto" w:fill="auto"/>
            <w:tcBorders>
              <w:top w:val="single" w:color="auto" w:sz="4" w:space="0"/>
              <w:left w:val="none" w:color="000000" w:sz="4" w:space="0"/>
              <w:bottom w:val="single" w:color="auto" w:sz="4" w:space="0"/>
              <w:right w:val="single" w:color="auto" w:sz="4" w:space="0"/>
            </w:tcBorders>
            <w:tcW w:w="767" w:type="pct"/>
            <w:vAlign w:val="center"/>
            <w:textDirection w:val="lrTb"/>
            <w:noWrap w:val="false"/>
          </w:tcPr>
          <w:p>
            <w:pPr>
              <w:jc w:val="center"/>
              <w:widowControl/>
              <w:rPr>
                <w:color w:val="000000"/>
                <w:sz w:val="20"/>
                <w:szCs w:val="20"/>
                <w:lang w:eastAsia="ru-RU"/>
              </w:rPr>
            </w:pPr>
            <w:r>
              <w:rPr>
                <w:color w:val="000000"/>
                <w:sz w:val="20"/>
                <w:szCs w:val="20"/>
                <w:lang w:eastAsia="ru-RU"/>
              </w:rPr>
              <w:t xml:space="preserve">ООО «ЮТЭК»</w:t>
            </w:r>
            <w:r>
              <w:rPr>
                <w:color w:val="000000"/>
                <w:sz w:val="20"/>
                <w:szCs w:val="20"/>
                <w:lang w:eastAsia="ru-RU"/>
              </w:rPr>
            </w:r>
            <w:r>
              <w:rPr>
                <w:color w:val="000000"/>
                <w:sz w:val="20"/>
                <w:szCs w:val="20"/>
                <w:lang w:eastAsia="ru-RU"/>
              </w:rPr>
            </w:r>
          </w:p>
        </w:tc>
        <w:tc>
          <w:tcPr>
            <w:shd w:val="clear" w:color="auto" w:fill="auto"/>
            <w:tcBorders>
              <w:top w:val="single" w:color="auto" w:sz="4" w:space="0"/>
              <w:left w:val="none" w:color="000000" w:sz="4" w:space="0"/>
              <w:bottom w:val="single" w:color="auto" w:sz="4" w:space="0"/>
              <w:right w:val="single" w:color="auto" w:sz="4" w:space="0"/>
            </w:tcBorders>
            <w:tcW w:w="981" w:type="pct"/>
            <w:vAlign w:val="center"/>
            <w:textDirection w:val="lrTb"/>
            <w:noWrap w:val="false"/>
          </w:tcPr>
          <w:p>
            <w:pPr>
              <w:jc w:val="center"/>
              <w:widowControl/>
              <w:rPr>
                <w:color w:val="000000"/>
                <w:sz w:val="20"/>
                <w:szCs w:val="20"/>
                <w:lang w:eastAsia="ru-RU"/>
              </w:rPr>
            </w:pPr>
            <w:r>
              <w:rPr>
                <w:color w:val="000000"/>
                <w:sz w:val="20"/>
                <w:szCs w:val="20"/>
                <w:lang w:eastAsia="ru-RU"/>
              </w:rPr>
              <w:t xml:space="preserve">Курганская область, </w:t>
            </w:r>
            <w:r>
              <w:rPr>
                <w:color w:val="000000"/>
                <w:sz w:val="20"/>
                <w:szCs w:val="20"/>
                <w:lang w:eastAsia="ru-RU"/>
              </w:rPr>
              <w:t xml:space="preserve">Юргамышский район, </w:t>
            </w:r>
            <w:r>
              <w:rPr>
                <w:color w:val="000000"/>
                <w:sz w:val="20"/>
                <w:szCs w:val="20"/>
                <w:lang w:eastAsia="ru-RU"/>
              </w:rPr>
              <w:t xml:space="preserve">р.п.Юргамыш, ул. Ленина, 47а</w:t>
            </w:r>
            <w:r>
              <w:rPr>
                <w:color w:val="000000"/>
                <w:sz w:val="20"/>
                <w:szCs w:val="20"/>
                <w:lang w:eastAsia="ru-RU"/>
              </w:rPr>
            </w:r>
            <w:r>
              <w:rPr>
                <w:color w:val="000000"/>
                <w:sz w:val="20"/>
                <w:szCs w:val="20"/>
                <w:lang w:eastAsia="ru-RU"/>
              </w:rPr>
            </w:r>
          </w:p>
        </w:tc>
        <w:tc>
          <w:tcPr>
            <w:shd w:val="clear" w:color="auto" w:fill="auto"/>
            <w:tcBorders>
              <w:top w:val="single" w:color="auto" w:sz="4" w:space="0"/>
              <w:left w:val="none" w:color="000000" w:sz="4" w:space="0"/>
              <w:bottom w:val="single" w:color="auto" w:sz="4" w:space="0"/>
              <w:right w:val="single" w:color="auto" w:sz="4" w:space="0"/>
            </w:tcBorders>
            <w:tcW w:w="456" w:type="pct"/>
            <w:vAlign w:val="center"/>
            <w:textDirection w:val="lrTb"/>
            <w:noWrap w:val="false"/>
          </w:tcPr>
          <w:p>
            <w:pPr>
              <w:jc w:val="center"/>
              <w:widowControl/>
              <w:rPr>
                <w:color w:val="000000"/>
                <w:sz w:val="20"/>
                <w:szCs w:val="20"/>
                <w:lang w:eastAsia="ru-RU"/>
              </w:rPr>
            </w:pPr>
            <w:r>
              <w:rPr>
                <w:color w:val="000000"/>
                <w:sz w:val="20"/>
                <w:szCs w:val="20"/>
                <w:lang w:eastAsia="ru-RU"/>
              </w:rPr>
              <w:t xml:space="preserve">газовая</w:t>
            </w:r>
            <w:r>
              <w:rPr>
                <w:color w:val="000000"/>
                <w:sz w:val="20"/>
                <w:szCs w:val="20"/>
                <w:lang w:eastAsia="ru-RU"/>
              </w:rPr>
            </w:r>
            <w:r>
              <w:rPr>
                <w:color w:val="000000"/>
                <w:sz w:val="20"/>
                <w:szCs w:val="20"/>
                <w:lang w:eastAsia="ru-RU"/>
              </w:rPr>
            </w:r>
          </w:p>
        </w:tc>
        <w:tc>
          <w:tcPr>
            <w:shd w:val="clear" w:color="auto" w:fill="auto"/>
            <w:tcBorders>
              <w:top w:val="single" w:color="auto" w:sz="4" w:space="0"/>
              <w:left w:val="none" w:color="000000" w:sz="4" w:space="0"/>
              <w:bottom w:val="single" w:color="auto" w:sz="4" w:space="0"/>
              <w:right w:val="single" w:color="auto" w:sz="4" w:space="0"/>
            </w:tcBorders>
            <w:tcW w:w="473" w:type="pct"/>
            <w:vAlign w:val="center"/>
            <w:textDirection w:val="lrTb"/>
            <w:noWrap w:val="false"/>
          </w:tcPr>
          <w:p>
            <w:pPr>
              <w:jc w:val="center"/>
              <w:widowControl/>
              <w:rPr>
                <w:color w:val="000000"/>
                <w:sz w:val="20"/>
                <w:szCs w:val="20"/>
                <w:lang w:eastAsia="ru-RU"/>
              </w:rPr>
            </w:pPr>
            <w:r>
              <w:rPr>
                <w:color w:val="000000"/>
                <w:sz w:val="20"/>
                <w:szCs w:val="20"/>
                <w:lang w:eastAsia="ru-RU"/>
              </w:rPr>
              <w:t xml:space="preserve">газ</w:t>
            </w:r>
            <w:r>
              <w:rPr>
                <w:color w:val="000000"/>
                <w:sz w:val="20"/>
                <w:szCs w:val="20"/>
                <w:lang w:eastAsia="ru-RU"/>
              </w:rPr>
            </w:r>
            <w:r>
              <w:rPr>
                <w:color w:val="000000"/>
                <w:sz w:val="20"/>
                <w:szCs w:val="20"/>
                <w:lang w:eastAsia="ru-RU"/>
              </w:rPr>
            </w:r>
          </w:p>
        </w:tc>
        <w:tc>
          <w:tcPr>
            <w:shd w:val="clear" w:color="auto" w:fill="auto"/>
            <w:tcBorders>
              <w:top w:val="single" w:color="auto" w:sz="4" w:space="0"/>
              <w:left w:val="none" w:color="000000" w:sz="4" w:space="0"/>
              <w:bottom w:val="single" w:color="auto" w:sz="4" w:space="0"/>
              <w:right w:val="single" w:color="auto" w:sz="4" w:space="0"/>
            </w:tcBorders>
            <w:tcW w:w="512" w:type="pct"/>
            <w:vAlign w:val="center"/>
            <w:textDirection w:val="lrTb"/>
            <w:noWrap w:val="false"/>
          </w:tcPr>
          <w:p>
            <w:pPr>
              <w:jc w:val="center"/>
              <w:widowControl/>
              <w:rPr>
                <w:color w:val="000000"/>
                <w:sz w:val="20"/>
                <w:szCs w:val="20"/>
                <w:lang w:eastAsia="ru-RU"/>
              </w:rPr>
            </w:pPr>
            <w:r>
              <w:rPr>
                <w:color w:val="000000"/>
                <w:sz w:val="20"/>
                <w:szCs w:val="20"/>
                <w:lang w:eastAsia="ru-RU"/>
              </w:rPr>
              <w:t xml:space="preserve">отдельностоящая</w:t>
            </w:r>
            <w:r>
              <w:rPr>
                <w:color w:val="000000"/>
                <w:sz w:val="20"/>
                <w:szCs w:val="20"/>
                <w:lang w:eastAsia="ru-RU"/>
              </w:rPr>
            </w:r>
            <w:r>
              <w:rPr>
                <w:color w:val="000000"/>
                <w:sz w:val="20"/>
                <w:szCs w:val="20"/>
                <w:lang w:eastAsia="ru-RU"/>
              </w:rPr>
            </w:r>
          </w:p>
        </w:tc>
        <w:tc>
          <w:tcPr>
            <w:shd w:val="clear" w:color="auto" w:fill="auto"/>
            <w:tcBorders>
              <w:top w:val="single" w:color="auto" w:sz="4" w:space="0"/>
              <w:left w:val="none" w:color="000000" w:sz="4" w:space="0"/>
              <w:bottom w:val="single" w:color="auto" w:sz="4" w:space="0"/>
              <w:right w:val="single" w:color="auto" w:sz="4" w:space="0"/>
            </w:tcBorders>
            <w:tcW w:w="458" w:type="pct"/>
            <w:vAlign w:val="center"/>
            <w:textDirection w:val="lrTb"/>
            <w:noWrap w:val="false"/>
          </w:tcPr>
          <w:p>
            <w:pPr>
              <w:jc w:val="center"/>
              <w:widowControl/>
              <w:rPr>
                <w:color w:val="000000"/>
                <w:sz w:val="20"/>
                <w:szCs w:val="20"/>
                <w:lang w:eastAsia="ru-RU"/>
              </w:rPr>
            </w:pPr>
            <w:r>
              <w:rPr>
                <w:color w:val="000000"/>
                <w:sz w:val="20"/>
                <w:szCs w:val="20"/>
                <w:lang w:eastAsia="ru-RU"/>
              </w:rPr>
              <w:t xml:space="preserve">автоматическая</w:t>
            </w:r>
            <w:r>
              <w:rPr>
                <w:color w:val="000000"/>
                <w:sz w:val="20"/>
                <w:szCs w:val="20"/>
                <w:lang w:eastAsia="ru-RU"/>
              </w:rPr>
            </w:r>
            <w:r>
              <w:rPr>
                <w:color w:val="000000"/>
                <w:sz w:val="20"/>
                <w:szCs w:val="20"/>
                <w:lang w:eastAsia="ru-RU"/>
              </w:rPr>
            </w:r>
          </w:p>
        </w:tc>
        <w:tc>
          <w:tcPr>
            <w:shd w:val="clear" w:color="auto" w:fill="auto"/>
            <w:tcBorders>
              <w:top w:val="single" w:color="auto" w:sz="4" w:space="0"/>
              <w:left w:val="none" w:color="000000" w:sz="4" w:space="0"/>
              <w:bottom w:val="single" w:color="auto" w:sz="4" w:space="0"/>
              <w:right w:val="single" w:color="auto" w:sz="4" w:space="0"/>
            </w:tcBorders>
            <w:tcW w:w="444" w:type="pct"/>
            <w:vAlign w:val="center"/>
            <w:textDirection w:val="lrTb"/>
            <w:noWrap w:val="false"/>
          </w:tcPr>
          <w:p>
            <w:pPr>
              <w:jc w:val="center"/>
              <w:widowControl/>
              <w:rPr>
                <w:color w:val="000000"/>
                <w:sz w:val="20"/>
                <w:szCs w:val="20"/>
                <w:lang w:eastAsia="ru-RU"/>
              </w:rPr>
            </w:pPr>
            <w:r>
              <w:rPr>
                <w:color w:val="000000"/>
                <w:sz w:val="20"/>
                <w:szCs w:val="20"/>
                <w:lang w:eastAsia="ru-RU"/>
              </w:rPr>
              <w:t xml:space="preserve">5,6 </w:t>
            </w:r>
            <w:r>
              <w:rPr>
                <w:color w:val="000000"/>
                <w:sz w:val="20"/>
                <w:szCs w:val="20"/>
                <w:lang w:eastAsia="ru-RU"/>
              </w:rPr>
            </w:r>
            <w:r>
              <w:rPr>
                <w:color w:val="000000"/>
                <w:sz w:val="20"/>
                <w:szCs w:val="20"/>
                <w:lang w:eastAsia="ru-RU"/>
              </w:rPr>
            </w:r>
          </w:p>
        </w:tc>
      </w:tr>
      <w:tr>
        <w:tblPrEx/>
        <w:trPr>
          <w:trHeight w:val="20"/>
        </w:trPr>
        <w:tc>
          <w:tcPr>
            <w:shd w:val="clear" w:color="auto" w:fill="auto"/>
            <w:tcBorders>
              <w:top w:val="none" w:color="000000" w:sz="4" w:space="0"/>
              <w:left w:val="single" w:color="auto" w:sz="4" w:space="0"/>
              <w:bottom w:val="single" w:color="auto" w:sz="4" w:space="0"/>
              <w:right w:val="single" w:color="auto" w:sz="4" w:space="0"/>
            </w:tcBorders>
            <w:tcW w:w="909" w:type="pct"/>
            <w:vAlign w:val="center"/>
            <w:textDirection w:val="lrTb"/>
            <w:noWrap/>
          </w:tcPr>
          <w:p>
            <w:pPr>
              <w:widowControl/>
              <w:rPr>
                <w:color w:val="000000"/>
                <w:sz w:val="20"/>
                <w:szCs w:val="20"/>
                <w:lang w:eastAsia="ru-RU"/>
              </w:rPr>
            </w:pPr>
            <w:r>
              <w:rPr>
                <w:color w:val="000000"/>
                <w:sz w:val="20"/>
                <w:szCs w:val="20"/>
                <w:lang w:eastAsia="ru-RU"/>
              </w:rPr>
              <w:t xml:space="preserve">ООО «ЖКХ Инвест»</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767" w:type="pct"/>
            <w:vAlign w:val="center"/>
            <w:textDirection w:val="lrTb"/>
            <w:noWrap/>
          </w:tcPr>
          <w:p>
            <w:pPr>
              <w:jc w:val="center"/>
              <w:widowControl/>
              <w:rPr>
                <w:color w:val="000000"/>
                <w:sz w:val="20"/>
                <w:szCs w:val="20"/>
                <w:lang w:eastAsia="ru-RU"/>
              </w:rPr>
            </w:pPr>
            <w:r>
              <w:rPr>
                <w:color w:val="000000"/>
                <w:sz w:val="20"/>
                <w:szCs w:val="20"/>
                <w:lang w:eastAsia="ru-RU"/>
              </w:rPr>
              <w:t xml:space="preserve">ООО «ЖКХ Юго-Запад»</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981" w:type="pct"/>
            <w:vAlign w:val="center"/>
            <w:textDirection w:val="lrTb"/>
            <w:noWrap/>
          </w:tcPr>
          <w:p>
            <w:pPr>
              <w:jc w:val="center"/>
              <w:widowControl/>
              <w:rPr>
                <w:color w:val="000000"/>
                <w:sz w:val="20"/>
                <w:szCs w:val="20"/>
                <w:lang w:eastAsia="ru-RU"/>
              </w:rPr>
            </w:pPr>
            <w:r>
              <w:rPr>
                <w:color w:val="000000"/>
                <w:sz w:val="20"/>
                <w:szCs w:val="20"/>
                <w:lang w:eastAsia="ru-RU"/>
              </w:rPr>
              <w:t xml:space="preserve">Курганская область, Юргамышский район, р.п.Юргамыш, </w:t>
            </w:r>
            <w:r>
              <w:rPr>
                <w:color w:val="000000"/>
                <w:sz w:val="20"/>
                <w:szCs w:val="20"/>
                <w:lang w:eastAsia="ru-RU"/>
              </w:rPr>
              <w:t xml:space="preserve">ул. Свободы 25А</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56" w:type="pct"/>
            <w:vAlign w:val="center"/>
            <w:textDirection w:val="lrTb"/>
            <w:noWrap/>
          </w:tcPr>
          <w:p>
            <w:pPr>
              <w:jc w:val="center"/>
              <w:widowControl/>
              <w:rPr>
                <w:color w:val="000000"/>
                <w:sz w:val="20"/>
                <w:szCs w:val="20"/>
                <w:lang w:eastAsia="ru-RU"/>
              </w:rPr>
            </w:pPr>
            <w:r>
              <w:rPr>
                <w:color w:val="000000"/>
                <w:sz w:val="20"/>
                <w:szCs w:val="20"/>
                <w:lang w:eastAsia="ru-RU"/>
              </w:rPr>
              <w:t xml:space="preserve">газовая</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73" w:type="pct"/>
            <w:vAlign w:val="center"/>
            <w:textDirection w:val="lrTb"/>
            <w:noWrap/>
          </w:tcPr>
          <w:p>
            <w:pPr>
              <w:jc w:val="center"/>
              <w:widowControl/>
              <w:rPr>
                <w:color w:val="000000"/>
                <w:sz w:val="20"/>
                <w:szCs w:val="20"/>
                <w:lang w:eastAsia="ru-RU"/>
              </w:rPr>
            </w:pPr>
            <w:r>
              <w:rPr>
                <w:color w:val="000000"/>
                <w:sz w:val="20"/>
                <w:szCs w:val="20"/>
                <w:lang w:eastAsia="ru-RU"/>
              </w:rPr>
              <w:t xml:space="preserve">газ</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512" w:type="pct"/>
            <w:vAlign w:val="center"/>
            <w:textDirection w:val="lrTb"/>
            <w:noWrap/>
          </w:tcPr>
          <w:p>
            <w:pPr>
              <w:jc w:val="center"/>
              <w:widowControl/>
              <w:rPr>
                <w:color w:val="000000"/>
                <w:sz w:val="20"/>
                <w:szCs w:val="20"/>
                <w:lang w:eastAsia="ru-RU"/>
              </w:rPr>
            </w:pPr>
            <w:r>
              <w:rPr>
                <w:color w:val="000000"/>
                <w:sz w:val="20"/>
                <w:szCs w:val="20"/>
                <w:lang w:eastAsia="ru-RU"/>
              </w:rPr>
              <w:t xml:space="preserve">о</w:t>
            </w:r>
            <w:r>
              <w:rPr>
                <w:color w:val="000000"/>
                <w:sz w:val="20"/>
                <w:szCs w:val="20"/>
                <w:lang w:eastAsia="ru-RU"/>
              </w:rPr>
              <w:t xml:space="preserve">тдельностоящая</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58" w:type="pct"/>
            <w:vAlign w:val="center"/>
            <w:textDirection w:val="lrTb"/>
            <w:noWrap/>
          </w:tcPr>
          <w:p>
            <w:pPr>
              <w:jc w:val="center"/>
              <w:widowControl/>
              <w:rPr>
                <w:color w:val="000000"/>
                <w:sz w:val="20"/>
                <w:szCs w:val="20"/>
                <w:lang w:eastAsia="ru-RU"/>
              </w:rPr>
            </w:pPr>
            <w:r>
              <w:rPr>
                <w:color w:val="000000"/>
                <w:sz w:val="20"/>
                <w:szCs w:val="20"/>
                <w:lang w:eastAsia="ru-RU"/>
              </w:rPr>
              <w:t xml:space="preserve">автоматическая</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44" w:type="pct"/>
            <w:vAlign w:val="center"/>
            <w:textDirection w:val="lrTb"/>
            <w:noWrap/>
          </w:tcPr>
          <w:p>
            <w:pPr>
              <w:jc w:val="center"/>
              <w:widowControl/>
              <w:rPr>
                <w:color w:val="000000"/>
                <w:sz w:val="20"/>
                <w:szCs w:val="20"/>
                <w:lang w:eastAsia="ru-RU"/>
              </w:rPr>
            </w:pPr>
            <w:r>
              <w:rPr>
                <w:color w:val="000000"/>
                <w:sz w:val="20"/>
                <w:szCs w:val="20"/>
                <w:lang w:eastAsia="ru-RU"/>
              </w:rPr>
              <w:t xml:space="preserve">0,602</w:t>
            </w:r>
            <w:r>
              <w:rPr>
                <w:color w:val="000000"/>
                <w:sz w:val="20"/>
                <w:szCs w:val="20"/>
                <w:lang w:eastAsia="ru-RU"/>
              </w:rPr>
            </w:r>
            <w:r>
              <w:rPr>
                <w:color w:val="000000"/>
                <w:sz w:val="20"/>
                <w:szCs w:val="20"/>
                <w:lang w:eastAsia="ru-RU"/>
              </w:rPr>
            </w:r>
          </w:p>
        </w:tc>
      </w:tr>
      <w:tr>
        <w:tblPrEx/>
        <w:trPr>
          <w:trHeight w:val="20"/>
        </w:trPr>
        <w:tc>
          <w:tcPr>
            <w:shd w:val="clear" w:color="auto" w:fill="auto"/>
            <w:tcBorders>
              <w:top w:val="none" w:color="000000" w:sz="4" w:space="0"/>
              <w:left w:val="single" w:color="auto" w:sz="4" w:space="0"/>
              <w:bottom w:val="single" w:color="auto" w:sz="4" w:space="0"/>
              <w:right w:val="single" w:color="auto" w:sz="4" w:space="0"/>
            </w:tcBorders>
            <w:tcW w:w="909" w:type="pct"/>
            <w:vAlign w:val="center"/>
            <w:textDirection w:val="lrTb"/>
            <w:noWrap/>
          </w:tcPr>
          <w:p>
            <w:pPr>
              <w:widowControl/>
              <w:rPr>
                <w:color w:val="000000"/>
                <w:sz w:val="20"/>
                <w:szCs w:val="20"/>
                <w:lang w:eastAsia="ru-RU"/>
              </w:rPr>
            </w:pPr>
            <w:r>
              <w:rPr>
                <w:color w:val="000000"/>
                <w:sz w:val="20"/>
                <w:szCs w:val="20"/>
                <w:lang w:eastAsia="ru-RU"/>
              </w:rPr>
              <w:t xml:space="preserve">ООО «ЖКХ Инвест»</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767" w:type="pct"/>
            <w:vAlign w:val="center"/>
            <w:textDirection w:val="lrTb"/>
            <w:noWrap/>
          </w:tcPr>
          <w:p>
            <w:pPr>
              <w:jc w:val="center"/>
              <w:widowControl/>
              <w:rPr>
                <w:color w:val="000000"/>
                <w:sz w:val="20"/>
                <w:szCs w:val="20"/>
                <w:lang w:eastAsia="ru-RU"/>
              </w:rPr>
            </w:pPr>
            <w:r>
              <w:rPr>
                <w:color w:val="000000"/>
                <w:sz w:val="20"/>
                <w:szCs w:val="20"/>
                <w:lang w:eastAsia="ru-RU"/>
              </w:rPr>
              <w:t xml:space="preserve">ООО «ЖКХ Юго-Запад»</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981" w:type="pct"/>
            <w:vAlign w:val="center"/>
            <w:textDirection w:val="lrTb"/>
            <w:noWrap/>
          </w:tcPr>
          <w:p>
            <w:pPr>
              <w:jc w:val="center"/>
              <w:widowControl/>
              <w:rPr>
                <w:color w:val="000000"/>
                <w:sz w:val="20"/>
                <w:szCs w:val="20"/>
                <w:lang w:eastAsia="ru-RU"/>
              </w:rPr>
            </w:pPr>
            <w:r>
              <w:rPr>
                <w:color w:val="000000"/>
                <w:sz w:val="20"/>
                <w:szCs w:val="20"/>
                <w:lang w:eastAsia="ru-RU"/>
              </w:rPr>
              <w:t xml:space="preserve">Курганская область, Юргамышский район, р.п.Юргамыш, </w:t>
            </w:r>
            <w:r>
              <w:rPr>
                <w:color w:val="000000"/>
                <w:sz w:val="20"/>
                <w:szCs w:val="20"/>
                <w:lang w:eastAsia="ru-RU"/>
              </w:rPr>
              <w:t xml:space="preserve">ул. Кирова, 38Г</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56" w:type="pct"/>
            <w:vAlign w:val="center"/>
            <w:textDirection w:val="lrTb"/>
            <w:noWrap/>
          </w:tcPr>
          <w:p>
            <w:pPr>
              <w:jc w:val="center"/>
              <w:widowControl/>
              <w:rPr>
                <w:color w:val="000000"/>
                <w:sz w:val="20"/>
                <w:szCs w:val="20"/>
                <w:lang w:eastAsia="ru-RU"/>
              </w:rPr>
            </w:pPr>
            <w:r>
              <w:rPr>
                <w:color w:val="000000"/>
                <w:sz w:val="20"/>
                <w:szCs w:val="20"/>
                <w:lang w:eastAsia="ru-RU"/>
              </w:rPr>
              <w:t xml:space="preserve">газовая</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73" w:type="pct"/>
            <w:vAlign w:val="center"/>
            <w:textDirection w:val="lrTb"/>
            <w:noWrap/>
          </w:tcPr>
          <w:p>
            <w:pPr>
              <w:jc w:val="center"/>
              <w:widowControl/>
              <w:rPr>
                <w:color w:val="000000"/>
                <w:sz w:val="20"/>
                <w:szCs w:val="20"/>
                <w:lang w:eastAsia="ru-RU"/>
              </w:rPr>
            </w:pPr>
            <w:r>
              <w:rPr>
                <w:color w:val="000000"/>
                <w:sz w:val="20"/>
                <w:szCs w:val="20"/>
                <w:lang w:eastAsia="ru-RU"/>
              </w:rPr>
              <w:t xml:space="preserve">газ</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512" w:type="pct"/>
            <w:vAlign w:val="center"/>
            <w:textDirection w:val="lrTb"/>
            <w:noWrap/>
          </w:tcPr>
          <w:p>
            <w:pPr>
              <w:jc w:val="center"/>
              <w:widowControl/>
              <w:rPr>
                <w:color w:val="000000"/>
                <w:sz w:val="20"/>
                <w:szCs w:val="20"/>
                <w:lang w:eastAsia="ru-RU"/>
              </w:rPr>
            </w:pPr>
            <w:r>
              <w:rPr>
                <w:color w:val="000000"/>
                <w:sz w:val="20"/>
                <w:szCs w:val="20"/>
                <w:lang w:eastAsia="ru-RU"/>
              </w:rPr>
              <w:t xml:space="preserve">о</w:t>
            </w:r>
            <w:r>
              <w:rPr>
                <w:color w:val="000000"/>
                <w:sz w:val="20"/>
                <w:szCs w:val="20"/>
                <w:lang w:eastAsia="ru-RU"/>
              </w:rPr>
              <w:t xml:space="preserve">тдельностоящая</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58" w:type="pct"/>
            <w:vAlign w:val="center"/>
            <w:textDirection w:val="lrTb"/>
            <w:noWrap/>
          </w:tcPr>
          <w:p>
            <w:pPr>
              <w:jc w:val="center"/>
              <w:widowControl/>
              <w:rPr>
                <w:color w:val="000000"/>
                <w:sz w:val="20"/>
                <w:szCs w:val="20"/>
                <w:lang w:eastAsia="ru-RU"/>
              </w:rPr>
            </w:pPr>
            <w:r>
              <w:rPr>
                <w:color w:val="000000"/>
                <w:sz w:val="20"/>
                <w:szCs w:val="20"/>
                <w:lang w:eastAsia="ru-RU"/>
              </w:rPr>
              <w:t xml:space="preserve">автоматическая</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44" w:type="pct"/>
            <w:vAlign w:val="center"/>
            <w:textDirection w:val="lrTb"/>
            <w:noWrap/>
          </w:tcPr>
          <w:p>
            <w:pPr>
              <w:jc w:val="center"/>
              <w:widowControl/>
              <w:rPr>
                <w:color w:val="000000"/>
                <w:sz w:val="20"/>
                <w:szCs w:val="20"/>
                <w:lang w:eastAsia="ru-RU"/>
              </w:rPr>
            </w:pPr>
            <w:r>
              <w:rPr>
                <w:color w:val="000000"/>
                <w:sz w:val="20"/>
                <w:szCs w:val="20"/>
                <w:lang w:eastAsia="ru-RU"/>
              </w:rPr>
              <w:t xml:space="preserve">0,43</w:t>
            </w:r>
            <w:r>
              <w:rPr>
                <w:color w:val="000000"/>
                <w:sz w:val="20"/>
                <w:szCs w:val="20"/>
                <w:lang w:eastAsia="ru-RU"/>
              </w:rPr>
            </w:r>
            <w:r>
              <w:rPr>
                <w:color w:val="000000"/>
                <w:sz w:val="20"/>
                <w:szCs w:val="20"/>
                <w:lang w:eastAsia="ru-RU"/>
              </w:rPr>
            </w:r>
          </w:p>
        </w:tc>
      </w:tr>
      <w:tr>
        <w:tblPrEx/>
        <w:trPr>
          <w:trHeight w:val="20"/>
        </w:trPr>
        <w:tc>
          <w:tcPr>
            <w:shd w:val="clear" w:color="auto" w:fill="auto"/>
            <w:tcBorders>
              <w:top w:val="none" w:color="000000" w:sz="4" w:space="0"/>
              <w:left w:val="single" w:color="auto" w:sz="4" w:space="0"/>
              <w:bottom w:val="single" w:color="auto" w:sz="4" w:space="0"/>
              <w:right w:val="single" w:color="auto" w:sz="4" w:space="0"/>
            </w:tcBorders>
            <w:tcW w:w="909" w:type="pct"/>
            <w:vAlign w:val="center"/>
            <w:textDirection w:val="lrTb"/>
            <w:noWrap/>
          </w:tcPr>
          <w:p>
            <w:pPr>
              <w:widowControl/>
              <w:rPr>
                <w:color w:val="000000"/>
                <w:sz w:val="20"/>
                <w:szCs w:val="20"/>
                <w:lang w:eastAsia="ru-RU"/>
              </w:rPr>
            </w:pPr>
            <w:r>
              <w:rPr>
                <w:color w:val="000000"/>
                <w:sz w:val="20"/>
                <w:szCs w:val="20"/>
                <w:lang w:eastAsia="ru-RU"/>
              </w:rPr>
              <w:t xml:space="preserve">ООО «ЖКХ Инвест»</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767" w:type="pct"/>
            <w:vAlign w:val="center"/>
            <w:textDirection w:val="lrTb"/>
            <w:noWrap/>
          </w:tcPr>
          <w:p>
            <w:pPr>
              <w:jc w:val="center"/>
              <w:widowControl/>
              <w:rPr>
                <w:color w:val="000000"/>
                <w:sz w:val="20"/>
                <w:szCs w:val="20"/>
                <w:lang w:eastAsia="ru-RU"/>
              </w:rPr>
            </w:pPr>
            <w:r>
              <w:rPr>
                <w:color w:val="000000"/>
                <w:sz w:val="20"/>
                <w:szCs w:val="20"/>
                <w:lang w:eastAsia="ru-RU"/>
              </w:rPr>
              <w:t xml:space="preserve">ООО «ЖКХ Юго-Запад»</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981" w:type="pct"/>
            <w:vAlign w:val="center"/>
            <w:textDirection w:val="lrTb"/>
            <w:noWrap/>
          </w:tcPr>
          <w:p>
            <w:pPr>
              <w:jc w:val="center"/>
              <w:widowControl/>
              <w:rPr>
                <w:color w:val="000000"/>
                <w:sz w:val="20"/>
                <w:szCs w:val="20"/>
                <w:lang w:eastAsia="ru-RU"/>
              </w:rPr>
            </w:pPr>
            <w:r>
              <w:rPr>
                <w:color w:val="000000"/>
                <w:sz w:val="20"/>
                <w:szCs w:val="20"/>
                <w:lang w:eastAsia="ru-RU"/>
              </w:rPr>
              <w:t xml:space="preserve">Курганская область, Юргамышский район, р.п.Юргамыш,</w:t>
            </w:r>
            <w:r>
              <w:rPr>
                <w:color w:val="000000"/>
                <w:sz w:val="20"/>
                <w:szCs w:val="20"/>
                <w:lang w:eastAsia="ru-RU"/>
              </w:rPr>
              <w:t xml:space="preserve">, ул. Леспромхоза, 4А</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56" w:type="pct"/>
            <w:vAlign w:val="center"/>
            <w:textDirection w:val="lrTb"/>
            <w:noWrap/>
          </w:tcPr>
          <w:p>
            <w:pPr>
              <w:jc w:val="center"/>
              <w:widowControl/>
              <w:rPr>
                <w:color w:val="000000"/>
                <w:sz w:val="20"/>
                <w:szCs w:val="20"/>
                <w:lang w:eastAsia="ru-RU"/>
              </w:rPr>
            </w:pPr>
            <w:r>
              <w:rPr>
                <w:color w:val="000000"/>
                <w:sz w:val="20"/>
                <w:szCs w:val="20"/>
                <w:lang w:eastAsia="ru-RU"/>
              </w:rPr>
              <w:t xml:space="preserve">газовая</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73" w:type="pct"/>
            <w:vAlign w:val="center"/>
            <w:textDirection w:val="lrTb"/>
            <w:noWrap/>
          </w:tcPr>
          <w:p>
            <w:pPr>
              <w:jc w:val="center"/>
              <w:widowControl/>
              <w:rPr>
                <w:color w:val="000000"/>
                <w:sz w:val="20"/>
                <w:szCs w:val="20"/>
                <w:lang w:eastAsia="ru-RU"/>
              </w:rPr>
            </w:pPr>
            <w:r>
              <w:rPr>
                <w:color w:val="000000"/>
                <w:sz w:val="20"/>
                <w:szCs w:val="20"/>
                <w:lang w:eastAsia="ru-RU"/>
              </w:rPr>
              <w:t xml:space="preserve">газ</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512" w:type="pct"/>
            <w:vAlign w:val="center"/>
            <w:textDirection w:val="lrTb"/>
            <w:noWrap/>
          </w:tcPr>
          <w:p>
            <w:pPr>
              <w:jc w:val="center"/>
              <w:widowControl/>
              <w:rPr>
                <w:color w:val="000000"/>
                <w:sz w:val="20"/>
                <w:szCs w:val="20"/>
                <w:lang w:eastAsia="ru-RU"/>
              </w:rPr>
            </w:pPr>
            <w:r>
              <w:rPr>
                <w:color w:val="000000"/>
                <w:sz w:val="20"/>
                <w:szCs w:val="20"/>
                <w:lang w:eastAsia="ru-RU"/>
              </w:rPr>
              <w:t xml:space="preserve">о</w:t>
            </w:r>
            <w:r>
              <w:rPr>
                <w:color w:val="000000"/>
                <w:sz w:val="20"/>
                <w:szCs w:val="20"/>
                <w:lang w:eastAsia="ru-RU"/>
              </w:rPr>
              <w:t xml:space="preserve">тдельностоящая</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58" w:type="pct"/>
            <w:vAlign w:val="center"/>
            <w:textDirection w:val="lrTb"/>
            <w:noWrap/>
          </w:tcPr>
          <w:p>
            <w:pPr>
              <w:jc w:val="center"/>
              <w:widowControl/>
              <w:rPr>
                <w:color w:val="000000"/>
                <w:sz w:val="20"/>
                <w:szCs w:val="20"/>
                <w:lang w:eastAsia="ru-RU"/>
              </w:rPr>
            </w:pPr>
            <w:r>
              <w:rPr>
                <w:color w:val="000000"/>
                <w:sz w:val="20"/>
                <w:szCs w:val="20"/>
                <w:lang w:eastAsia="ru-RU"/>
              </w:rPr>
              <w:t xml:space="preserve">автоматическая</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44" w:type="pct"/>
            <w:vAlign w:val="center"/>
            <w:textDirection w:val="lrTb"/>
            <w:noWrap/>
          </w:tcPr>
          <w:p>
            <w:pPr>
              <w:jc w:val="center"/>
              <w:widowControl/>
              <w:rPr>
                <w:color w:val="000000"/>
                <w:sz w:val="20"/>
                <w:szCs w:val="20"/>
                <w:lang w:eastAsia="ru-RU"/>
              </w:rPr>
            </w:pPr>
            <w:r>
              <w:rPr>
                <w:color w:val="000000"/>
                <w:sz w:val="20"/>
                <w:szCs w:val="20"/>
                <w:lang w:eastAsia="ru-RU"/>
              </w:rPr>
              <w:t xml:space="preserve">0,7</w:t>
            </w:r>
            <w:r>
              <w:rPr>
                <w:color w:val="000000"/>
                <w:sz w:val="20"/>
                <w:szCs w:val="20"/>
                <w:lang w:eastAsia="ru-RU"/>
              </w:rPr>
            </w:r>
            <w:r>
              <w:rPr>
                <w:color w:val="000000"/>
                <w:sz w:val="20"/>
                <w:szCs w:val="20"/>
                <w:lang w:eastAsia="ru-RU"/>
              </w:rPr>
            </w:r>
          </w:p>
        </w:tc>
      </w:tr>
      <w:tr>
        <w:tblPrEx/>
        <w:trPr>
          <w:trHeight w:val="20"/>
        </w:trPr>
        <w:tc>
          <w:tcPr>
            <w:shd w:val="clear" w:color="auto" w:fill="auto"/>
            <w:tcBorders>
              <w:top w:val="none" w:color="000000" w:sz="4" w:space="0"/>
              <w:left w:val="single" w:color="auto" w:sz="4" w:space="0"/>
              <w:bottom w:val="single" w:color="auto" w:sz="4" w:space="0"/>
              <w:right w:val="single" w:color="auto" w:sz="4" w:space="0"/>
            </w:tcBorders>
            <w:tcW w:w="909" w:type="pct"/>
            <w:vAlign w:val="center"/>
            <w:textDirection w:val="lrTb"/>
            <w:noWrap/>
          </w:tcPr>
          <w:p>
            <w:pPr>
              <w:widowControl/>
              <w:rPr>
                <w:color w:val="000000"/>
                <w:sz w:val="20"/>
                <w:szCs w:val="20"/>
                <w:lang w:eastAsia="ru-RU"/>
              </w:rPr>
            </w:pPr>
            <w:r>
              <w:rPr>
                <w:color w:val="000000"/>
                <w:sz w:val="20"/>
                <w:szCs w:val="20"/>
                <w:lang w:eastAsia="ru-RU"/>
              </w:rPr>
              <w:t xml:space="preserve">ООО «ЖКХ Инвест»</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767" w:type="pct"/>
            <w:vAlign w:val="center"/>
            <w:textDirection w:val="lrTb"/>
            <w:noWrap/>
          </w:tcPr>
          <w:p>
            <w:pPr>
              <w:jc w:val="center"/>
              <w:widowControl/>
              <w:rPr>
                <w:color w:val="000000"/>
                <w:sz w:val="20"/>
                <w:szCs w:val="20"/>
                <w:lang w:eastAsia="ru-RU"/>
              </w:rPr>
            </w:pPr>
            <w:r>
              <w:rPr>
                <w:color w:val="000000"/>
                <w:sz w:val="20"/>
                <w:szCs w:val="20"/>
                <w:lang w:eastAsia="ru-RU"/>
              </w:rPr>
              <w:t xml:space="preserve">ООО «ЖКХ Юго-Запад»</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981" w:type="pct"/>
            <w:vAlign w:val="center"/>
            <w:textDirection w:val="lrTb"/>
            <w:noWrap/>
          </w:tcPr>
          <w:p>
            <w:pPr>
              <w:jc w:val="center"/>
              <w:widowControl/>
              <w:rPr>
                <w:color w:val="000000"/>
                <w:sz w:val="20"/>
                <w:szCs w:val="20"/>
                <w:lang w:eastAsia="ru-RU"/>
              </w:rPr>
            </w:pPr>
            <w:r>
              <w:rPr>
                <w:color w:val="000000"/>
                <w:sz w:val="20"/>
                <w:szCs w:val="20"/>
                <w:lang w:eastAsia="ru-RU"/>
              </w:rPr>
              <w:t xml:space="preserve">Курганская область, Юргамышский район, </w:t>
            </w:r>
            <w:r>
              <w:rPr>
                <w:color w:val="000000"/>
                <w:sz w:val="20"/>
                <w:szCs w:val="20"/>
                <w:lang w:eastAsia="ru-RU"/>
              </w:rPr>
              <w:t xml:space="preserve">с. Кислянское, ул. Советская, 25А</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56" w:type="pct"/>
            <w:vAlign w:val="center"/>
            <w:textDirection w:val="lrTb"/>
            <w:noWrap/>
          </w:tcPr>
          <w:p>
            <w:pPr>
              <w:jc w:val="center"/>
              <w:widowControl/>
              <w:rPr>
                <w:color w:val="000000"/>
                <w:sz w:val="20"/>
                <w:szCs w:val="20"/>
                <w:lang w:eastAsia="ru-RU"/>
              </w:rPr>
            </w:pPr>
            <w:r>
              <w:rPr>
                <w:color w:val="000000"/>
                <w:sz w:val="20"/>
                <w:szCs w:val="20"/>
                <w:lang w:eastAsia="ru-RU"/>
              </w:rPr>
              <w:t xml:space="preserve">газовая</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73" w:type="pct"/>
            <w:vAlign w:val="center"/>
            <w:textDirection w:val="lrTb"/>
            <w:noWrap/>
          </w:tcPr>
          <w:p>
            <w:pPr>
              <w:jc w:val="center"/>
              <w:widowControl/>
              <w:rPr>
                <w:color w:val="000000"/>
                <w:sz w:val="20"/>
                <w:szCs w:val="20"/>
                <w:lang w:eastAsia="ru-RU"/>
              </w:rPr>
            </w:pPr>
            <w:r>
              <w:rPr>
                <w:color w:val="000000"/>
                <w:sz w:val="20"/>
                <w:szCs w:val="20"/>
                <w:lang w:eastAsia="ru-RU"/>
              </w:rPr>
              <w:t xml:space="preserve">газ</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512" w:type="pct"/>
            <w:vAlign w:val="center"/>
            <w:textDirection w:val="lrTb"/>
            <w:noWrap/>
          </w:tcPr>
          <w:p>
            <w:pPr>
              <w:jc w:val="center"/>
              <w:widowControl/>
              <w:rPr>
                <w:color w:val="000000"/>
                <w:sz w:val="20"/>
                <w:szCs w:val="20"/>
                <w:lang w:eastAsia="ru-RU"/>
              </w:rPr>
            </w:pPr>
            <w:r>
              <w:rPr>
                <w:color w:val="000000"/>
                <w:sz w:val="20"/>
                <w:szCs w:val="20"/>
                <w:lang w:eastAsia="ru-RU"/>
              </w:rPr>
              <w:t xml:space="preserve">о</w:t>
            </w:r>
            <w:r>
              <w:rPr>
                <w:color w:val="000000"/>
                <w:sz w:val="20"/>
                <w:szCs w:val="20"/>
                <w:lang w:eastAsia="ru-RU"/>
              </w:rPr>
              <w:t xml:space="preserve">тдельностоящая</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58" w:type="pct"/>
            <w:vAlign w:val="center"/>
            <w:textDirection w:val="lrTb"/>
            <w:noWrap/>
          </w:tcPr>
          <w:p>
            <w:pPr>
              <w:jc w:val="center"/>
              <w:widowControl/>
              <w:rPr>
                <w:color w:val="000000"/>
                <w:sz w:val="20"/>
                <w:szCs w:val="20"/>
                <w:lang w:eastAsia="ru-RU"/>
              </w:rPr>
            </w:pPr>
            <w:r>
              <w:rPr>
                <w:color w:val="000000"/>
                <w:sz w:val="20"/>
                <w:szCs w:val="20"/>
                <w:lang w:eastAsia="ru-RU"/>
              </w:rPr>
              <w:t xml:space="preserve">автоматическая</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44" w:type="pct"/>
            <w:vAlign w:val="center"/>
            <w:textDirection w:val="lrTb"/>
            <w:noWrap/>
          </w:tcPr>
          <w:p>
            <w:pPr>
              <w:jc w:val="center"/>
              <w:widowControl/>
              <w:rPr>
                <w:color w:val="000000"/>
                <w:sz w:val="20"/>
                <w:szCs w:val="20"/>
                <w:lang w:eastAsia="ru-RU"/>
              </w:rPr>
            </w:pPr>
            <w:r>
              <w:rPr>
                <w:color w:val="000000"/>
                <w:sz w:val="20"/>
                <w:szCs w:val="20"/>
                <w:lang w:eastAsia="ru-RU"/>
              </w:rPr>
              <w:t xml:space="preserve">0,688</w:t>
            </w:r>
            <w:r>
              <w:rPr>
                <w:color w:val="000000"/>
                <w:sz w:val="20"/>
                <w:szCs w:val="20"/>
                <w:lang w:eastAsia="ru-RU"/>
              </w:rPr>
            </w:r>
            <w:r>
              <w:rPr>
                <w:color w:val="000000"/>
                <w:sz w:val="20"/>
                <w:szCs w:val="20"/>
                <w:lang w:eastAsia="ru-RU"/>
              </w:rPr>
            </w:r>
          </w:p>
        </w:tc>
      </w:tr>
      <w:tr>
        <w:tblPrEx/>
        <w:trPr>
          <w:trHeight w:val="20"/>
        </w:trPr>
        <w:tc>
          <w:tcPr>
            <w:shd w:val="clear" w:color="auto" w:fill="auto"/>
            <w:tcBorders>
              <w:top w:val="none" w:color="000000" w:sz="4" w:space="0"/>
              <w:left w:val="single" w:color="auto" w:sz="4" w:space="0"/>
              <w:bottom w:val="single" w:color="auto" w:sz="4" w:space="0"/>
              <w:right w:val="single" w:color="auto" w:sz="4" w:space="0"/>
            </w:tcBorders>
            <w:tcW w:w="909" w:type="pct"/>
            <w:vAlign w:val="center"/>
            <w:textDirection w:val="lrTb"/>
            <w:noWrap/>
          </w:tcPr>
          <w:p>
            <w:pPr>
              <w:widowControl/>
              <w:rPr>
                <w:color w:val="000000"/>
                <w:sz w:val="20"/>
                <w:szCs w:val="20"/>
                <w:lang w:eastAsia="ru-RU"/>
              </w:rPr>
            </w:pPr>
            <w:r>
              <w:rPr>
                <w:color w:val="000000"/>
                <w:sz w:val="20"/>
                <w:szCs w:val="20"/>
                <w:lang w:eastAsia="ru-RU"/>
              </w:rPr>
              <w:t xml:space="preserve">ООО «ЖКХ Инвест»</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767" w:type="pct"/>
            <w:vAlign w:val="center"/>
            <w:textDirection w:val="lrTb"/>
            <w:noWrap/>
          </w:tcPr>
          <w:p>
            <w:pPr>
              <w:jc w:val="center"/>
              <w:widowControl/>
              <w:rPr>
                <w:color w:val="000000"/>
                <w:sz w:val="20"/>
                <w:szCs w:val="20"/>
                <w:lang w:eastAsia="ru-RU"/>
              </w:rPr>
            </w:pPr>
            <w:r>
              <w:rPr>
                <w:color w:val="000000"/>
                <w:sz w:val="20"/>
                <w:szCs w:val="20"/>
                <w:lang w:eastAsia="ru-RU"/>
              </w:rPr>
              <w:t xml:space="preserve">ООО «ЖКХ Юго-Запад»</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981" w:type="pct"/>
            <w:vAlign w:val="center"/>
            <w:textDirection w:val="lrTb"/>
            <w:noWrap/>
          </w:tcPr>
          <w:p>
            <w:pPr>
              <w:jc w:val="center"/>
              <w:widowControl/>
              <w:rPr>
                <w:color w:val="000000"/>
                <w:sz w:val="20"/>
                <w:szCs w:val="20"/>
                <w:lang w:eastAsia="ru-RU"/>
              </w:rPr>
            </w:pPr>
            <w:r>
              <w:rPr>
                <w:color w:val="000000"/>
                <w:sz w:val="20"/>
                <w:szCs w:val="20"/>
                <w:lang w:eastAsia="ru-RU"/>
              </w:rPr>
              <w:t xml:space="preserve">Курганская область, Юргамышский район, </w:t>
            </w:r>
            <w:r>
              <w:rPr>
                <w:color w:val="000000"/>
                <w:sz w:val="20"/>
                <w:szCs w:val="20"/>
                <w:lang w:eastAsia="ru-RU"/>
              </w:rPr>
              <w:t xml:space="preserve">с. Чинеево, ул. Центральная, 7Б**</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56" w:type="pct"/>
            <w:vAlign w:val="center"/>
            <w:textDirection w:val="lrTb"/>
            <w:noWrap/>
          </w:tcPr>
          <w:p>
            <w:pPr>
              <w:jc w:val="center"/>
              <w:widowControl/>
              <w:rPr>
                <w:color w:val="000000"/>
                <w:sz w:val="20"/>
                <w:szCs w:val="20"/>
                <w:lang w:eastAsia="ru-RU"/>
              </w:rPr>
            </w:pPr>
            <w:r>
              <w:rPr>
                <w:color w:val="000000"/>
                <w:sz w:val="20"/>
                <w:szCs w:val="20"/>
                <w:lang w:eastAsia="ru-RU"/>
              </w:rPr>
              <w:t xml:space="preserve">твердотопливная</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73" w:type="pct"/>
            <w:vAlign w:val="center"/>
            <w:textDirection w:val="lrTb"/>
            <w:noWrap/>
          </w:tcPr>
          <w:p>
            <w:pPr>
              <w:jc w:val="center"/>
              <w:widowControl/>
              <w:rPr>
                <w:color w:val="000000"/>
                <w:sz w:val="20"/>
                <w:szCs w:val="20"/>
                <w:lang w:eastAsia="ru-RU"/>
              </w:rPr>
            </w:pPr>
            <w:r>
              <w:rPr>
                <w:color w:val="000000"/>
                <w:sz w:val="20"/>
                <w:szCs w:val="20"/>
                <w:lang w:eastAsia="ru-RU"/>
              </w:rPr>
              <w:t xml:space="preserve">уголь</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512" w:type="pct"/>
            <w:vAlign w:val="center"/>
            <w:textDirection w:val="lrTb"/>
            <w:noWrap/>
          </w:tcPr>
          <w:p>
            <w:pPr>
              <w:jc w:val="center"/>
              <w:widowControl/>
              <w:rPr>
                <w:color w:val="000000"/>
                <w:sz w:val="20"/>
                <w:szCs w:val="20"/>
                <w:lang w:eastAsia="ru-RU"/>
              </w:rPr>
            </w:pPr>
            <w:r>
              <w:rPr>
                <w:color w:val="000000"/>
                <w:sz w:val="20"/>
                <w:szCs w:val="20"/>
                <w:lang w:eastAsia="ru-RU"/>
              </w:rPr>
              <w:t xml:space="preserve">о</w:t>
            </w:r>
            <w:r>
              <w:rPr>
                <w:color w:val="000000"/>
                <w:sz w:val="20"/>
                <w:szCs w:val="20"/>
                <w:lang w:eastAsia="ru-RU"/>
              </w:rPr>
              <w:t xml:space="preserve">тдельностоящая</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58" w:type="pct"/>
            <w:vAlign w:val="center"/>
            <w:textDirection w:val="lrTb"/>
            <w:noWrap/>
          </w:tcPr>
          <w:p>
            <w:pPr>
              <w:jc w:val="center"/>
              <w:widowControl/>
              <w:rPr>
                <w:color w:val="000000"/>
                <w:sz w:val="20"/>
                <w:szCs w:val="20"/>
                <w:lang w:eastAsia="ru-RU"/>
              </w:rPr>
            </w:pPr>
            <w:r>
              <w:rPr>
                <w:color w:val="000000"/>
                <w:sz w:val="20"/>
                <w:szCs w:val="20"/>
                <w:lang w:eastAsia="ru-RU"/>
              </w:rPr>
              <w:t xml:space="preserve">автоматическая</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44" w:type="pct"/>
            <w:vAlign w:val="center"/>
            <w:textDirection w:val="lrTb"/>
            <w:noWrap/>
          </w:tcPr>
          <w:p>
            <w:pPr>
              <w:jc w:val="center"/>
              <w:widowControl/>
              <w:rPr>
                <w:color w:val="000000"/>
                <w:sz w:val="20"/>
                <w:szCs w:val="20"/>
                <w:lang w:eastAsia="ru-RU"/>
              </w:rPr>
            </w:pPr>
            <w:r>
              <w:rPr>
                <w:color w:val="000000"/>
                <w:sz w:val="20"/>
                <w:szCs w:val="20"/>
                <w:lang w:eastAsia="ru-RU"/>
              </w:rPr>
              <w:t xml:space="preserve">0,35</w:t>
            </w:r>
            <w:r>
              <w:rPr>
                <w:color w:val="000000"/>
                <w:sz w:val="20"/>
                <w:szCs w:val="20"/>
                <w:lang w:eastAsia="ru-RU"/>
              </w:rPr>
            </w:r>
            <w:r>
              <w:rPr>
                <w:color w:val="000000"/>
                <w:sz w:val="20"/>
                <w:szCs w:val="20"/>
                <w:lang w:eastAsia="ru-RU"/>
              </w:rPr>
            </w:r>
          </w:p>
        </w:tc>
      </w:tr>
      <w:tr>
        <w:tblPrEx/>
        <w:trPr>
          <w:trHeight w:val="20"/>
        </w:trPr>
        <w:tc>
          <w:tcPr>
            <w:shd w:val="clear" w:color="auto" w:fill="auto"/>
            <w:tcBorders>
              <w:top w:val="none" w:color="000000" w:sz="4" w:space="0"/>
              <w:left w:val="single" w:color="auto" w:sz="4" w:space="0"/>
              <w:bottom w:val="single" w:color="auto" w:sz="4" w:space="0"/>
              <w:right w:val="single" w:color="auto" w:sz="4" w:space="0"/>
            </w:tcBorders>
            <w:tcW w:w="909" w:type="pct"/>
            <w:vAlign w:val="center"/>
            <w:textDirection w:val="lrTb"/>
            <w:noWrap/>
          </w:tcPr>
          <w:p>
            <w:pPr>
              <w:widowControl/>
              <w:rPr>
                <w:color w:val="000000"/>
                <w:sz w:val="20"/>
                <w:szCs w:val="20"/>
                <w:lang w:eastAsia="ru-RU"/>
              </w:rPr>
            </w:pPr>
            <w:r>
              <w:rPr>
                <w:color w:val="000000"/>
                <w:sz w:val="20"/>
                <w:szCs w:val="20"/>
                <w:lang w:eastAsia="ru-RU"/>
              </w:rPr>
              <w:t xml:space="preserve">ООО «ЖКХ Инвест»</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767" w:type="pct"/>
            <w:vAlign w:val="center"/>
            <w:textDirection w:val="lrTb"/>
            <w:noWrap/>
          </w:tcPr>
          <w:p>
            <w:pPr>
              <w:jc w:val="center"/>
              <w:widowControl/>
              <w:rPr>
                <w:color w:val="000000"/>
                <w:sz w:val="20"/>
                <w:szCs w:val="20"/>
                <w:lang w:eastAsia="ru-RU"/>
              </w:rPr>
            </w:pPr>
            <w:r>
              <w:rPr>
                <w:color w:val="000000"/>
                <w:sz w:val="20"/>
                <w:szCs w:val="20"/>
                <w:lang w:eastAsia="ru-RU"/>
              </w:rPr>
              <w:t xml:space="preserve">ООО «ЖКХ Юго-Запад»</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981" w:type="pct"/>
            <w:vAlign w:val="center"/>
            <w:textDirection w:val="lrTb"/>
            <w:noWrap/>
          </w:tcPr>
          <w:p>
            <w:pPr>
              <w:jc w:val="center"/>
              <w:widowControl/>
              <w:rPr>
                <w:color w:val="000000"/>
                <w:sz w:val="20"/>
                <w:szCs w:val="20"/>
                <w:lang w:eastAsia="ru-RU"/>
              </w:rPr>
            </w:pPr>
            <w:r>
              <w:rPr>
                <w:color w:val="000000"/>
                <w:sz w:val="20"/>
                <w:szCs w:val="20"/>
                <w:lang w:eastAsia="ru-RU"/>
              </w:rPr>
              <w:t xml:space="preserve">Курганская область, Юргамышский район, р.п.Юргамыш, </w:t>
            </w:r>
            <w:r>
              <w:rPr>
                <w:color w:val="000000"/>
                <w:sz w:val="20"/>
                <w:szCs w:val="20"/>
                <w:lang w:eastAsia="ru-RU"/>
              </w:rPr>
              <w:t xml:space="preserve">ул. Ленина, 16А</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56" w:type="pct"/>
            <w:vAlign w:val="center"/>
            <w:textDirection w:val="lrTb"/>
            <w:noWrap/>
          </w:tcPr>
          <w:p>
            <w:pPr>
              <w:jc w:val="center"/>
              <w:widowControl/>
              <w:rPr>
                <w:color w:val="000000"/>
                <w:sz w:val="20"/>
                <w:szCs w:val="20"/>
                <w:lang w:eastAsia="ru-RU"/>
              </w:rPr>
            </w:pPr>
            <w:r>
              <w:rPr>
                <w:color w:val="000000"/>
                <w:sz w:val="20"/>
                <w:szCs w:val="20"/>
                <w:lang w:eastAsia="ru-RU"/>
              </w:rPr>
              <w:t xml:space="preserve">газовая</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73" w:type="pct"/>
            <w:vAlign w:val="center"/>
            <w:textDirection w:val="lrTb"/>
            <w:noWrap/>
          </w:tcPr>
          <w:p>
            <w:pPr>
              <w:jc w:val="center"/>
              <w:widowControl/>
              <w:rPr>
                <w:color w:val="000000"/>
                <w:sz w:val="20"/>
                <w:szCs w:val="20"/>
                <w:lang w:eastAsia="ru-RU"/>
              </w:rPr>
            </w:pPr>
            <w:r>
              <w:rPr>
                <w:color w:val="000000"/>
                <w:sz w:val="20"/>
                <w:szCs w:val="20"/>
                <w:lang w:eastAsia="ru-RU"/>
              </w:rPr>
              <w:t xml:space="preserve">газ</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512" w:type="pct"/>
            <w:vAlign w:val="center"/>
            <w:textDirection w:val="lrTb"/>
            <w:noWrap/>
          </w:tcPr>
          <w:p>
            <w:pPr>
              <w:jc w:val="center"/>
              <w:widowControl/>
              <w:rPr>
                <w:color w:val="000000"/>
                <w:sz w:val="20"/>
                <w:szCs w:val="20"/>
                <w:lang w:eastAsia="ru-RU"/>
              </w:rPr>
            </w:pPr>
            <w:r>
              <w:rPr>
                <w:color w:val="000000"/>
                <w:sz w:val="20"/>
                <w:szCs w:val="20"/>
                <w:lang w:eastAsia="ru-RU"/>
              </w:rPr>
              <w:t xml:space="preserve">о</w:t>
            </w:r>
            <w:r>
              <w:rPr>
                <w:color w:val="000000"/>
                <w:sz w:val="20"/>
                <w:szCs w:val="20"/>
                <w:lang w:eastAsia="ru-RU"/>
              </w:rPr>
              <w:t xml:space="preserve">тдельностоящая</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58" w:type="pct"/>
            <w:vAlign w:val="center"/>
            <w:textDirection w:val="lrTb"/>
            <w:noWrap/>
          </w:tcPr>
          <w:p>
            <w:pPr>
              <w:jc w:val="center"/>
              <w:widowControl/>
              <w:rPr>
                <w:color w:val="000000"/>
                <w:sz w:val="20"/>
                <w:szCs w:val="20"/>
                <w:lang w:eastAsia="ru-RU"/>
              </w:rPr>
            </w:pPr>
            <w:r>
              <w:rPr>
                <w:color w:val="000000"/>
                <w:sz w:val="20"/>
                <w:szCs w:val="20"/>
                <w:lang w:eastAsia="ru-RU"/>
              </w:rPr>
              <w:t xml:space="preserve">автоматическая</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44" w:type="pct"/>
            <w:vAlign w:val="center"/>
            <w:textDirection w:val="lrTb"/>
            <w:noWrap/>
          </w:tcPr>
          <w:p>
            <w:pPr>
              <w:jc w:val="center"/>
              <w:widowControl/>
              <w:rPr>
                <w:color w:val="000000"/>
                <w:sz w:val="20"/>
                <w:szCs w:val="20"/>
                <w:lang w:eastAsia="ru-RU"/>
              </w:rPr>
            </w:pPr>
            <w:r>
              <w:rPr>
                <w:color w:val="000000"/>
                <w:sz w:val="20"/>
                <w:szCs w:val="20"/>
                <w:lang w:eastAsia="ru-RU"/>
              </w:rPr>
              <w:t xml:space="preserve">0,16</w:t>
            </w:r>
            <w:r>
              <w:rPr>
                <w:color w:val="000000"/>
                <w:sz w:val="20"/>
                <w:szCs w:val="20"/>
                <w:lang w:eastAsia="ru-RU"/>
              </w:rPr>
            </w:r>
            <w:r>
              <w:rPr>
                <w:color w:val="000000"/>
                <w:sz w:val="20"/>
                <w:szCs w:val="20"/>
                <w:lang w:eastAsia="ru-RU"/>
              </w:rPr>
            </w:r>
          </w:p>
        </w:tc>
      </w:tr>
      <w:tr>
        <w:tblPrEx/>
        <w:trPr>
          <w:trHeight w:val="20"/>
        </w:trPr>
        <w:tc>
          <w:tcPr>
            <w:shd w:val="clear" w:color="auto" w:fill="auto"/>
            <w:tcBorders>
              <w:top w:val="none" w:color="000000" w:sz="4" w:space="0"/>
              <w:left w:val="single" w:color="auto" w:sz="4" w:space="0"/>
              <w:bottom w:val="single" w:color="auto" w:sz="4" w:space="0"/>
              <w:right w:val="single" w:color="auto" w:sz="4" w:space="0"/>
            </w:tcBorders>
            <w:tcW w:w="909" w:type="pct"/>
            <w:vAlign w:val="center"/>
            <w:textDirection w:val="lrTb"/>
            <w:noWrap/>
          </w:tcPr>
          <w:p>
            <w:pPr>
              <w:widowControl/>
              <w:rPr>
                <w:color w:val="000000"/>
                <w:sz w:val="20"/>
                <w:szCs w:val="20"/>
                <w:lang w:eastAsia="ru-RU"/>
              </w:rPr>
            </w:pPr>
            <w:r>
              <w:rPr>
                <w:color w:val="000000"/>
                <w:sz w:val="20"/>
                <w:szCs w:val="20"/>
                <w:lang w:eastAsia="ru-RU"/>
              </w:rPr>
              <w:t xml:space="preserve">ООО «ЖКХ Инвест»</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767" w:type="pct"/>
            <w:vAlign w:val="center"/>
            <w:textDirection w:val="lrTb"/>
            <w:noWrap/>
          </w:tcPr>
          <w:p>
            <w:pPr>
              <w:jc w:val="center"/>
              <w:widowControl/>
              <w:rPr>
                <w:color w:val="000000"/>
                <w:sz w:val="20"/>
                <w:szCs w:val="20"/>
                <w:lang w:eastAsia="ru-RU"/>
              </w:rPr>
            </w:pPr>
            <w:r>
              <w:rPr>
                <w:color w:val="000000"/>
                <w:sz w:val="20"/>
                <w:szCs w:val="20"/>
                <w:lang w:eastAsia="ru-RU"/>
              </w:rPr>
              <w:t xml:space="preserve">ООО «ЖКХ Юго-Запад»</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981" w:type="pct"/>
            <w:vAlign w:val="center"/>
            <w:textDirection w:val="lrTb"/>
            <w:noWrap/>
          </w:tcPr>
          <w:p>
            <w:pPr>
              <w:jc w:val="center"/>
              <w:widowControl/>
              <w:rPr>
                <w:color w:val="000000"/>
                <w:sz w:val="20"/>
                <w:szCs w:val="20"/>
                <w:lang w:eastAsia="ru-RU"/>
              </w:rPr>
            </w:pPr>
            <w:r>
              <w:rPr>
                <w:color w:val="000000"/>
                <w:sz w:val="20"/>
                <w:szCs w:val="20"/>
                <w:lang w:eastAsia="ru-RU"/>
              </w:rPr>
              <w:t xml:space="preserve">Курганская область, Юргамышский район, р.п.Юргамыш, </w:t>
            </w:r>
            <w:r>
              <w:rPr>
                <w:color w:val="000000"/>
                <w:sz w:val="20"/>
                <w:szCs w:val="20"/>
                <w:lang w:eastAsia="ru-RU"/>
              </w:rPr>
              <w:t xml:space="preserve">ул. Блюхера 2А</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56" w:type="pct"/>
            <w:vAlign w:val="center"/>
            <w:textDirection w:val="lrTb"/>
            <w:noWrap/>
          </w:tcPr>
          <w:p>
            <w:pPr>
              <w:jc w:val="center"/>
              <w:widowControl/>
              <w:rPr>
                <w:color w:val="000000"/>
                <w:sz w:val="20"/>
                <w:szCs w:val="20"/>
                <w:lang w:eastAsia="ru-RU"/>
              </w:rPr>
            </w:pPr>
            <w:r>
              <w:rPr>
                <w:color w:val="000000"/>
                <w:sz w:val="20"/>
                <w:szCs w:val="20"/>
                <w:lang w:eastAsia="ru-RU"/>
              </w:rPr>
              <w:t xml:space="preserve">газовая</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73" w:type="pct"/>
            <w:vAlign w:val="center"/>
            <w:textDirection w:val="lrTb"/>
            <w:noWrap/>
          </w:tcPr>
          <w:p>
            <w:pPr>
              <w:jc w:val="center"/>
              <w:widowControl/>
              <w:rPr>
                <w:color w:val="000000"/>
                <w:sz w:val="20"/>
                <w:szCs w:val="20"/>
                <w:lang w:eastAsia="ru-RU"/>
              </w:rPr>
            </w:pPr>
            <w:r>
              <w:rPr>
                <w:color w:val="000000"/>
                <w:sz w:val="20"/>
                <w:szCs w:val="20"/>
                <w:lang w:eastAsia="ru-RU"/>
              </w:rPr>
              <w:t xml:space="preserve">газ</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512" w:type="pct"/>
            <w:vAlign w:val="center"/>
            <w:textDirection w:val="lrTb"/>
            <w:noWrap/>
          </w:tcPr>
          <w:p>
            <w:pPr>
              <w:jc w:val="center"/>
              <w:widowControl/>
              <w:rPr>
                <w:color w:val="000000"/>
                <w:sz w:val="20"/>
                <w:szCs w:val="20"/>
                <w:lang w:eastAsia="ru-RU"/>
              </w:rPr>
            </w:pPr>
            <w:r>
              <w:rPr>
                <w:color w:val="000000"/>
                <w:sz w:val="20"/>
                <w:szCs w:val="20"/>
                <w:lang w:eastAsia="ru-RU"/>
              </w:rPr>
              <w:t xml:space="preserve">о</w:t>
            </w:r>
            <w:r>
              <w:rPr>
                <w:color w:val="000000"/>
                <w:sz w:val="20"/>
                <w:szCs w:val="20"/>
                <w:lang w:eastAsia="ru-RU"/>
              </w:rPr>
              <w:t xml:space="preserve">тдельностоящая</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58" w:type="pct"/>
            <w:vAlign w:val="center"/>
            <w:textDirection w:val="lrTb"/>
            <w:noWrap/>
          </w:tcPr>
          <w:p>
            <w:pPr>
              <w:jc w:val="center"/>
              <w:widowControl/>
              <w:rPr>
                <w:color w:val="000000"/>
                <w:sz w:val="20"/>
                <w:szCs w:val="20"/>
                <w:lang w:eastAsia="ru-RU"/>
              </w:rPr>
            </w:pPr>
            <w:r>
              <w:rPr>
                <w:color w:val="000000"/>
                <w:sz w:val="20"/>
                <w:szCs w:val="20"/>
                <w:lang w:eastAsia="ru-RU"/>
              </w:rPr>
              <w:t xml:space="preserve">автоматическая</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44" w:type="pct"/>
            <w:vAlign w:val="center"/>
            <w:textDirection w:val="lrTb"/>
            <w:noWrap/>
          </w:tcPr>
          <w:p>
            <w:pPr>
              <w:jc w:val="center"/>
              <w:widowControl/>
              <w:rPr>
                <w:color w:val="000000"/>
                <w:sz w:val="20"/>
                <w:szCs w:val="20"/>
                <w:lang w:eastAsia="ru-RU"/>
              </w:rPr>
            </w:pPr>
            <w:r>
              <w:rPr>
                <w:color w:val="000000"/>
                <w:sz w:val="20"/>
                <w:szCs w:val="20"/>
                <w:lang w:eastAsia="ru-RU"/>
              </w:rPr>
              <w:t xml:space="preserve">0,65</w:t>
            </w:r>
            <w:r>
              <w:rPr>
                <w:color w:val="000000"/>
                <w:sz w:val="20"/>
                <w:szCs w:val="20"/>
                <w:lang w:eastAsia="ru-RU"/>
              </w:rPr>
            </w:r>
            <w:r>
              <w:rPr>
                <w:color w:val="000000"/>
                <w:sz w:val="20"/>
                <w:szCs w:val="20"/>
                <w:lang w:eastAsia="ru-RU"/>
              </w:rPr>
            </w:r>
          </w:p>
        </w:tc>
      </w:tr>
      <w:tr>
        <w:tblPrEx/>
        <w:trPr>
          <w:trHeight w:val="20"/>
        </w:trPr>
        <w:tc>
          <w:tcPr>
            <w:shd w:val="clear" w:color="auto" w:fill="auto"/>
            <w:tcBorders>
              <w:top w:val="none" w:color="000000" w:sz="4" w:space="0"/>
              <w:left w:val="single" w:color="auto" w:sz="4" w:space="0"/>
              <w:bottom w:val="single" w:color="auto" w:sz="4" w:space="0"/>
              <w:right w:val="single" w:color="auto" w:sz="4" w:space="0"/>
            </w:tcBorders>
            <w:tcW w:w="909" w:type="pct"/>
            <w:vAlign w:val="center"/>
            <w:textDirection w:val="lrTb"/>
            <w:noWrap/>
          </w:tcPr>
          <w:p>
            <w:pPr>
              <w:widowControl/>
              <w:rPr>
                <w:color w:val="000000"/>
                <w:sz w:val="20"/>
                <w:szCs w:val="20"/>
                <w:lang w:eastAsia="ru-RU"/>
              </w:rPr>
            </w:pPr>
            <w:r>
              <w:rPr>
                <w:color w:val="000000"/>
                <w:sz w:val="20"/>
                <w:szCs w:val="20"/>
                <w:lang w:eastAsia="ru-RU"/>
              </w:rPr>
              <w:t xml:space="preserve">ООО «Курган Тепло» </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767" w:type="pct"/>
            <w:vAlign w:val="center"/>
            <w:textDirection w:val="lrTb"/>
            <w:noWrap/>
          </w:tcPr>
          <w:p>
            <w:pPr>
              <w:jc w:val="center"/>
              <w:widowControl/>
              <w:rPr>
                <w:color w:val="000000"/>
                <w:sz w:val="20"/>
                <w:szCs w:val="20"/>
                <w:lang w:eastAsia="ru-RU"/>
              </w:rPr>
            </w:pPr>
            <w:r>
              <w:rPr>
                <w:color w:val="000000"/>
                <w:sz w:val="20"/>
                <w:szCs w:val="20"/>
                <w:lang w:eastAsia="ru-RU"/>
              </w:rPr>
              <w:t xml:space="preserve">ООО «Курган Тепло»</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981" w:type="pct"/>
            <w:vAlign w:val="center"/>
            <w:textDirection w:val="lrTb"/>
            <w:noWrap w:val="false"/>
          </w:tcPr>
          <w:p>
            <w:pPr>
              <w:jc w:val="center"/>
              <w:widowControl/>
              <w:rPr>
                <w:color w:val="000000"/>
                <w:sz w:val="20"/>
                <w:szCs w:val="20"/>
                <w:lang w:eastAsia="ru-RU"/>
              </w:rPr>
            </w:pPr>
            <w:r>
              <w:rPr>
                <w:color w:val="000000"/>
                <w:sz w:val="20"/>
                <w:szCs w:val="20"/>
                <w:lang w:eastAsia="ru-RU"/>
              </w:rPr>
              <w:t xml:space="preserve">Курганская область, Юргамышский р-н, с.Кипель, ул.Советская, 81а</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56" w:type="pct"/>
            <w:vAlign w:val="center"/>
            <w:textDirection w:val="lrTb"/>
            <w:noWrap/>
          </w:tcPr>
          <w:p>
            <w:pPr>
              <w:jc w:val="center"/>
              <w:widowControl/>
              <w:rPr>
                <w:color w:val="000000"/>
                <w:sz w:val="20"/>
                <w:szCs w:val="20"/>
                <w:lang w:eastAsia="ru-RU"/>
              </w:rPr>
            </w:pPr>
            <w:r>
              <w:rPr>
                <w:color w:val="000000"/>
                <w:sz w:val="20"/>
                <w:szCs w:val="20"/>
                <w:lang w:eastAsia="ru-RU"/>
              </w:rPr>
              <w:t xml:space="preserve">твердотопливная</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73" w:type="pct"/>
            <w:vAlign w:val="center"/>
            <w:textDirection w:val="lrTb"/>
            <w:noWrap/>
          </w:tcPr>
          <w:p>
            <w:pPr>
              <w:jc w:val="center"/>
              <w:widowControl/>
              <w:rPr>
                <w:color w:val="000000"/>
                <w:sz w:val="20"/>
                <w:szCs w:val="20"/>
                <w:lang w:eastAsia="ru-RU"/>
              </w:rPr>
            </w:pPr>
            <w:r>
              <w:rPr>
                <w:color w:val="000000"/>
                <w:sz w:val="20"/>
                <w:szCs w:val="20"/>
                <w:lang w:eastAsia="ru-RU"/>
              </w:rPr>
              <w:t xml:space="preserve">пеллеты</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512" w:type="pct"/>
            <w:vAlign w:val="center"/>
            <w:textDirection w:val="lrTb"/>
            <w:noWrap/>
          </w:tcPr>
          <w:p>
            <w:pPr>
              <w:jc w:val="center"/>
              <w:widowControl/>
              <w:rPr>
                <w:color w:val="000000"/>
                <w:sz w:val="20"/>
                <w:szCs w:val="20"/>
                <w:lang w:eastAsia="ru-RU"/>
              </w:rPr>
            </w:pPr>
            <w:r>
              <w:rPr>
                <w:color w:val="000000"/>
                <w:sz w:val="20"/>
                <w:szCs w:val="20"/>
                <w:lang w:eastAsia="ru-RU"/>
              </w:rPr>
              <w:t xml:space="preserve">отдельностоящая</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58" w:type="pct"/>
            <w:vAlign w:val="center"/>
            <w:textDirection w:val="lrTb"/>
            <w:noWrap/>
          </w:tcPr>
          <w:p>
            <w:pPr>
              <w:jc w:val="center"/>
              <w:widowControl/>
              <w:rPr>
                <w:color w:val="000000"/>
                <w:sz w:val="20"/>
                <w:szCs w:val="20"/>
                <w:lang w:eastAsia="ru-RU"/>
              </w:rPr>
            </w:pPr>
            <w:r>
              <w:rPr>
                <w:color w:val="000000"/>
                <w:sz w:val="20"/>
                <w:szCs w:val="20"/>
                <w:lang w:eastAsia="ru-RU"/>
              </w:rPr>
              <w:t xml:space="preserve">ручная</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44" w:type="pct"/>
            <w:vAlign w:val="center"/>
            <w:textDirection w:val="lrTb"/>
            <w:noWrap w:val="false"/>
          </w:tcPr>
          <w:p>
            <w:pPr>
              <w:jc w:val="center"/>
              <w:rPr>
                <w:sz w:val="20"/>
                <w:szCs w:val="20"/>
              </w:rPr>
            </w:pPr>
            <w:r>
              <w:rPr>
                <w:sz w:val="20"/>
                <w:szCs w:val="20"/>
              </w:rPr>
              <w:t xml:space="preserve">0,1</w:t>
            </w:r>
            <w:r>
              <w:rPr>
                <w:sz w:val="20"/>
                <w:szCs w:val="20"/>
              </w:rPr>
              <w:t xml:space="preserve">71</w:t>
            </w:r>
            <w:r>
              <w:rPr>
                <w:sz w:val="20"/>
                <w:szCs w:val="20"/>
              </w:rPr>
            </w:r>
            <w:r>
              <w:rPr>
                <w:sz w:val="20"/>
                <w:szCs w:val="20"/>
              </w:rPr>
            </w:r>
          </w:p>
        </w:tc>
      </w:tr>
      <w:tr>
        <w:tblPrEx/>
        <w:trPr>
          <w:trHeight w:val="20"/>
        </w:trPr>
        <w:tc>
          <w:tcPr>
            <w:shd w:val="clear" w:color="auto" w:fill="auto"/>
            <w:tcBorders>
              <w:top w:val="none" w:color="000000" w:sz="4" w:space="0"/>
              <w:left w:val="single" w:color="auto" w:sz="4" w:space="0"/>
              <w:bottom w:val="single" w:color="auto" w:sz="4" w:space="0"/>
              <w:right w:val="single" w:color="auto" w:sz="4" w:space="0"/>
            </w:tcBorders>
            <w:tcW w:w="909" w:type="pct"/>
            <w:vAlign w:val="center"/>
            <w:textDirection w:val="lrTb"/>
            <w:noWrap/>
          </w:tcPr>
          <w:p>
            <w:pPr>
              <w:widowControl/>
              <w:rPr>
                <w:color w:val="000000"/>
                <w:sz w:val="20"/>
                <w:szCs w:val="20"/>
                <w:lang w:eastAsia="ru-RU"/>
              </w:rPr>
            </w:pPr>
            <w:r>
              <w:rPr>
                <w:color w:val="000000"/>
                <w:sz w:val="20"/>
                <w:szCs w:val="20"/>
                <w:lang w:eastAsia="ru-RU"/>
              </w:rPr>
              <w:t xml:space="preserve">ООО «Курган Тепло» </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767" w:type="pct"/>
            <w:vAlign w:val="center"/>
            <w:textDirection w:val="lrTb"/>
            <w:noWrap/>
          </w:tcPr>
          <w:p>
            <w:pPr>
              <w:jc w:val="center"/>
              <w:widowControl/>
              <w:rPr>
                <w:color w:val="000000"/>
                <w:sz w:val="20"/>
                <w:szCs w:val="20"/>
                <w:lang w:eastAsia="ru-RU"/>
              </w:rPr>
            </w:pPr>
            <w:r>
              <w:rPr>
                <w:color w:val="000000"/>
                <w:sz w:val="20"/>
                <w:szCs w:val="20"/>
                <w:lang w:eastAsia="ru-RU"/>
              </w:rPr>
              <w:t xml:space="preserve">ООО «Курган Тепло»</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981" w:type="pct"/>
            <w:vAlign w:val="center"/>
            <w:textDirection w:val="lrTb"/>
            <w:noWrap w:val="false"/>
          </w:tcPr>
          <w:p>
            <w:pPr>
              <w:jc w:val="center"/>
              <w:widowControl/>
              <w:rPr>
                <w:color w:val="000000"/>
                <w:sz w:val="20"/>
                <w:szCs w:val="20"/>
                <w:lang w:eastAsia="ru-RU"/>
              </w:rPr>
            </w:pPr>
            <w:r>
              <w:rPr>
                <w:color w:val="000000"/>
                <w:sz w:val="20"/>
                <w:szCs w:val="20"/>
                <w:lang w:eastAsia="ru-RU"/>
              </w:rPr>
              <w:t xml:space="preserve">Курганская область, Юргамышский р-н, с.Горохово, ул.Школьная, 37Б</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56" w:type="pct"/>
            <w:vAlign w:val="center"/>
            <w:textDirection w:val="lrTb"/>
            <w:noWrap/>
          </w:tcPr>
          <w:p>
            <w:pPr>
              <w:jc w:val="center"/>
              <w:widowControl/>
              <w:rPr>
                <w:color w:val="000000"/>
                <w:sz w:val="20"/>
                <w:szCs w:val="20"/>
                <w:lang w:eastAsia="ru-RU"/>
              </w:rPr>
            </w:pPr>
            <w:r>
              <w:rPr>
                <w:color w:val="000000"/>
                <w:sz w:val="20"/>
                <w:szCs w:val="20"/>
                <w:lang w:eastAsia="ru-RU"/>
              </w:rPr>
              <w:t xml:space="preserve">твердотопливная</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73" w:type="pct"/>
            <w:vAlign w:val="center"/>
            <w:textDirection w:val="lrTb"/>
            <w:noWrap/>
          </w:tcPr>
          <w:p>
            <w:pPr>
              <w:jc w:val="center"/>
              <w:widowControl/>
              <w:rPr>
                <w:color w:val="000000"/>
                <w:sz w:val="20"/>
                <w:szCs w:val="20"/>
                <w:lang w:eastAsia="ru-RU"/>
              </w:rPr>
            </w:pPr>
            <w:r>
              <w:rPr>
                <w:color w:val="000000"/>
                <w:sz w:val="20"/>
                <w:szCs w:val="20"/>
                <w:lang w:eastAsia="ru-RU"/>
              </w:rPr>
              <w:t xml:space="preserve">пеллеты</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512" w:type="pct"/>
            <w:vAlign w:val="center"/>
            <w:textDirection w:val="lrTb"/>
            <w:noWrap/>
          </w:tcPr>
          <w:p>
            <w:pPr>
              <w:jc w:val="center"/>
              <w:widowControl/>
              <w:rPr>
                <w:color w:val="000000"/>
                <w:sz w:val="20"/>
                <w:szCs w:val="20"/>
                <w:lang w:eastAsia="ru-RU"/>
              </w:rPr>
            </w:pPr>
            <w:r>
              <w:rPr>
                <w:color w:val="000000"/>
                <w:sz w:val="20"/>
                <w:szCs w:val="20"/>
                <w:lang w:eastAsia="ru-RU"/>
              </w:rPr>
              <w:t xml:space="preserve">отдельностоящая</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58" w:type="pct"/>
            <w:vAlign w:val="center"/>
            <w:textDirection w:val="lrTb"/>
            <w:noWrap/>
          </w:tcPr>
          <w:p>
            <w:pPr>
              <w:jc w:val="center"/>
              <w:widowControl/>
              <w:rPr>
                <w:color w:val="000000"/>
                <w:sz w:val="20"/>
                <w:szCs w:val="20"/>
                <w:lang w:eastAsia="ru-RU"/>
              </w:rPr>
            </w:pPr>
            <w:r>
              <w:rPr>
                <w:color w:val="000000"/>
                <w:sz w:val="20"/>
                <w:szCs w:val="20"/>
                <w:lang w:eastAsia="ru-RU"/>
              </w:rPr>
              <w:t xml:space="preserve">ручная</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44" w:type="pct"/>
            <w:vAlign w:val="center"/>
            <w:textDirection w:val="lrTb"/>
            <w:noWrap w:val="false"/>
          </w:tcPr>
          <w:p>
            <w:pPr>
              <w:jc w:val="center"/>
              <w:rPr>
                <w:sz w:val="20"/>
                <w:szCs w:val="20"/>
              </w:rPr>
            </w:pPr>
            <w:r>
              <w:rPr>
                <w:sz w:val="20"/>
                <w:szCs w:val="20"/>
              </w:rPr>
              <w:t xml:space="preserve">0,</w:t>
            </w:r>
            <w:r>
              <w:rPr>
                <w:sz w:val="20"/>
                <w:szCs w:val="20"/>
              </w:rPr>
              <w:t xml:space="preserve">554</w:t>
            </w:r>
            <w:r>
              <w:rPr>
                <w:sz w:val="20"/>
                <w:szCs w:val="20"/>
              </w:rPr>
            </w:r>
            <w:r>
              <w:rPr>
                <w:sz w:val="20"/>
                <w:szCs w:val="20"/>
              </w:rPr>
            </w:r>
          </w:p>
        </w:tc>
      </w:tr>
      <w:tr>
        <w:tblPrEx/>
        <w:trPr>
          <w:trHeight w:val="20"/>
        </w:trPr>
        <w:tc>
          <w:tcPr>
            <w:shd w:val="clear" w:color="auto" w:fill="auto"/>
            <w:tcBorders>
              <w:top w:val="none" w:color="000000" w:sz="4" w:space="0"/>
              <w:left w:val="single" w:color="auto" w:sz="4" w:space="0"/>
              <w:bottom w:val="single" w:color="auto" w:sz="4" w:space="0"/>
              <w:right w:val="single" w:color="auto" w:sz="4" w:space="0"/>
            </w:tcBorders>
            <w:tcW w:w="909" w:type="pct"/>
            <w:vAlign w:val="center"/>
            <w:textDirection w:val="lrTb"/>
            <w:noWrap/>
          </w:tcPr>
          <w:p>
            <w:pPr>
              <w:widowControl/>
              <w:rPr>
                <w:color w:val="000000"/>
                <w:sz w:val="20"/>
                <w:szCs w:val="20"/>
                <w:lang w:eastAsia="ru-RU"/>
              </w:rPr>
            </w:pPr>
            <w:r>
              <w:rPr>
                <w:color w:val="000000"/>
                <w:sz w:val="20"/>
                <w:szCs w:val="20"/>
                <w:lang w:eastAsia="ru-RU"/>
              </w:rPr>
              <w:t xml:space="preserve">ООО «Курган Тепло» </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767" w:type="pct"/>
            <w:vAlign w:val="center"/>
            <w:textDirection w:val="lrTb"/>
            <w:noWrap/>
          </w:tcPr>
          <w:p>
            <w:pPr>
              <w:jc w:val="center"/>
              <w:widowControl/>
              <w:rPr>
                <w:color w:val="000000"/>
                <w:sz w:val="20"/>
                <w:szCs w:val="20"/>
                <w:lang w:eastAsia="ru-RU"/>
              </w:rPr>
            </w:pPr>
            <w:r>
              <w:rPr>
                <w:color w:val="000000"/>
                <w:sz w:val="20"/>
                <w:szCs w:val="20"/>
                <w:lang w:eastAsia="ru-RU"/>
              </w:rPr>
              <w:t xml:space="preserve">ООО «Курган Тепло»</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981" w:type="pct"/>
            <w:vAlign w:val="center"/>
            <w:textDirection w:val="lrTb"/>
            <w:noWrap w:val="false"/>
          </w:tcPr>
          <w:p>
            <w:pPr>
              <w:jc w:val="center"/>
              <w:widowControl/>
              <w:rPr>
                <w:color w:val="000000"/>
                <w:sz w:val="20"/>
                <w:szCs w:val="20"/>
                <w:lang w:eastAsia="ru-RU"/>
              </w:rPr>
            </w:pPr>
            <w:r>
              <w:rPr>
                <w:color w:val="000000"/>
                <w:sz w:val="20"/>
                <w:szCs w:val="20"/>
                <w:lang w:eastAsia="ru-RU"/>
              </w:rPr>
              <w:t xml:space="preserve">Курганская область, Юргамышский р-н, с.Гагарье, ул.Новая 5Б</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56" w:type="pct"/>
            <w:vAlign w:val="center"/>
            <w:textDirection w:val="lrTb"/>
            <w:noWrap/>
          </w:tcPr>
          <w:p>
            <w:pPr>
              <w:jc w:val="center"/>
              <w:widowControl/>
              <w:rPr>
                <w:color w:val="000000"/>
                <w:sz w:val="20"/>
                <w:szCs w:val="20"/>
                <w:lang w:eastAsia="ru-RU"/>
              </w:rPr>
            </w:pPr>
            <w:r>
              <w:rPr>
                <w:color w:val="000000"/>
                <w:sz w:val="20"/>
                <w:szCs w:val="20"/>
                <w:lang w:eastAsia="ru-RU"/>
              </w:rPr>
              <w:t xml:space="preserve">твердотопливная</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73" w:type="pct"/>
            <w:vAlign w:val="center"/>
            <w:textDirection w:val="lrTb"/>
            <w:noWrap/>
          </w:tcPr>
          <w:p>
            <w:pPr>
              <w:jc w:val="center"/>
              <w:widowControl/>
              <w:rPr>
                <w:color w:val="000000"/>
                <w:sz w:val="20"/>
                <w:szCs w:val="20"/>
                <w:lang w:eastAsia="ru-RU"/>
              </w:rPr>
            </w:pPr>
            <w:r>
              <w:rPr>
                <w:color w:val="000000"/>
                <w:sz w:val="20"/>
                <w:szCs w:val="20"/>
                <w:lang w:eastAsia="ru-RU"/>
              </w:rPr>
              <w:t xml:space="preserve">пеллеты</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512" w:type="pct"/>
            <w:vAlign w:val="center"/>
            <w:textDirection w:val="lrTb"/>
            <w:noWrap/>
          </w:tcPr>
          <w:p>
            <w:pPr>
              <w:jc w:val="center"/>
              <w:widowControl/>
              <w:rPr>
                <w:color w:val="000000"/>
                <w:sz w:val="20"/>
                <w:szCs w:val="20"/>
                <w:lang w:eastAsia="ru-RU"/>
              </w:rPr>
            </w:pPr>
            <w:r>
              <w:rPr>
                <w:color w:val="000000"/>
                <w:sz w:val="20"/>
                <w:szCs w:val="20"/>
                <w:lang w:eastAsia="ru-RU"/>
              </w:rPr>
              <w:t xml:space="preserve">отдельностоящая</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58" w:type="pct"/>
            <w:vAlign w:val="center"/>
            <w:textDirection w:val="lrTb"/>
            <w:noWrap/>
          </w:tcPr>
          <w:p>
            <w:pPr>
              <w:jc w:val="center"/>
              <w:widowControl/>
              <w:rPr>
                <w:color w:val="000000"/>
                <w:sz w:val="20"/>
                <w:szCs w:val="20"/>
                <w:lang w:eastAsia="ru-RU"/>
              </w:rPr>
            </w:pPr>
            <w:r>
              <w:rPr>
                <w:color w:val="000000"/>
                <w:sz w:val="20"/>
                <w:szCs w:val="20"/>
                <w:lang w:eastAsia="ru-RU"/>
              </w:rPr>
              <w:t xml:space="preserve">ручная</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44" w:type="pct"/>
            <w:vAlign w:val="center"/>
            <w:textDirection w:val="lrTb"/>
            <w:noWrap w:val="false"/>
          </w:tcPr>
          <w:p>
            <w:pPr>
              <w:jc w:val="center"/>
              <w:rPr>
                <w:sz w:val="20"/>
                <w:szCs w:val="20"/>
              </w:rPr>
            </w:pPr>
            <w:r>
              <w:rPr>
                <w:sz w:val="20"/>
                <w:szCs w:val="20"/>
              </w:rPr>
              <w:t xml:space="preserve">0,2</w:t>
            </w:r>
            <w:r>
              <w:rPr>
                <w:sz w:val="20"/>
                <w:szCs w:val="20"/>
              </w:rPr>
              <w:t xml:space="preserve">57</w:t>
            </w:r>
            <w:r>
              <w:rPr>
                <w:sz w:val="20"/>
                <w:szCs w:val="20"/>
              </w:rPr>
            </w:r>
            <w:r>
              <w:rPr>
                <w:sz w:val="20"/>
                <w:szCs w:val="20"/>
              </w:rPr>
            </w:r>
          </w:p>
        </w:tc>
      </w:tr>
      <w:tr>
        <w:tblPrEx/>
        <w:trPr>
          <w:trHeight w:val="20"/>
        </w:trPr>
        <w:tc>
          <w:tcPr>
            <w:shd w:val="clear" w:color="auto" w:fill="auto"/>
            <w:tcBorders>
              <w:top w:val="none" w:color="000000" w:sz="4" w:space="0"/>
              <w:left w:val="single" w:color="auto" w:sz="4" w:space="0"/>
              <w:bottom w:val="single" w:color="auto" w:sz="4" w:space="0"/>
              <w:right w:val="single" w:color="auto" w:sz="4" w:space="0"/>
            </w:tcBorders>
            <w:tcW w:w="909" w:type="pct"/>
            <w:vAlign w:val="center"/>
            <w:textDirection w:val="lrTb"/>
            <w:noWrap/>
          </w:tcPr>
          <w:p>
            <w:pPr>
              <w:widowControl/>
              <w:rPr>
                <w:color w:val="000000"/>
                <w:sz w:val="20"/>
                <w:szCs w:val="20"/>
                <w:lang w:eastAsia="ru-RU"/>
              </w:rPr>
            </w:pPr>
            <w:r>
              <w:rPr>
                <w:color w:val="000000"/>
                <w:sz w:val="20"/>
                <w:szCs w:val="20"/>
                <w:lang w:eastAsia="ru-RU"/>
              </w:rPr>
              <w:t xml:space="preserve">ООО «Курган Тепло» </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767" w:type="pct"/>
            <w:vAlign w:val="center"/>
            <w:textDirection w:val="lrTb"/>
            <w:noWrap/>
          </w:tcPr>
          <w:p>
            <w:pPr>
              <w:jc w:val="center"/>
              <w:widowControl/>
              <w:rPr>
                <w:color w:val="000000"/>
                <w:sz w:val="20"/>
                <w:szCs w:val="20"/>
                <w:lang w:eastAsia="ru-RU"/>
              </w:rPr>
            </w:pPr>
            <w:r>
              <w:rPr>
                <w:color w:val="000000"/>
                <w:sz w:val="20"/>
                <w:szCs w:val="20"/>
                <w:lang w:eastAsia="ru-RU"/>
              </w:rPr>
              <w:t xml:space="preserve">ООО «Курган Тепло»</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981" w:type="pct"/>
            <w:vAlign w:val="center"/>
            <w:textDirection w:val="lrTb"/>
            <w:noWrap w:val="false"/>
          </w:tcPr>
          <w:p>
            <w:pPr>
              <w:jc w:val="center"/>
              <w:widowControl/>
              <w:rPr>
                <w:color w:val="000000"/>
                <w:sz w:val="20"/>
                <w:szCs w:val="20"/>
                <w:lang w:eastAsia="ru-RU"/>
              </w:rPr>
            </w:pPr>
            <w:r>
              <w:rPr>
                <w:color w:val="000000"/>
                <w:sz w:val="20"/>
                <w:szCs w:val="20"/>
                <w:lang w:eastAsia="ru-RU"/>
              </w:rPr>
              <w:t xml:space="preserve">Курганская область, Юргамышский р-н, с.Скоблино, ул.Школьная, 41Б</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56" w:type="pct"/>
            <w:vAlign w:val="center"/>
            <w:textDirection w:val="lrTb"/>
            <w:noWrap/>
          </w:tcPr>
          <w:p>
            <w:pPr>
              <w:jc w:val="center"/>
              <w:widowControl/>
              <w:rPr>
                <w:color w:val="000000"/>
                <w:sz w:val="20"/>
                <w:szCs w:val="20"/>
                <w:lang w:eastAsia="ru-RU"/>
              </w:rPr>
            </w:pPr>
            <w:r>
              <w:rPr>
                <w:color w:val="000000"/>
                <w:sz w:val="20"/>
                <w:szCs w:val="20"/>
                <w:lang w:eastAsia="ru-RU"/>
              </w:rPr>
              <w:t xml:space="preserve">твердотопливная</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73" w:type="pct"/>
            <w:vAlign w:val="center"/>
            <w:textDirection w:val="lrTb"/>
            <w:noWrap/>
          </w:tcPr>
          <w:p>
            <w:pPr>
              <w:jc w:val="center"/>
              <w:widowControl/>
              <w:rPr>
                <w:color w:val="000000"/>
                <w:sz w:val="20"/>
                <w:szCs w:val="20"/>
                <w:lang w:eastAsia="ru-RU"/>
              </w:rPr>
            </w:pPr>
            <w:r>
              <w:rPr>
                <w:color w:val="000000"/>
                <w:sz w:val="20"/>
                <w:szCs w:val="20"/>
                <w:lang w:eastAsia="ru-RU"/>
              </w:rPr>
              <w:t xml:space="preserve">пеллеты</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512" w:type="pct"/>
            <w:vAlign w:val="center"/>
            <w:textDirection w:val="lrTb"/>
            <w:noWrap/>
          </w:tcPr>
          <w:p>
            <w:pPr>
              <w:jc w:val="center"/>
              <w:widowControl/>
              <w:rPr>
                <w:color w:val="000000"/>
                <w:sz w:val="20"/>
                <w:szCs w:val="20"/>
                <w:lang w:eastAsia="ru-RU"/>
              </w:rPr>
            </w:pPr>
            <w:r>
              <w:rPr>
                <w:color w:val="000000"/>
                <w:sz w:val="20"/>
                <w:szCs w:val="20"/>
                <w:lang w:eastAsia="ru-RU"/>
              </w:rPr>
              <w:t xml:space="preserve">отдельностоящая</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58" w:type="pct"/>
            <w:vAlign w:val="center"/>
            <w:textDirection w:val="lrTb"/>
            <w:noWrap/>
          </w:tcPr>
          <w:p>
            <w:pPr>
              <w:jc w:val="center"/>
              <w:widowControl/>
              <w:rPr>
                <w:color w:val="000000"/>
                <w:sz w:val="20"/>
                <w:szCs w:val="20"/>
                <w:lang w:eastAsia="ru-RU"/>
              </w:rPr>
            </w:pPr>
            <w:r>
              <w:rPr>
                <w:color w:val="000000"/>
                <w:sz w:val="20"/>
                <w:szCs w:val="20"/>
                <w:lang w:eastAsia="ru-RU"/>
              </w:rPr>
              <w:t xml:space="preserve">ручная</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44" w:type="pct"/>
            <w:vAlign w:val="center"/>
            <w:textDirection w:val="lrTb"/>
            <w:noWrap w:val="false"/>
          </w:tcPr>
          <w:p>
            <w:pPr>
              <w:jc w:val="center"/>
              <w:rPr>
                <w:sz w:val="20"/>
                <w:szCs w:val="20"/>
              </w:rPr>
            </w:pPr>
            <w:r>
              <w:rPr>
                <w:sz w:val="20"/>
                <w:szCs w:val="20"/>
              </w:rPr>
              <w:t xml:space="preserve">0,2</w:t>
            </w:r>
            <w:r>
              <w:rPr>
                <w:sz w:val="20"/>
                <w:szCs w:val="20"/>
              </w:rPr>
              <w:t xml:space="preserve">57</w:t>
            </w:r>
            <w:r>
              <w:rPr>
                <w:sz w:val="20"/>
                <w:szCs w:val="20"/>
              </w:rPr>
            </w:r>
            <w:r>
              <w:rPr>
                <w:sz w:val="20"/>
                <w:szCs w:val="20"/>
              </w:rPr>
            </w:r>
          </w:p>
        </w:tc>
      </w:tr>
      <w:tr>
        <w:tblPrEx/>
        <w:trPr>
          <w:trHeight w:val="20"/>
        </w:trPr>
        <w:tc>
          <w:tcPr>
            <w:shd w:val="clear" w:color="auto" w:fill="auto"/>
            <w:tcBorders>
              <w:top w:val="none" w:color="000000" w:sz="4" w:space="0"/>
              <w:left w:val="single" w:color="auto" w:sz="4" w:space="0"/>
              <w:bottom w:val="single" w:color="auto" w:sz="4" w:space="0"/>
              <w:right w:val="single" w:color="auto" w:sz="4" w:space="0"/>
            </w:tcBorders>
            <w:tcW w:w="909" w:type="pct"/>
            <w:vAlign w:val="center"/>
            <w:textDirection w:val="lrTb"/>
            <w:noWrap/>
          </w:tcPr>
          <w:p>
            <w:pPr>
              <w:widowControl/>
              <w:rPr>
                <w:color w:val="000000"/>
                <w:sz w:val="20"/>
                <w:szCs w:val="20"/>
                <w:lang w:eastAsia="ru-RU"/>
              </w:rPr>
            </w:pPr>
            <w:r>
              <w:rPr>
                <w:color w:val="000000"/>
                <w:sz w:val="20"/>
                <w:szCs w:val="20"/>
                <w:lang w:eastAsia="ru-RU"/>
              </w:rPr>
              <w:t xml:space="preserve">ООО «Курган Тепло» </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767" w:type="pct"/>
            <w:vAlign w:val="center"/>
            <w:textDirection w:val="lrTb"/>
            <w:noWrap/>
          </w:tcPr>
          <w:p>
            <w:pPr>
              <w:jc w:val="center"/>
              <w:widowControl/>
              <w:rPr>
                <w:color w:val="000000"/>
                <w:sz w:val="20"/>
                <w:szCs w:val="20"/>
                <w:lang w:eastAsia="ru-RU"/>
              </w:rPr>
            </w:pPr>
            <w:r>
              <w:rPr>
                <w:color w:val="000000"/>
                <w:sz w:val="20"/>
                <w:szCs w:val="20"/>
                <w:lang w:eastAsia="ru-RU"/>
              </w:rPr>
              <w:t xml:space="preserve">ООО «Курган Тепло»</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981" w:type="pct"/>
            <w:vAlign w:val="center"/>
            <w:textDirection w:val="lrTb"/>
            <w:noWrap w:val="false"/>
          </w:tcPr>
          <w:p>
            <w:pPr>
              <w:jc w:val="center"/>
              <w:widowControl/>
              <w:rPr>
                <w:color w:val="000000"/>
                <w:sz w:val="20"/>
                <w:szCs w:val="20"/>
                <w:lang w:eastAsia="ru-RU"/>
              </w:rPr>
            </w:pPr>
            <w:r>
              <w:rPr>
                <w:color w:val="000000"/>
                <w:sz w:val="20"/>
                <w:szCs w:val="20"/>
                <w:lang w:eastAsia="ru-RU"/>
              </w:rPr>
              <w:t xml:space="preserve">Курганская область, Юргамышский р-н, с.Красный Уралец, ул.Ленина, 6а</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56" w:type="pct"/>
            <w:vAlign w:val="center"/>
            <w:textDirection w:val="lrTb"/>
            <w:noWrap/>
          </w:tcPr>
          <w:p>
            <w:pPr>
              <w:jc w:val="center"/>
              <w:widowControl/>
              <w:rPr>
                <w:color w:val="000000"/>
                <w:sz w:val="20"/>
                <w:szCs w:val="20"/>
                <w:lang w:eastAsia="ru-RU"/>
              </w:rPr>
            </w:pPr>
            <w:r>
              <w:rPr>
                <w:color w:val="000000"/>
                <w:sz w:val="20"/>
                <w:szCs w:val="20"/>
                <w:lang w:eastAsia="ru-RU"/>
              </w:rPr>
              <w:t xml:space="preserve">твердотопливная</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73" w:type="pct"/>
            <w:vAlign w:val="center"/>
            <w:textDirection w:val="lrTb"/>
            <w:noWrap/>
          </w:tcPr>
          <w:p>
            <w:pPr>
              <w:jc w:val="center"/>
              <w:widowControl/>
              <w:rPr>
                <w:color w:val="000000"/>
                <w:sz w:val="20"/>
                <w:szCs w:val="20"/>
                <w:lang w:eastAsia="ru-RU"/>
              </w:rPr>
            </w:pPr>
            <w:r>
              <w:rPr>
                <w:color w:val="000000"/>
                <w:sz w:val="20"/>
                <w:szCs w:val="20"/>
                <w:lang w:eastAsia="ru-RU"/>
              </w:rPr>
              <w:t xml:space="preserve">пеллеты</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512" w:type="pct"/>
            <w:vAlign w:val="center"/>
            <w:textDirection w:val="lrTb"/>
            <w:noWrap/>
          </w:tcPr>
          <w:p>
            <w:pPr>
              <w:jc w:val="center"/>
              <w:widowControl/>
              <w:rPr>
                <w:color w:val="000000"/>
                <w:sz w:val="20"/>
                <w:szCs w:val="20"/>
                <w:lang w:eastAsia="ru-RU"/>
              </w:rPr>
            </w:pPr>
            <w:r>
              <w:rPr>
                <w:color w:val="000000"/>
                <w:sz w:val="20"/>
                <w:szCs w:val="20"/>
                <w:lang w:eastAsia="ru-RU"/>
              </w:rPr>
              <w:t xml:space="preserve">отдельностоящая</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58" w:type="pct"/>
            <w:vAlign w:val="center"/>
            <w:textDirection w:val="lrTb"/>
            <w:noWrap/>
          </w:tcPr>
          <w:p>
            <w:pPr>
              <w:jc w:val="center"/>
              <w:widowControl/>
              <w:rPr>
                <w:color w:val="000000"/>
                <w:sz w:val="20"/>
                <w:szCs w:val="20"/>
                <w:lang w:eastAsia="ru-RU"/>
              </w:rPr>
            </w:pPr>
            <w:r>
              <w:rPr>
                <w:color w:val="000000"/>
                <w:sz w:val="20"/>
                <w:szCs w:val="20"/>
                <w:lang w:eastAsia="ru-RU"/>
              </w:rPr>
              <w:t xml:space="preserve">ручная</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44" w:type="pct"/>
            <w:vAlign w:val="center"/>
            <w:textDirection w:val="lrTb"/>
            <w:noWrap/>
          </w:tcPr>
          <w:p>
            <w:pPr>
              <w:jc w:val="center"/>
              <w:rPr>
                <w:sz w:val="20"/>
                <w:szCs w:val="20"/>
              </w:rPr>
            </w:pPr>
            <w:r>
              <w:rPr>
                <w:sz w:val="20"/>
                <w:szCs w:val="20"/>
              </w:rPr>
              <w:t xml:space="preserve">0,</w:t>
            </w:r>
            <w:r>
              <w:rPr>
                <w:sz w:val="20"/>
                <w:szCs w:val="20"/>
              </w:rPr>
              <w:t xml:space="preserve">554</w:t>
            </w:r>
            <w:r>
              <w:rPr>
                <w:sz w:val="20"/>
                <w:szCs w:val="20"/>
              </w:rPr>
            </w:r>
            <w:r>
              <w:rPr>
                <w:sz w:val="20"/>
                <w:szCs w:val="20"/>
              </w:rPr>
            </w:r>
          </w:p>
        </w:tc>
      </w:tr>
      <w:tr>
        <w:tblPrEx/>
        <w:trPr>
          <w:trHeight w:val="20"/>
        </w:trPr>
        <w:tc>
          <w:tcPr>
            <w:shd w:val="clear" w:color="auto" w:fill="auto"/>
            <w:tcBorders>
              <w:top w:val="none" w:color="000000" w:sz="4" w:space="0"/>
              <w:left w:val="single" w:color="auto" w:sz="4" w:space="0"/>
              <w:bottom w:val="single" w:color="auto" w:sz="4" w:space="0"/>
              <w:right w:val="single" w:color="auto" w:sz="4" w:space="0"/>
            </w:tcBorders>
            <w:tcW w:w="909" w:type="pct"/>
            <w:vAlign w:val="center"/>
            <w:textDirection w:val="lrTb"/>
            <w:noWrap/>
          </w:tcPr>
          <w:p>
            <w:pPr>
              <w:widowControl/>
              <w:rPr>
                <w:color w:val="000000"/>
                <w:sz w:val="20"/>
                <w:szCs w:val="20"/>
                <w:lang w:eastAsia="ru-RU"/>
              </w:rPr>
            </w:pPr>
            <w:r>
              <w:rPr>
                <w:color w:val="000000"/>
                <w:sz w:val="20"/>
                <w:szCs w:val="20"/>
                <w:lang w:eastAsia="ru-RU"/>
              </w:rPr>
              <w:t xml:space="preserve">ООО «Курган Тепло» </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767" w:type="pct"/>
            <w:vAlign w:val="center"/>
            <w:textDirection w:val="lrTb"/>
            <w:noWrap/>
          </w:tcPr>
          <w:p>
            <w:pPr>
              <w:jc w:val="center"/>
              <w:widowControl/>
              <w:rPr>
                <w:color w:val="000000"/>
                <w:sz w:val="20"/>
                <w:szCs w:val="20"/>
                <w:lang w:eastAsia="ru-RU"/>
              </w:rPr>
            </w:pPr>
            <w:r>
              <w:rPr>
                <w:color w:val="000000"/>
                <w:sz w:val="20"/>
                <w:szCs w:val="20"/>
                <w:lang w:eastAsia="ru-RU"/>
              </w:rPr>
              <w:t xml:space="preserve">ООО «Курган Тепло»</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981" w:type="pct"/>
            <w:vAlign w:val="center"/>
            <w:textDirection w:val="lrTb"/>
            <w:noWrap w:val="false"/>
          </w:tcPr>
          <w:p>
            <w:pPr>
              <w:jc w:val="center"/>
              <w:widowControl/>
              <w:rPr>
                <w:color w:val="000000"/>
                <w:sz w:val="20"/>
                <w:szCs w:val="20"/>
                <w:lang w:eastAsia="ru-RU"/>
              </w:rPr>
            </w:pPr>
            <w:r>
              <w:rPr>
                <w:color w:val="000000"/>
                <w:sz w:val="20"/>
                <w:szCs w:val="20"/>
                <w:lang w:eastAsia="ru-RU"/>
              </w:rPr>
              <w:t xml:space="preserve">Курганская область, Юргамышский р-н, с.Красный Уралец, улица нет</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56" w:type="pct"/>
            <w:vAlign w:val="center"/>
            <w:textDirection w:val="lrTb"/>
            <w:noWrap/>
          </w:tcPr>
          <w:p>
            <w:pPr>
              <w:jc w:val="center"/>
              <w:widowControl/>
              <w:rPr>
                <w:color w:val="000000"/>
                <w:sz w:val="20"/>
                <w:szCs w:val="20"/>
                <w:lang w:eastAsia="ru-RU"/>
              </w:rPr>
            </w:pPr>
            <w:r>
              <w:rPr>
                <w:color w:val="000000"/>
                <w:sz w:val="20"/>
                <w:szCs w:val="20"/>
                <w:lang w:eastAsia="ru-RU"/>
              </w:rPr>
              <w:t xml:space="preserve">твердотопливная</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73" w:type="pct"/>
            <w:vAlign w:val="center"/>
            <w:textDirection w:val="lrTb"/>
            <w:noWrap/>
          </w:tcPr>
          <w:p>
            <w:pPr>
              <w:jc w:val="center"/>
              <w:widowControl/>
              <w:rPr>
                <w:color w:val="000000"/>
                <w:sz w:val="20"/>
                <w:szCs w:val="20"/>
                <w:lang w:eastAsia="ru-RU"/>
              </w:rPr>
            </w:pPr>
            <w:r>
              <w:rPr>
                <w:color w:val="000000"/>
                <w:sz w:val="20"/>
                <w:szCs w:val="20"/>
                <w:lang w:eastAsia="ru-RU"/>
              </w:rPr>
              <w:t xml:space="preserve">пеллеты</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512" w:type="pct"/>
            <w:vAlign w:val="center"/>
            <w:textDirection w:val="lrTb"/>
            <w:noWrap/>
          </w:tcPr>
          <w:p>
            <w:pPr>
              <w:jc w:val="center"/>
              <w:widowControl/>
              <w:rPr>
                <w:color w:val="000000"/>
                <w:sz w:val="20"/>
                <w:szCs w:val="20"/>
                <w:lang w:eastAsia="ru-RU"/>
              </w:rPr>
            </w:pPr>
            <w:r>
              <w:rPr>
                <w:color w:val="000000"/>
                <w:sz w:val="20"/>
                <w:szCs w:val="20"/>
                <w:lang w:eastAsia="ru-RU"/>
              </w:rPr>
              <w:t xml:space="preserve">отдельностоящая</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58" w:type="pct"/>
            <w:vAlign w:val="center"/>
            <w:textDirection w:val="lrTb"/>
            <w:noWrap/>
          </w:tcPr>
          <w:p>
            <w:pPr>
              <w:jc w:val="center"/>
              <w:widowControl/>
              <w:rPr>
                <w:color w:val="000000"/>
                <w:sz w:val="20"/>
                <w:szCs w:val="20"/>
                <w:lang w:eastAsia="ru-RU"/>
              </w:rPr>
            </w:pPr>
            <w:r>
              <w:rPr>
                <w:color w:val="000000"/>
                <w:sz w:val="20"/>
                <w:szCs w:val="20"/>
                <w:lang w:eastAsia="ru-RU"/>
              </w:rPr>
              <w:t xml:space="preserve">ручная</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44" w:type="pct"/>
            <w:vAlign w:val="center"/>
            <w:textDirection w:val="lrTb"/>
            <w:noWrap/>
          </w:tcPr>
          <w:p>
            <w:pPr>
              <w:jc w:val="center"/>
              <w:rPr>
                <w:sz w:val="20"/>
                <w:szCs w:val="20"/>
              </w:rPr>
            </w:pPr>
            <w:r>
              <w:rPr>
                <w:sz w:val="20"/>
                <w:szCs w:val="20"/>
              </w:rPr>
              <w:t xml:space="preserve">0,0</w:t>
            </w:r>
            <w:r>
              <w:rPr>
                <w:sz w:val="20"/>
                <w:szCs w:val="20"/>
              </w:rPr>
              <w:t xml:space="preserve">43</w:t>
            </w:r>
            <w:r>
              <w:rPr>
                <w:sz w:val="20"/>
                <w:szCs w:val="20"/>
              </w:rPr>
            </w:r>
            <w:r>
              <w:rPr>
                <w:sz w:val="20"/>
                <w:szCs w:val="20"/>
              </w:rPr>
            </w:r>
          </w:p>
        </w:tc>
      </w:tr>
      <w:tr>
        <w:tblPrEx/>
        <w:trPr>
          <w:trHeight w:val="20"/>
        </w:trPr>
        <w:tc>
          <w:tcPr>
            <w:shd w:val="clear" w:color="auto" w:fill="auto"/>
            <w:tcBorders>
              <w:top w:val="none" w:color="000000" w:sz="4" w:space="0"/>
              <w:left w:val="single" w:color="auto" w:sz="4" w:space="0"/>
              <w:bottom w:val="single" w:color="auto" w:sz="4" w:space="0"/>
              <w:right w:val="single" w:color="auto" w:sz="4" w:space="0"/>
            </w:tcBorders>
            <w:tcW w:w="909" w:type="pct"/>
            <w:vAlign w:val="center"/>
            <w:textDirection w:val="lrTb"/>
            <w:noWrap/>
          </w:tcPr>
          <w:p>
            <w:pPr>
              <w:widowControl/>
              <w:rPr>
                <w:color w:val="000000"/>
                <w:sz w:val="20"/>
                <w:szCs w:val="20"/>
                <w:lang w:eastAsia="ru-RU"/>
              </w:rPr>
            </w:pPr>
            <w:r>
              <w:rPr>
                <w:color w:val="000000"/>
                <w:sz w:val="20"/>
                <w:szCs w:val="20"/>
                <w:lang w:eastAsia="ru-RU"/>
              </w:rPr>
              <w:t xml:space="preserve">ООО «Курган Тепло» </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767" w:type="pct"/>
            <w:vAlign w:val="center"/>
            <w:textDirection w:val="lrTb"/>
            <w:noWrap/>
          </w:tcPr>
          <w:p>
            <w:pPr>
              <w:jc w:val="center"/>
              <w:widowControl/>
              <w:rPr>
                <w:color w:val="000000"/>
                <w:sz w:val="20"/>
                <w:szCs w:val="20"/>
                <w:lang w:eastAsia="ru-RU"/>
              </w:rPr>
            </w:pPr>
            <w:r>
              <w:rPr>
                <w:color w:val="000000"/>
                <w:sz w:val="20"/>
                <w:szCs w:val="20"/>
                <w:lang w:eastAsia="ru-RU"/>
              </w:rPr>
              <w:t xml:space="preserve">ООО «Курган Тепло»</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981" w:type="pct"/>
            <w:vAlign w:val="center"/>
            <w:textDirection w:val="lrTb"/>
            <w:noWrap w:val="false"/>
          </w:tcPr>
          <w:p>
            <w:pPr>
              <w:jc w:val="center"/>
              <w:widowControl/>
              <w:rPr>
                <w:color w:val="000000"/>
                <w:sz w:val="20"/>
                <w:szCs w:val="20"/>
                <w:lang w:eastAsia="ru-RU"/>
              </w:rPr>
            </w:pPr>
            <w:r>
              <w:rPr>
                <w:color w:val="000000"/>
                <w:sz w:val="20"/>
                <w:szCs w:val="20"/>
                <w:lang w:eastAsia="ru-RU"/>
              </w:rPr>
              <w:t xml:space="preserve">Курганская область, Юргамышский р-н, с.Караси, ул.Школьная, 3б</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56" w:type="pct"/>
            <w:vAlign w:val="center"/>
            <w:textDirection w:val="lrTb"/>
            <w:noWrap/>
          </w:tcPr>
          <w:p>
            <w:pPr>
              <w:jc w:val="center"/>
              <w:widowControl/>
              <w:rPr>
                <w:color w:val="000000"/>
                <w:sz w:val="20"/>
                <w:szCs w:val="20"/>
                <w:lang w:eastAsia="ru-RU"/>
              </w:rPr>
            </w:pPr>
            <w:r>
              <w:rPr>
                <w:color w:val="000000"/>
                <w:sz w:val="20"/>
                <w:szCs w:val="20"/>
                <w:lang w:eastAsia="ru-RU"/>
              </w:rPr>
              <w:t xml:space="preserve">твердотопливная</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73" w:type="pct"/>
            <w:vAlign w:val="center"/>
            <w:textDirection w:val="lrTb"/>
            <w:noWrap/>
          </w:tcPr>
          <w:p>
            <w:pPr>
              <w:jc w:val="center"/>
              <w:widowControl/>
              <w:rPr>
                <w:color w:val="000000"/>
                <w:sz w:val="20"/>
                <w:szCs w:val="20"/>
                <w:lang w:eastAsia="ru-RU"/>
              </w:rPr>
            </w:pPr>
            <w:r>
              <w:rPr>
                <w:color w:val="000000"/>
                <w:sz w:val="20"/>
                <w:szCs w:val="20"/>
                <w:lang w:eastAsia="ru-RU"/>
              </w:rPr>
              <w:t xml:space="preserve">пеллеты</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512" w:type="pct"/>
            <w:vAlign w:val="center"/>
            <w:textDirection w:val="lrTb"/>
            <w:noWrap/>
          </w:tcPr>
          <w:p>
            <w:pPr>
              <w:jc w:val="center"/>
              <w:widowControl/>
              <w:rPr>
                <w:color w:val="000000"/>
                <w:sz w:val="20"/>
                <w:szCs w:val="20"/>
                <w:lang w:eastAsia="ru-RU"/>
              </w:rPr>
            </w:pPr>
            <w:r>
              <w:rPr>
                <w:color w:val="000000"/>
                <w:sz w:val="20"/>
                <w:szCs w:val="20"/>
                <w:lang w:eastAsia="ru-RU"/>
              </w:rPr>
              <w:t xml:space="preserve">отдельностоящая</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58" w:type="pct"/>
            <w:vAlign w:val="center"/>
            <w:textDirection w:val="lrTb"/>
            <w:noWrap/>
          </w:tcPr>
          <w:p>
            <w:pPr>
              <w:jc w:val="center"/>
              <w:widowControl/>
              <w:rPr>
                <w:color w:val="000000"/>
                <w:sz w:val="20"/>
                <w:szCs w:val="20"/>
                <w:lang w:eastAsia="ru-RU"/>
              </w:rPr>
            </w:pPr>
            <w:r>
              <w:rPr>
                <w:color w:val="000000"/>
                <w:sz w:val="20"/>
                <w:szCs w:val="20"/>
                <w:lang w:eastAsia="ru-RU"/>
              </w:rPr>
              <w:t xml:space="preserve">ручная</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44" w:type="pct"/>
            <w:vAlign w:val="center"/>
            <w:textDirection w:val="lrTb"/>
            <w:noWrap w:val="false"/>
          </w:tcPr>
          <w:p>
            <w:pPr>
              <w:jc w:val="center"/>
              <w:rPr>
                <w:sz w:val="20"/>
                <w:szCs w:val="20"/>
              </w:rPr>
            </w:pPr>
            <w:r>
              <w:rPr>
                <w:sz w:val="20"/>
                <w:szCs w:val="20"/>
              </w:rPr>
              <w:t xml:space="preserve">0,2</w:t>
            </w:r>
            <w:r>
              <w:rPr>
                <w:sz w:val="20"/>
                <w:szCs w:val="20"/>
              </w:rPr>
              <w:t xml:space="preserve">57</w:t>
            </w:r>
            <w:r>
              <w:rPr>
                <w:sz w:val="20"/>
                <w:szCs w:val="20"/>
              </w:rPr>
            </w:r>
            <w:r>
              <w:rPr>
                <w:sz w:val="20"/>
                <w:szCs w:val="20"/>
              </w:rPr>
            </w:r>
          </w:p>
        </w:tc>
      </w:tr>
      <w:tr>
        <w:tblPrEx/>
        <w:trPr>
          <w:trHeight w:val="20"/>
        </w:trPr>
        <w:tc>
          <w:tcPr>
            <w:shd w:val="clear" w:color="auto" w:fill="auto"/>
            <w:tcBorders>
              <w:top w:val="none" w:color="000000" w:sz="4" w:space="0"/>
              <w:left w:val="single" w:color="auto" w:sz="4" w:space="0"/>
              <w:bottom w:val="single" w:color="auto" w:sz="4" w:space="0"/>
              <w:right w:val="single" w:color="auto" w:sz="4" w:space="0"/>
            </w:tcBorders>
            <w:tcW w:w="909" w:type="pct"/>
            <w:vAlign w:val="center"/>
            <w:textDirection w:val="lrTb"/>
            <w:noWrap/>
          </w:tcPr>
          <w:p>
            <w:pPr>
              <w:widowControl/>
              <w:rPr>
                <w:color w:val="000000"/>
                <w:sz w:val="20"/>
                <w:szCs w:val="20"/>
                <w:lang w:eastAsia="ru-RU"/>
              </w:rPr>
            </w:pPr>
            <w:r>
              <w:rPr>
                <w:color w:val="000000"/>
                <w:sz w:val="20"/>
                <w:szCs w:val="20"/>
                <w:lang w:eastAsia="ru-RU"/>
              </w:rPr>
              <w:t xml:space="preserve">ООО «Курган Тепло» </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767" w:type="pct"/>
            <w:vAlign w:val="center"/>
            <w:textDirection w:val="lrTb"/>
            <w:noWrap/>
          </w:tcPr>
          <w:p>
            <w:pPr>
              <w:jc w:val="center"/>
              <w:widowControl/>
              <w:rPr>
                <w:color w:val="000000"/>
                <w:sz w:val="20"/>
                <w:szCs w:val="20"/>
                <w:lang w:eastAsia="ru-RU"/>
              </w:rPr>
            </w:pPr>
            <w:r>
              <w:rPr>
                <w:color w:val="000000"/>
                <w:sz w:val="20"/>
                <w:szCs w:val="20"/>
                <w:lang w:eastAsia="ru-RU"/>
              </w:rPr>
              <w:t xml:space="preserve">ООО «Курган Тепло»</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981" w:type="pct"/>
            <w:vAlign w:val="center"/>
            <w:textDirection w:val="lrTb"/>
            <w:noWrap w:val="false"/>
          </w:tcPr>
          <w:p>
            <w:pPr>
              <w:jc w:val="center"/>
              <w:widowControl/>
              <w:rPr>
                <w:color w:val="000000"/>
                <w:sz w:val="20"/>
                <w:szCs w:val="20"/>
                <w:lang w:eastAsia="ru-RU"/>
              </w:rPr>
            </w:pPr>
            <w:r>
              <w:rPr>
                <w:color w:val="000000"/>
                <w:sz w:val="20"/>
                <w:szCs w:val="20"/>
                <w:lang w:eastAsia="ru-RU"/>
              </w:rPr>
              <w:t xml:space="preserve">Курганская область, Юргамышский р-н,с.Вилкино, ул.Ленина, 9а</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56" w:type="pct"/>
            <w:vAlign w:val="center"/>
            <w:textDirection w:val="lrTb"/>
            <w:noWrap/>
          </w:tcPr>
          <w:p>
            <w:pPr>
              <w:jc w:val="center"/>
              <w:widowControl/>
              <w:rPr>
                <w:color w:val="000000"/>
                <w:sz w:val="20"/>
                <w:szCs w:val="20"/>
                <w:lang w:eastAsia="ru-RU"/>
              </w:rPr>
            </w:pPr>
            <w:r>
              <w:rPr>
                <w:color w:val="000000"/>
                <w:sz w:val="20"/>
                <w:szCs w:val="20"/>
                <w:lang w:eastAsia="ru-RU"/>
              </w:rPr>
              <w:t xml:space="preserve">твердотопливная</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73" w:type="pct"/>
            <w:vAlign w:val="center"/>
            <w:textDirection w:val="lrTb"/>
            <w:noWrap/>
          </w:tcPr>
          <w:p>
            <w:pPr>
              <w:jc w:val="center"/>
              <w:widowControl/>
              <w:rPr>
                <w:color w:val="000000"/>
                <w:sz w:val="20"/>
                <w:szCs w:val="20"/>
                <w:lang w:eastAsia="ru-RU"/>
              </w:rPr>
            </w:pPr>
            <w:r>
              <w:rPr>
                <w:color w:val="000000"/>
                <w:sz w:val="20"/>
                <w:szCs w:val="20"/>
                <w:lang w:eastAsia="ru-RU"/>
              </w:rPr>
              <w:t xml:space="preserve">пеллеты</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512" w:type="pct"/>
            <w:vAlign w:val="center"/>
            <w:textDirection w:val="lrTb"/>
            <w:noWrap/>
          </w:tcPr>
          <w:p>
            <w:pPr>
              <w:jc w:val="center"/>
              <w:widowControl/>
              <w:rPr>
                <w:color w:val="000000"/>
                <w:sz w:val="20"/>
                <w:szCs w:val="20"/>
                <w:lang w:eastAsia="ru-RU"/>
              </w:rPr>
            </w:pPr>
            <w:r>
              <w:rPr>
                <w:color w:val="000000"/>
                <w:sz w:val="20"/>
                <w:szCs w:val="20"/>
                <w:lang w:eastAsia="ru-RU"/>
              </w:rPr>
              <w:t xml:space="preserve">отдельностоящая</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58" w:type="pct"/>
            <w:vAlign w:val="center"/>
            <w:textDirection w:val="lrTb"/>
            <w:noWrap/>
          </w:tcPr>
          <w:p>
            <w:pPr>
              <w:jc w:val="center"/>
              <w:widowControl/>
              <w:rPr>
                <w:color w:val="000000"/>
                <w:sz w:val="20"/>
                <w:szCs w:val="20"/>
                <w:lang w:eastAsia="ru-RU"/>
              </w:rPr>
            </w:pPr>
            <w:r>
              <w:rPr>
                <w:color w:val="000000"/>
                <w:sz w:val="20"/>
                <w:szCs w:val="20"/>
                <w:lang w:eastAsia="ru-RU"/>
              </w:rPr>
              <w:t xml:space="preserve">ручная</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44" w:type="pct"/>
            <w:vAlign w:val="center"/>
            <w:textDirection w:val="lrTb"/>
            <w:noWrap w:val="false"/>
          </w:tcPr>
          <w:p>
            <w:pPr>
              <w:jc w:val="center"/>
              <w:rPr>
                <w:sz w:val="20"/>
                <w:szCs w:val="20"/>
              </w:rPr>
            </w:pPr>
            <w:r>
              <w:rPr>
                <w:sz w:val="20"/>
                <w:szCs w:val="20"/>
              </w:rPr>
              <w:t xml:space="preserve">0,2</w:t>
            </w:r>
            <w:r>
              <w:rPr>
                <w:sz w:val="20"/>
                <w:szCs w:val="20"/>
              </w:rPr>
              <w:t xml:space="preserve">57</w:t>
            </w:r>
            <w:r>
              <w:rPr>
                <w:sz w:val="20"/>
                <w:szCs w:val="20"/>
              </w:rPr>
            </w:r>
            <w:r>
              <w:rPr>
                <w:sz w:val="20"/>
                <w:szCs w:val="20"/>
              </w:rPr>
            </w:r>
          </w:p>
        </w:tc>
      </w:tr>
      <w:tr>
        <w:tblPrEx/>
        <w:trPr>
          <w:trHeight w:val="20"/>
        </w:trPr>
        <w:tc>
          <w:tcPr>
            <w:shd w:val="clear" w:color="auto" w:fill="auto"/>
            <w:tcBorders>
              <w:top w:val="none" w:color="000000" w:sz="4" w:space="0"/>
              <w:left w:val="single" w:color="auto" w:sz="4" w:space="0"/>
              <w:bottom w:val="single" w:color="auto" w:sz="4" w:space="0"/>
              <w:right w:val="single" w:color="auto" w:sz="4" w:space="0"/>
            </w:tcBorders>
            <w:tcW w:w="909" w:type="pct"/>
            <w:vAlign w:val="center"/>
            <w:textDirection w:val="lrTb"/>
            <w:noWrap/>
          </w:tcPr>
          <w:p>
            <w:pPr>
              <w:widowControl/>
              <w:rPr>
                <w:color w:val="000000"/>
                <w:sz w:val="20"/>
                <w:szCs w:val="20"/>
                <w:lang w:eastAsia="ru-RU"/>
              </w:rPr>
            </w:pPr>
            <w:r>
              <w:rPr>
                <w:color w:val="000000"/>
                <w:sz w:val="20"/>
                <w:szCs w:val="20"/>
                <w:lang w:eastAsia="ru-RU"/>
              </w:rPr>
              <w:t xml:space="preserve">ООО «Курган Тепло» </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767" w:type="pct"/>
            <w:vAlign w:val="center"/>
            <w:textDirection w:val="lrTb"/>
            <w:noWrap/>
          </w:tcPr>
          <w:p>
            <w:pPr>
              <w:jc w:val="center"/>
              <w:widowControl/>
              <w:rPr>
                <w:color w:val="000000"/>
                <w:sz w:val="20"/>
                <w:szCs w:val="20"/>
                <w:lang w:eastAsia="ru-RU"/>
              </w:rPr>
            </w:pPr>
            <w:r>
              <w:rPr>
                <w:color w:val="000000"/>
                <w:sz w:val="20"/>
                <w:szCs w:val="20"/>
                <w:lang w:eastAsia="ru-RU"/>
              </w:rPr>
              <w:t xml:space="preserve">ООО «Курган Тепло»</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981" w:type="pct"/>
            <w:vAlign w:val="center"/>
            <w:textDirection w:val="lrTb"/>
            <w:noWrap w:val="false"/>
          </w:tcPr>
          <w:p>
            <w:pPr>
              <w:jc w:val="center"/>
              <w:widowControl/>
              <w:rPr>
                <w:color w:val="000000"/>
                <w:sz w:val="20"/>
                <w:szCs w:val="20"/>
                <w:lang w:eastAsia="ru-RU"/>
              </w:rPr>
            </w:pPr>
            <w:r>
              <w:rPr>
                <w:color w:val="000000"/>
                <w:sz w:val="20"/>
                <w:szCs w:val="20"/>
                <w:lang w:eastAsia="ru-RU"/>
              </w:rPr>
              <w:t xml:space="preserve">Курганская область, Юргамышский р-н, с.Губерля, ул.Школьная, 10А</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56" w:type="pct"/>
            <w:vAlign w:val="center"/>
            <w:textDirection w:val="lrTb"/>
            <w:noWrap/>
          </w:tcPr>
          <w:p>
            <w:pPr>
              <w:jc w:val="center"/>
              <w:widowControl/>
              <w:rPr>
                <w:color w:val="000000"/>
                <w:sz w:val="20"/>
                <w:szCs w:val="20"/>
                <w:lang w:eastAsia="ru-RU"/>
              </w:rPr>
            </w:pPr>
            <w:r>
              <w:rPr>
                <w:color w:val="000000"/>
                <w:sz w:val="20"/>
                <w:szCs w:val="20"/>
                <w:lang w:eastAsia="ru-RU"/>
              </w:rPr>
              <w:t xml:space="preserve">твердотопливная</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73" w:type="pct"/>
            <w:vAlign w:val="center"/>
            <w:textDirection w:val="lrTb"/>
            <w:noWrap/>
          </w:tcPr>
          <w:p>
            <w:pPr>
              <w:jc w:val="center"/>
              <w:widowControl/>
              <w:rPr>
                <w:color w:val="000000"/>
                <w:sz w:val="20"/>
                <w:szCs w:val="20"/>
                <w:lang w:eastAsia="ru-RU"/>
              </w:rPr>
            </w:pPr>
            <w:r>
              <w:rPr>
                <w:color w:val="000000"/>
                <w:sz w:val="20"/>
                <w:szCs w:val="20"/>
                <w:lang w:eastAsia="ru-RU"/>
              </w:rPr>
              <w:t xml:space="preserve">пеллеты</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512" w:type="pct"/>
            <w:vAlign w:val="center"/>
            <w:textDirection w:val="lrTb"/>
            <w:noWrap/>
          </w:tcPr>
          <w:p>
            <w:pPr>
              <w:jc w:val="center"/>
              <w:widowControl/>
              <w:rPr>
                <w:color w:val="000000"/>
                <w:sz w:val="20"/>
                <w:szCs w:val="20"/>
                <w:lang w:eastAsia="ru-RU"/>
              </w:rPr>
            </w:pPr>
            <w:r>
              <w:rPr>
                <w:color w:val="000000"/>
                <w:sz w:val="20"/>
                <w:szCs w:val="20"/>
                <w:lang w:eastAsia="ru-RU"/>
              </w:rPr>
              <w:t xml:space="preserve">отдельностоящая</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58" w:type="pct"/>
            <w:vAlign w:val="center"/>
            <w:textDirection w:val="lrTb"/>
            <w:noWrap/>
          </w:tcPr>
          <w:p>
            <w:pPr>
              <w:jc w:val="center"/>
              <w:widowControl/>
              <w:rPr>
                <w:color w:val="000000"/>
                <w:sz w:val="20"/>
                <w:szCs w:val="20"/>
                <w:lang w:eastAsia="ru-RU"/>
              </w:rPr>
            </w:pPr>
            <w:r>
              <w:rPr>
                <w:color w:val="000000"/>
                <w:sz w:val="20"/>
                <w:szCs w:val="20"/>
                <w:lang w:eastAsia="ru-RU"/>
              </w:rPr>
              <w:t xml:space="preserve">ручная</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44" w:type="pct"/>
            <w:vAlign w:val="center"/>
            <w:textDirection w:val="lrTb"/>
            <w:noWrap w:val="false"/>
          </w:tcPr>
          <w:p>
            <w:pPr>
              <w:jc w:val="center"/>
              <w:rPr>
                <w:sz w:val="20"/>
                <w:szCs w:val="20"/>
              </w:rPr>
            </w:pPr>
            <w:r>
              <w:rPr>
                <w:sz w:val="20"/>
                <w:szCs w:val="20"/>
              </w:rPr>
              <w:t xml:space="preserve">0,1</w:t>
            </w:r>
            <w:r>
              <w:rPr>
                <w:sz w:val="20"/>
                <w:szCs w:val="20"/>
              </w:rPr>
              <w:t xml:space="preserve">71</w:t>
            </w:r>
            <w:r>
              <w:rPr>
                <w:sz w:val="20"/>
                <w:szCs w:val="20"/>
              </w:rPr>
            </w:r>
            <w:r>
              <w:rPr>
                <w:sz w:val="20"/>
                <w:szCs w:val="20"/>
              </w:rPr>
            </w:r>
          </w:p>
        </w:tc>
      </w:tr>
      <w:tr>
        <w:tblPrEx/>
        <w:trPr>
          <w:trHeight w:val="20"/>
        </w:trPr>
        <w:tc>
          <w:tcPr>
            <w:shd w:val="clear" w:color="auto" w:fill="auto"/>
            <w:tcBorders>
              <w:top w:val="none" w:color="000000" w:sz="4" w:space="0"/>
              <w:left w:val="single" w:color="auto" w:sz="4" w:space="0"/>
              <w:bottom w:val="single" w:color="auto" w:sz="4" w:space="0"/>
              <w:right w:val="single" w:color="auto" w:sz="4" w:space="0"/>
            </w:tcBorders>
            <w:tcW w:w="909" w:type="pct"/>
            <w:vAlign w:val="center"/>
            <w:textDirection w:val="lrTb"/>
            <w:noWrap/>
          </w:tcPr>
          <w:p>
            <w:pPr>
              <w:widowControl/>
              <w:rPr>
                <w:color w:val="000000"/>
                <w:sz w:val="20"/>
                <w:szCs w:val="20"/>
                <w:lang w:eastAsia="ru-RU"/>
              </w:rPr>
            </w:pPr>
            <w:r>
              <w:rPr>
                <w:color w:val="000000"/>
                <w:sz w:val="20"/>
                <w:szCs w:val="20"/>
                <w:lang w:eastAsia="ru-RU"/>
              </w:rPr>
              <w:t xml:space="preserve">ООО «Курган Тепло» </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767" w:type="pct"/>
            <w:vAlign w:val="center"/>
            <w:textDirection w:val="lrTb"/>
            <w:noWrap/>
          </w:tcPr>
          <w:p>
            <w:pPr>
              <w:jc w:val="center"/>
              <w:widowControl/>
              <w:rPr>
                <w:color w:val="000000"/>
                <w:sz w:val="20"/>
                <w:szCs w:val="20"/>
                <w:lang w:eastAsia="ru-RU"/>
              </w:rPr>
            </w:pPr>
            <w:r>
              <w:rPr>
                <w:color w:val="000000"/>
                <w:sz w:val="20"/>
                <w:szCs w:val="20"/>
                <w:lang w:eastAsia="ru-RU"/>
              </w:rPr>
              <w:t xml:space="preserve">ООО «Курган Тепло»</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981" w:type="pct"/>
            <w:vAlign w:val="center"/>
            <w:textDirection w:val="lrTb"/>
            <w:noWrap w:val="false"/>
          </w:tcPr>
          <w:p>
            <w:pPr>
              <w:jc w:val="center"/>
              <w:widowControl/>
              <w:rPr>
                <w:color w:val="000000"/>
                <w:sz w:val="20"/>
                <w:szCs w:val="20"/>
                <w:lang w:eastAsia="ru-RU"/>
              </w:rPr>
            </w:pPr>
            <w:r>
              <w:rPr>
                <w:color w:val="000000"/>
                <w:sz w:val="20"/>
                <w:szCs w:val="20"/>
              </w:rPr>
              <w:t xml:space="preserve">Котельная д. Фадюшино, ул. Центральная, 50Б</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56" w:type="pct"/>
            <w:vAlign w:val="center"/>
            <w:textDirection w:val="lrTb"/>
            <w:noWrap/>
          </w:tcPr>
          <w:p>
            <w:pPr>
              <w:jc w:val="center"/>
              <w:widowControl/>
              <w:rPr>
                <w:color w:val="000000"/>
                <w:sz w:val="20"/>
                <w:szCs w:val="20"/>
                <w:lang w:eastAsia="ru-RU"/>
              </w:rPr>
            </w:pPr>
            <w:r>
              <w:rPr>
                <w:color w:val="000000"/>
                <w:sz w:val="20"/>
                <w:szCs w:val="20"/>
                <w:lang w:eastAsia="ru-RU"/>
              </w:rPr>
              <w:t xml:space="preserve">твердотопливная</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73" w:type="pct"/>
            <w:vAlign w:val="center"/>
            <w:textDirection w:val="lrTb"/>
            <w:noWrap/>
          </w:tcPr>
          <w:p>
            <w:pPr>
              <w:jc w:val="center"/>
              <w:widowControl/>
              <w:rPr>
                <w:color w:val="000000"/>
                <w:sz w:val="20"/>
                <w:szCs w:val="20"/>
                <w:lang w:eastAsia="ru-RU"/>
              </w:rPr>
            </w:pPr>
            <w:r>
              <w:rPr>
                <w:color w:val="000000"/>
                <w:sz w:val="20"/>
                <w:szCs w:val="20"/>
                <w:lang w:eastAsia="ru-RU"/>
              </w:rPr>
              <w:t xml:space="preserve">пеллеты</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512" w:type="pct"/>
            <w:vAlign w:val="center"/>
            <w:textDirection w:val="lrTb"/>
            <w:noWrap/>
          </w:tcPr>
          <w:p>
            <w:pPr>
              <w:jc w:val="center"/>
              <w:widowControl/>
              <w:rPr>
                <w:color w:val="000000"/>
                <w:sz w:val="20"/>
                <w:szCs w:val="20"/>
                <w:lang w:eastAsia="ru-RU"/>
              </w:rPr>
            </w:pPr>
            <w:r>
              <w:rPr>
                <w:color w:val="000000"/>
                <w:sz w:val="20"/>
                <w:szCs w:val="20"/>
                <w:lang w:eastAsia="ru-RU"/>
              </w:rPr>
              <w:t xml:space="preserve">отдельностоящая</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58" w:type="pct"/>
            <w:vAlign w:val="center"/>
            <w:textDirection w:val="lrTb"/>
            <w:noWrap/>
          </w:tcPr>
          <w:p>
            <w:pPr>
              <w:jc w:val="center"/>
              <w:widowControl/>
              <w:rPr>
                <w:color w:val="000000"/>
                <w:sz w:val="20"/>
                <w:szCs w:val="20"/>
                <w:lang w:eastAsia="ru-RU"/>
              </w:rPr>
            </w:pPr>
            <w:r>
              <w:rPr>
                <w:color w:val="000000"/>
                <w:sz w:val="20"/>
                <w:szCs w:val="20"/>
                <w:lang w:eastAsia="ru-RU"/>
              </w:rPr>
              <w:t xml:space="preserve">ручная</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44" w:type="pct"/>
            <w:vAlign w:val="center"/>
            <w:textDirection w:val="lrTb"/>
            <w:noWrap w:val="false"/>
          </w:tcPr>
          <w:p>
            <w:pPr>
              <w:jc w:val="center"/>
              <w:rPr>
                <w:sz w:val="20"/>
                <w:szCs w:val="20"/>
              </w:rPr>
            </w:pPr>
            <w:r>
              <w:rPr>
                <w:sz w:val="20"/>
                <w:szCs w:val="20"/>
              </w:rPr>
              <w:t xml:space="preserve">0,1</w:t>
            </w:r>
            <w:r>
              <w:rPr>
                <w:sz w:val="20"/>
                <w:szCs w:val="20"/>
              </w:rPr>
            </w:r>
            <w:r>
              <w:rPr>
                <w:sz w:val="20"/>
                <w:szCs w:val="20"/>
              </w:rPr>
            </w:r>
          </w:p>
        </w:tc>
      </w:tr>
      <w:tr>
        <w:tblPrEx/>
        <w:trPr>
          <w:trHeight w:val="20"/>
        </w:trPr>
        <w:tc>
          <w:tcPr>
            <w:shd w:val="clear" w:color="auto" w:fill="auto"/>
            <w:tcBorders>
              <w:top w:val="none" w:color="000000" w:sz="4" w:space="0"/>
              <w:left w:val="single" w:color="auto" w:sz="4" w:space="0"/>
              <w:bottom w:val="single" w:color="auto" w:sz="4" w:space="0"/>
              <w:right w:val="single" w:color="auto" w:sz="4" w:space="0"/>
            </w:tcBorders>
            <w:tcW w:w="909" w:type="pct"/>
            <w:vAlign w:val="center"/>
            <w:textDirection w:val="lrTb"/>
            <w:noWrap/>
          </w:tcPr>
          <w:p>
            <w:pPr>
              <w:widowControl/>
              <w:rPr>
                <w:color w:val="000000"/>
                <w:sz w:val="20"/>
                <w:szCs w:val="20"/>
                <w:lang w:eastAsia="ru-RU"/>
              </w:rPr>
            </w:pPr>
            <w:r>
              <w:rPr>
                <w:color w:val="000000"/>
                <w:sz w:val="20"/>
                <w:szCs w:val="20"/>
                <w:lang w:eastAsia="ru-RU"/>
              </w:rPr>
              <w:t xml:space="preserve">ООО «Арабика»</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767" w:type="pct"/>
            <w:vAlign w:val="center"/>
            <w:textDirection w:val="lrTb"/>
            <w:noWrap/>
          </w:tcPr>
          <w:p>
            <w:pPr>
              <w:jc w:val="center"/>
              <w:widowControl/>
              <w:rPr>
                <w:color w:val="000000"/>
                <w:sz w:val="20"/>
                <w:szCs w:val="20"/>
                <w:lang w:eastAsia="ru-RU"/>
              </w:rPr>
            </w:pPr>
            <w:r>
              <w:rPr>
                <w:color w:val="000000"/>
                <w:sz w:val="20"/>
                <w:szCs w:val="20"/>
                <w:lang w:eastAsia="ru-RU"/>
              </w:rPr>
              <w:t xml:space="preserve">ООО «Арабика»</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981" w:type="pct"/>
            <w:vAlign w:val="center"/>
            <w:textDirection w:val="lrTb"/>
            <w:noWrap w:val="false"/>
          </w:tcPr>
          <w:p>
            <w:pPr>
              <w:jc w:val="center"/>
              <w:widowControl/>
              <w:rPr>
                <w:color w:val="000000"/>
                <w:sz w:val="20"/>
                <w:szCs w:val="20"/>
                <w:lang w:eastAsia="ru-RU"/>
              </w:rPr>
            </w:pPr>
            <w:r>
              <w:rPr>
                <w:color w:val="000000"/>
                <w:sz w:val="20"/>
                <w:szCs w:val="20"/>
                <w:lang w:eastAsia="ru-RU"/>
              </w:rPr>
              <w:t xml:space="preserve">Курганская область, Юргамышский р-н, с.М.Белое, ул.Школьная, 2А</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56" w:type="pct"/>
            <w:vAlign w:val="center"/>
            <w:textDirection w:val="lrTb"/>
            <w:noWrap/>
          </w:tcPr>
          <w:p>
            <w:pPr>
              <w:jc w:val="center"/>
              <w:widowControl/>
              <w:rPr>
                <w:color w:val="000000"/>
                <w:sz w:val="20"/>
                <w:szCs w:val="20"/>
                <w:lang w:eastAsia="ru-RU"/>
              </w:rPr>
            </w:pPr>
            <w:r>
              <w:rPr>
                <w:color w:val="000000"/>
                <w:sz w:val="20"/>
                <w:szCs w:val="20"/>
                <w:lang w:eastAsia="ru-RU"/>
              </w:rPr>
              <w:t xml:space="preserve">твердотопливная</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73" w:type="pct"/>
            <w:vAlign w:val="center"/>
            <w:textDirection w:val="lrTb"/>
            <w:noWrap/>
          </w:tcPr>
          <w:p>
            <w:pPr>
              <w:jc w:val="center"/>
              <w:widowControl/>
              <w:rPr>
                <w:color w:val="000000"/>
                <w:sz w:val="20"/>
                <w:szCs w:val="20"/>
                <w:lang w:eastAsia="ru-RU"/>
              </w:rPr>
            </w:pPr>
            <w:r>
              <w:rPr>
                <w:color w:val="000000"/>
                <w:sz w:val="20"/>
                <w:szCs w:val="20"/>
                <w:lang w:eastAsia="ru-RU"/>
              </w:rPr>
              <w:t xml:space="preserve">пеллеты</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512" w:type="pct"/>
            <w:vAlign w:val="center"/>
            <w:textDirection w:val="lrTb"/>
            <w:noWrap/>
          </w:tcPr>
          <w:p>
            <w:pPr>
              <w:jc w:val="center"/>
              <w:widowControl/>
              <w:rPr>
                <w:color w:val="000000"/>
                <w:sz w:val="20"/>
                <w:szCs w:val="20"/>
                <w:lang w:eastAsia="ru-RU"/>
              </w:rPr>
            </w:pPr>
            <w:r>
              <w:rPr>
                <w:color w:val="000000"/>
                <w:sz w:val="20"/>
                <w:szCs w:val="20"/>
                <w:lang w:eastAsia="ru-RU"/>
              </w:rPr>
              <w:t xml:space="preserve">отдельностоящая</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58" w:type="pct"/>
            <w:vAlign w:val="center"/>
            <w:textDirection w:val="lrTb"/>
            <w:noWrap/>
          </w:tcPr>
          <w:p>
            <w:pPr>
              <w:jc w:val="center"/>
              <w:widowControl/>
              <w:rPr>
                <w:color w:val="000000"/>
                <w:sz w:val="20"/>
                <w:szCs w:val="20"/>
                <w:lang w:eastAsia="ru-RU"/>
              </w:rPr>
            </w:pPr>
            <w:r>
              <w:rPr>
                <w:color w:val="000000"/>
                <w:sz w:val="20"/>
                <w:szCs w:val="20"/>
                <w:lang w:eastAsia="ru-RU"/>
              </w:rPr>
              <w:t xml:space="preserve">ручная</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44" w:type="pct"/>
            <w:vAlign w:val="center"/>
            <w:textDirection w:val="lrTb"/>
            <w:noWrap w:val="false"/>
          </w:tcPr>
          <w:p>
            <w:pPr>
              <w:jc w:val="center"/>
              <w:rPr>
                <w:sz w:val="20"/>
                <w:szCs w:val="20"/>
              </w:rPr>
            </w:pPr>
            <w:r>
              <w:rPr>
                <w:sz w:val="20"/>
                <w:szCs w:val="20"/>
              </w:rPr>
              <w:t xml:space="preserve">0,0</w:t>
            </w:r>
            <w:r>
              <w:rPr>
                <w:sz w:val="20"/>
                <w:szCs w:val="20"/>
              </w:rPr>
              <w:t xml:space="preserve">85</w:t>
            </w:r>
            <w:r>
              <w:rPr>
                <w:sz w:val="20"/>
                <w:szCs w:val="20"/>
              </w:rPr>
            </w:r>
            <w:r>
              <w:rPr>
                <w:sz w:val="20"/>
                <w:szCs w:val="20"/>
              </w:rPr>
            </w:r>
          </w:p>
        </w:tc>
      </w:tr>
      <w:tr>
        <w:tblPrEx/>
        <w:trPr>
          <w:trHeight w:val="20"/>
        </w:trPr>
        <w:tc>
          <w:tcPr>
            <w:shd w:val="clear" w:color="auto" w:fill="auto"/>
            <w:tcBorders>
              <w:top w:val="none" w:color="000000" w:sz="4" w:space="0"/>
              <w:left w:val="single" w:color="auto" w:sz="4" w:space="0"/>
              <w:bottom w:val="single" w:color="auto" w:sz="4" w:space="0"/>
              <w:right w:val="single" w:color="auto" w:sz="4" w:space="0"/>
            </w:tcBorders>
            <w:tcW w:w="909" w:type="pct"/>
            <w:vAlign w:val="center"/>
            <w:textDirection w:val="lrTb"/>
            <w:noWrap/>
          </w:tcPr>
          <w:p>
            <w:pPr>
              <w:widowControl/>
              <w:rPr>
                <w:color w:val="000000"/>
                <w:sz w:val="20"/>
                <w:szCs w:val="20"/>
                <w:lang w:eastAsia="ru-RU"/>
              </w:rPr>
            </w:pPr>
            <w:r>
              <w:rPr>
                <w:color w:val="000000"/>
                <w:sz w:val="20"/>
                <w:szCs w:val="20"/>
                <w:lang w:eastAsia="ru-RU"/>
              </w:rPr>
              <w:t xml:space="preserve">ООО «Арабика»</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767" w:type="pct"/>
            <w:vAlign w:val="center"/>
            <w:textDirection w:val="lrTb"/>
            <w:noWrap/>
          </w:tcPr>
          <w:p>
            <w:pPr>
              <w:jc w:val="center"/>
              <w:widowControl/>
              <w:rPr>
                <w:color w:val="000000"/>
                <w:sz w:val="20"/>
                <w:szCs w:val="20"/>
                <w:lang w:eastAsia="ru-RU"/>
              </w:rPr>
            </w:pPr>
            <w:r>
              <w:rPr>
                <w:color w:val="000000"/>
                <w:sz w:val="20"/>
                <w:szCs w:val="20"/>
                <w:lang w:eastAsia="ru-RU"/>
              </w:rPr>
              <w:t xml:space="preserve">ООО «Арабика»</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981" w:type="pct"/>
            <w:vAlign w:val="center"/>
            <w:textDirection w:val="lrTb"/>
            <w:noWrap w:val="false"/>
          </w:tcPr>
          <w:p>
            <w:pPr>
              <w:jc w:val="center"/>
              <w:widowControl/>
              <w:rPr>
                <w:color w:val="000000"/>
                <w:sz w:val="20"/>
                <w:szCs w:val="20"/>
                <w:lang w:eastAsia="ru-RU"/>
              </w:rPr>
            </w:pPr>
            <w:r>
              <w:rPr>
                <w:color w:val="000000"/>
                <w:sz w:val="20"/>
                <w:szCs w:val="20"/>
                <w:lang w:eastAsia="ru-RU"/>
              </w:rPr>
              <w:t xml:space="preserve">Курганская область, Юргамышский р-н, с.М.Белое, ул.Школьная, 2Б</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56" w:type="pct"/>
            <w:vAlign w:val="center"/>
            <w:textDirection w:val="lrTb"/>
            <w:noWrap/>
          </w:tcPr>
          <w:p>
            <w:pPr>
              <w:jc w:val="center"/>
              <w:widowControl/>
              <w:rPr>
                <w:color w:val="000000"/>
                <w:sz w:val="20"/>
                <w:szCs w:val="20"/>
                <w:lang w:eastAsia="ru-RU"/>
              </w:rPr>
            </w:pPr>
            <w:r>
              <w:rPr>
                <w:color w:val="000000"/>
                <w:sz w:val="20"/>
                <w:szCs w:val="20"/>
                <w:lang w:eastAsia="ru-RU"/>
              </w:rPr>
              <w:t xml:space="preserve">твердотопливная</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73" w:type="pct"/>
            <w:vAlign w:val="center"/>
            <w:textDirection w:val="lrTb"/>
            <w:noWrap/>
          </w:tcPr>
          <w:p>
            <w:pPr>
              <w:jc w:val="center"/>
              <w:widowControl/>
              <w:rPr>
                <w:color w:val="000000"/>
                <w:sz w:val="20"/>
                <w:szCs w:val="20"/>
                <w:lang w:eastAsia="ru-RU"/>
              </w:rPr>
            </w:pPr>
            <w:r>
              <w:rPr>
                <w:color w:val="000000"/>
                <w:sz w:val="20"/>
                <w:szCs w:val="20"/>
                <w:lang w:eastAsia="ru-RU"/>
              </w:rPr>
              <w:t xml:space="preserve">пеллеты</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512" w:type="pct"/>
            <w:vAlign w:val="center"/>
            <w:textDirection w:val="lrTb"/>
            <w:noWrap/>
          </w:tcPr>
          <w:p>
            <w:pPr>
              <w:jc w:val="center"/>
              <w:widowControl/>
              <w:rPr>
                <w:color w:val="000000"/>
                <w:sz w:val="20"/>
                <w:szCs w:val="20"/>
                <w:lang w:eastAsia="ru-RU"/>
              </w:rPr>
            </w:pPr>
            <w:r>
              <w:rPr>
                <w:color w:val="000000"/>
                <w:sz w:val="20"/>
                <w:szCs w:val="20"/>
                <w:lang w:eastAsia="ru-RU"/>
              </w:rPr>
              <w:t xml:space="preserve">отдельностоящая</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58" w:type="pct"/>
            <w:vAlign w:val="center"/>
            <w:textDirection w:val="lrTb"/>
            <w:noWrap/>
          </w:tcPr>
          <w:p>
            <w:pPr>
              <w:jc w:val="center"/>
              <w:widowControl/>
              <w:rPr>
                <w:color w:val="000000"/>
                <w:sz w:val="20"/>
                <w:szCs w:val="20"/>
                <w:lang w:eastAsia="ru-RU"/>
              </w:rPr>
            </w:pPr>
            <w:r>
              <w:rPr>
                <w:color w:val="000000"/>
                <w:sz w:val="20"/>
                <w:szCs w:val="20"/>
                <w:lang w:eastAsia="ru-RU"/>
              </w:rPr>
              <w:t xml:space="preserve">ручная</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44" w:type="pct"/>
            <w:vAlign w:val="center"/>
            <w:textDirection w:val="lrTb"/>
            <w:noWrap w:val="false"/>
          </w:tcPr>
          <w:p>
            <w:pPr>
              <w:jc w:val="center"/>
              <w:rPr>
                <w:sz w:val="20"/>
                <w:szCs w:val="20"/>
              </w:rPr>
            </w:pPr>
            <w:r>
              <w:rPr>
                <w:sz w:val="20"/>
                <w:szCs w:val="20"/>
              </w:rPr>
              <w:t xml:space="preserve">0,1</w:t>
            </w:r>
            <w:r>
              <w:rPr>
                <w:sz w:val="20"/>
                <w:szCs w:val="20"/>
              </w:rPr>
              <w:t xml:space="preserve">71</w:t>
            </w:r>
            <w:r>
              <w:rPr>
                <w:sz w:val="20"/>
                <w:szCs w:val="20"/>
              </w:rPr>
            </w:r>
            <w:r>
              <w:rPr>
                <w:sz w:val="20"/>
                <w:szCs w:val="20"/>
              </w:rPr>
            </w:r>
          </w:p>
        </w:tc>
      </w:tr>
      <w:tr>
        <w:tblPrEx/>
        <w:trPr>
          <w:trHeight w:val="20"/>
        </w:trPr>
        <w:tc>
          <w:tcPr>
            <w:shd w:val="clear" w:color="auto" w:fill="auto"/>
            <w:tcBorders>
              <w:top w:val="none" w:color="000000" w:sz="4" w:space="0"/>
              <w:left w:val="single" w:color="auto" w:sz="4" w:space="0"/>
              <w:bottom w:val="single" w:color="auto" w:sz="4" w:space="0"/>
              <w:right w:val="single" w:color="auto" w:sz="4" w:space="0"/>
            </w:tcBorders>
            <w:tcW w:w="909" w:type="pct"/>
            <w:vAlign w:val="center"/>
            <w:textDirection w:val="lrTb"/>
            <w:noWrap w:val="false"/>
          </w:tcPr>
          <w:p>
            <w:pPr>
              <w:widowControl/>
              <w:rPr>
                <w:color w:val="000000"/>
                <w:sz w:val="20"/>
                <w:szCs w:val="20"/>
                <w:lang w:eastAsia="ru-RU"/>
              </w:rPr>
            </w:pPr>
            <w:r>
              <w:rPr>
                <w:color w:val="000000"/>
                <w:sz w:val="20"/>
                <w:szCs w:val="20"/>
                <w:lang w:eastAsia="ru-RU"/>
              </w:rPr>
              <w:t xml:space="preserve">ГБУ «Скоблинский психоневрологический интернат»</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767" w:type="pct"/>
            <w:vAlign w:val="center"/>
            <w:textDirection w:val="lrTb"/>
            <w:noWrap w:val="false"/>
          </w:tcPr>
          <w:p>
            <w:pPr>
              <w:jc w:val="center"/>
              <w:widowControl/>
              <w:rPr>
                <w:color w:val="000000"/>
                <w:sz w:val="20"/>
                <w:szCs w:val="20"/>
                <w:lang w:eastAsia="ru-RU"/>
              </w:rPr>
            </w:pPr>
            <w:r>
              <w:rPr>
                <w:color w:val="000000"/>
                <w:sz w:val="20"/>
                <w:szCs w:val="20"/>
                <w:lang w:eastAsia="ru-RU"/>
              </w:rPr>
              <w:t xml:space="preserve">ГБУ «Скоблинский психоневрологический интернат»</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981" w:type="pct"/>
            <w:vAlign w:val="center"/>
            <w:textDirection w:val="lrTb"/>
            <w:noWrap w:val="false"/>
          </w:tcPr>
          <w:p>
            <w:pPr>
              <w:jc w:val="center"/>
              <w:widowControl/>
              <w:rPr>
                <w:color w:val="000000"/>
                <w:sz w:val="20"/>
                <w:szCs w:val="20"/>
                <w:lang w:eastAsia="ru-RU"/>
              </w:rPr>
            </w:pPr>
            <w:r>
              <w:rPr>
                <w:color w:val="000000"/>
                <w:sz w:val="20"/>
                <w:szCs w:val="20"/>
                <w:lang w:eastAsia="ru-RU"/>
              </w:rPr>
              <w:t xml:space="preserve">Курганская область, Юргамышский р-н, с. Скоблино, пер. Октябрьский 11</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56" w:type="pct"/>
            <w:vAlign w:val="center"/>
            <w:textDirection w:val="lrTb"/>
            <w:noWrap/>
          </w:tcPr>
          <w:p>
            <w:pPr>
              <w:jc w:val="center"/>
              <w:widowControl/>
              <w:rPr>
                <w:color w:val="000000"/>
                <w:sz w:val="20"/>
                <w:szCs w:val="20"/>
                <w:lang w:eastAsia="ru-RU"/>
              </w:rPr>
            </w:pPr>
            <w:r>
              <w:rPr>
                <w:color w:val="000000"/>
                <w:sz w:val="20"/>
                <w:szCs w:val="20"/>
                <w:lang w:eastAsia="ru-RU"/>
              </w:rPr>
              <w:t xml:space="preserve">твердотопливная</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73" w:type="pct"/>
            <w:vAlign w:val="center"/>
            <w:textDirection w:val="lrTb"/>
            <w:noWrap/>
          </w:tcPr>
          <w:p>
            <w:pPr>
              <w:jc w:val="center"/>
              <w:widowControl/>
              <w:rPr>
                <w:color w:val="000000"/>
                <w:sz w:val="20"/>
                <w:szCs w:val="20"/>
                <w:lang w:eastAsia="ru-RU"/>
              </w:rPr>
            </w:pPr>
            <w:r>
              <w:rPr>
                <w:color w:val="000000"/>
                <w:sz w:val="20"/>
                <w:szCs w:val="20"/>
                <w:lang w:eastAsia="ru-RU"/>
              </w:rPr>
              <w:t xml:space="preserve">уголь</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512" w:type="pct"/>
            <w:vAlign w:val="center"/>
            <w:textDirection w:val="lrTb"/>
            <w:noWrap/>
          </w:tcPr>
          <w:p>
            <w:pPr>
              <w:jc w:val="center"/>
              <w:widowControl/>
              <w:rPr>
                <w:color w:val="000000"/>
                <w:sz w:val="20"/>
                <w:szCs w:val="20"/>
                <w:lang w:eastAsia="ru-RU"/>
              </w:rPr>
            </w:pPr>
            <w:r>
              <w:rPr>
                <w:color w:val="000000"/>
                <w:sz w:val="20"/>
                <w:szCs w:val="20"/>
                <w:lang w:eastAsia="ru-RU"/>
              </w:rPr>
              <w:t xml:space="preserve">отдельностоящая</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58" w:type="pct"/>
            <w:vAlign w:val="center"/>
            <w:textDirection w:val="lrTb"/>
            <w:noWrap/>
          </w:tcPr>
          <w:p>
            <w:pPr>
              <w:jc w:val="center"/>
              <w:widowControl/>
              <w:rPr>
                <w:color w:val="000000"/>
                <w:sz w:val="20"/>
                <w:szCs w:val="20"/>
                <w:lang w:eastAsia="ru-RU"/>
              </w:rPr>
            </w:pPr>
            <w:r>
              <w:rPr>
                <w:color w:val="000000"/>
                <w:sz w:val="20"/>
                <w:szCs w:val="20"/>
                <w:lang w:eastAsia="ru-RU"/>
              </w:rPr>
              <w:t xml:space="preserve">ручная</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44" w:type="pct"/>
            <w:vAlign w:val="center"/>
            <w:textDirection w:val="lrTb"/>
            <w:noWrap/>
          </w:tcPr>
          <w:p>
            <w:pPr>
              <w:jc w:val="center"/>
              <w:widowControl/>
              <w:rPr>
                <w:color w:val="000000"/>
                <w:sz w:val="20"/>
                <w:szCs w:val="20"/>
                <w:lang w:eastAsia="ru-RU"/>
              </w:rPr>
            </w:pPr>
            <w:r>
              <w:rPr>
                <w:color w:val="000000"/>
                <w:sz w:val="20"/>
                <w:szCs w:val="20"/>
                <w:lang w:eastAsia="ru-RU"/>
              </w:rPr>
              <w:t xml:space="preserve">0,3</w:t>
            </w:r>
            <w:r>
              <w:rPr>
                <w:color w:val="000000"/>
                <w:sz w:val="20"/>
                <w:szCs w:val="20"/>
                <w:lang w:eastAsia="ru-RU"/>
              </w:rPr>
            </w:r>
            <w:r>
              <w:rPr>
                <w:color w:val="000000"/>
                <w:sz w:val="20"/>
                <w:szCs w:val="20"/>
                <w:lang w:eastAsia="ru-RU"/>
              </w:rPr>
            </w:r>
          </w:p>
        </w:tc>
      </w:tr>
      <w:tr>
        <w:tblPrEx/>
        <w:trPr>
          <w:trHeight w:val="20"/>
        </w:trPr>
        <w:tc>
          <w:tcPr>
            <w:shd w:val="clear" w:color="auto" w:fill="auto"/>
            <w:tcBorders>
              <w:top w:val="none" w:color="000000" w:sz="4" w:space="0"/>
              <w:left w:val="single" w:color="auto" w:sz="4" w:space="0"/>
              <w:bottom w:val="single" w:color="auto" w:sz="4" w:space="0"/>
              <w:right w:val="single" w:color="auto" w:sz="4" w:space="0"/>
            </w:tcBorders>
            <w:tcW w:w="909" w:type="pct"/>
            <w:vAlign w:val="center"/>
            <w:textDirection w:val="lrTb"/>
            <w:noWrap/>
          </w:tcPr>
          <w:p>
            <w:pPr>
              <w:widowControl/>
              <w:rPr>
                <w:color w:val="000000"/>
                <w:sz w:val="20"/>
                <w:szCs w:val="20"/>
                <w:lang w:eastAsia="ru-RU"/>
              </w:rPr>
            </w:pPr>
            <w:r>
              <w:rPr>
                <w:color w:val="000000"/>
                <w:sz w:val="20"/>
                <w:szCs w:val="20"/>
                <w:lang w:eastAsia="ru-RU"/>
              </w:rPr>
              <w:t xml:space="preserve">ГКУ «КОПТД»</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767" w:type="pct"/>
            <w:vAlign w:val="center"/>
            <w:textDirection w:val="lrTb"/>
            <w:noWrap/>
          </w:tcPr>
          <w:p>
            <w:pPr>
              <w:jc w:val="center"/>
              <w:widowControl/>
              <w:rPr>
                <w:color w:val="000000"/>
                <w:sz w:val="20"/>
                <w:szCs w:val="20"/>
                <w:lang w:eastAsia="ru-RU"/>
              </w:rPr>
            </w:pPr>
            <w:r>
              <w:rPr>
                <w:color w:val="000000"/>
                <w:sz w:val="20"/>
                <w:szCs w:val="20"/>
                <w:lang w:eastAsia="ru-RU"/>
              </w:rPr>
              <w:t xml:space="preserve">ГКУ «КОПТД» детское санаторное отделение в п. Лесные Горки Юргамышского района</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981" w:type="pct"/>
            <w:vAlign w:val="center"/>
            <w:textDirection w:val="lrTb"/>
            <w:noWrap w:val="false"/>
          </w:tcPr>
          <w:p>
            <w:pPr>
              <w:jc w:val="center"/>
              <w:widowControl/>
              <w:rPr>
                <w:color w:val="000000"/>
                <w:sz w:val="20"/>
                <w:szCs w:val="20"/>
                <w:lang w:eastAsia="ru-RU"/>
              </w:rPr>
            </w:pPr>
            <w:r>
              <w:rPr>
                <w:color w:val="000000"/>
                <w:sz w:val="20"/>
                <w:szCs w:val="20"/>
                <w:lang w:eastAsia="ru-RU"/>
              </w:rPr>
              <w:t xml:space="preserve">Курганская область, Юргамышский район, п. Лесные Горки</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56" w:type="pct"/>
            <w:vAlign w:val="center"/>
            <w:textDirection w:val="lrTb"/>
            <w:noWrap/>
          </w:tcPr>
          <w:p>
            <w:pPr>
              <w:jc w:val="center"/>
              <w:widowControl/>
              <w:rPr>
                <w:color w:val="000000"/>
                <w:sz w:val="20"/>
                <w:szCs w:val="20"/>
                <w:lang w:eastAsia="ru-RU"/>
              </w:rPr>
            </w:pPr>
            <w:r>
              <w:rPr>
                <w:color w:val="000000"/>
                <w:sz w:val="20"/>
                <w:szCs w:val="20"/>
                <w:lang w:eastAsia="ru-RU"/>
              </w:rPr>
              <w:t xml:space="preserve">твердотопливная</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73" w:type="pct"/>
            <w:vAlign w:val="center"/>
            <w:textDirection w:val="lrTb"/>
            <w:noWrap/>
          </w:tcPr>
          <w:p>
            <w:pPr>
              <w:jc w:val="center"/>
              <w:widowControl/>
              <w:rPr>
                <w:color w:val="000000"/>
                <w:sz w:val="20"/>
                <w:szCs w:val="20"/>
                <w:lang w:eastAsia="ru-RU"/>
              </w:rPr>
            </w:pPr>
            <w:r>
              <w:rPr>
                <w:color w:val="000000"/>
                <w:sz w:val="20"/>
                <w:szCs w:val="20"/>
                <w:lang w:eastAsia="ru-RU"/>
              </w:rPr>
              <w:t xml:space="preserve">уголь</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512" w:type="pct"/>
            <w:vAlign w:val="center"/>
            <w:textDirection w:val="lrTb"/>
            <w:noWrap/>
          </w:tcPr>
          <w:p>
            <w:pPr>
              <w:jc w:val="center"/>
              <w:widowControl/>
              <w:rPr>
                <w:color w:val="000000"/>
                <w:sz w:val="20"/>
                <w:szCs w:val="20"/>
                <w:lang w:eastAsia="ru-RU"/>
              </w:rPr>
            </w:pPr>
            <w:r>
              <w:rPr>
                <w:color w:val="000000"/>
                <w:sz w:val="20"/>
                <w:szCs w:val="20"/>
                <w:lang w:eastAsia="ru-RU"/>
              </w:rPr>
              <w:t xml:space="preserve">отдельностоящая</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58" w:type="pct"/>
            <w:vAlign w:val="center"/>
            <w:textDirection w:val="lrTb"/>
            <w:noWrap/>
          </w:tcPr>
          <w:p>
            <w:pPr>
              <w:jc w:val="center"/>
              <w:widowControl/>
              <w:rPr>
                <w:color w:val="000000"/>
                <w:sz w:val="20"/>
                <w:szCs w:val="20"/>
                <w:lang w:eastAsia="ru-RU"/>
              </w:rPr>
            </w:pPr>
            <w:r>
              <w:rPr>
                <w:color w:val="000000"/>
                <w:sz w:val="20"/>
                <w:szCs w:val="20"/>
                <w:lang w:eastAsia="ru-RU"/>
              </w:rPr>
              <w:t xml:space="preserve">ручная</w:t>
            </w:r>
            <w:r>
              <w:rPr>
                <w:color w:val="000000"/>
                <w:sz w:val="20"/>
                <w:szCs w:val="20"/>
                <w:lang w:eastAsia="ru-RU"/>
              </w:rPr>
            </w:r>
            <w:r>
              <w:rPr>
                <w:color w:val="000000"/>
                <w:sz w:val="20"/>
                <w:szCs w:val="20"/>
                <w:lang w:eastAsia="ru-RU"/>
              </w:rPr>
            </w:r>
          </w:p>
        </w:tc>
        <w:tc>
          <w:tcPr>
            <w:shd w:val="clear" w:color="auto" w:fill="auto"/>
            <w:tcBorders>
              <w:top w:val="none" w:color="000000" w:sz="4" w:space="0"/>
              <w:left w:val="none" w:color="000000" w:sz="4" w:space="0"/>
              <w:bottom w:val="single" w:color="auto" w:sz="4" w:space="0"/>
              <w:right w:val="single" w:color="auto" w:sz="4" w:space="0"/>
            </w:tcBorders>
            <w:tcW w:w="444" w:type="pct"/>
            <w:vAlign w:val="center"/>
            <w:textDirection w:val="lrTb"/>
            <w:noWrap w:val="false"/>
          </w:tcPr>
          <w:p>
            <w:pPr>
              <w:jc w:val="center"/>
              <w:widowControl/>
              <w:rPr>
                <w:color w:val="000000"/>
                <w:sz w:val="20"/>
                <w:szCs w:val="20"/>
                <w:lang w:eastAsia="ru-RU"/>
              </w:rPr>
            </w:pPr>
            <w:r>
              <w:rPr>
                <w:color w:val="000000"/>
                <w:sz w:val="20"/>
                <w:szCs w:val="20"/>
                <w:lang w:eastAsia="ru-RU"/>
              </w:rPr>
              <w:t xml:space="preserve">0,835</w:t>
            </w:r>
            <w:r>
              <w:rPr>
                <w:color w:val="000000"/>
                <w:sz w:val="20"/>
                <w:szCs w:val="20"/>
                <w:lang w:eastAsia="ru-RU"/>
              </w:rPr>
            </w:r>
            <w:r>
              <w:rPr>
                <w:color w:val="000000"/>
                <w:sz w:val="20"/>
                <w:szCs w:val="20"/>
                <w:lang w:eastAsia="ru-RU"/>
              </w:rPr>
            </w:r>
          </w:p>
        </w:tc>
      </w:tr>
    </w:tbl>
    <w:p>
      <w:pPr>
        <w:spacing w:before="72"/>
        <w:rPr>
          <w:sz w:val="24"/>
          <w:szCs w:val="24"/>
        </w:rPr>
      </w:pPr>
      <w:r>
        <w:rPr>
          <w:sz w:val="24"/>
          <w:szCs w:val="24"/>
        </w:rPr>
        <w:t xml:space="preserve">Примечания:</w:t>
      </w:r>
      <w:r>
        <w:rPr>
          <w:sz w:val="24"/>
          <w:szCs w:val="24"/>
        </w:rPr>
      </w:r>
      <w:r>
        <w:rPr>
          <w:sz w:val="24"/>
          <w:szCs w:val="24"/>
        </w:rPr>
      </w:r>
    </w:p>
    <w:p>
      <w:pPr>
        <w:jc w:val="both"/>
        <w:spacing w:before="72"/>
        <w:rPr>
          <w:sz w:val="24"/>
          <w:szCs w:val="24"/>
        </w:rPr>
      </w:pPr>
      <w:r>
        <w:rPr>
          <w:sz w:val="24"/>
          <w:szCs w:val="24"/>
        </w:rPr>
        <w:t xml:space="preserve">* осуществлен перевод котельной на применение природного газа вместо нефти, официальный запуск в декабре 2024 г.</w:t>
      </w:r>
      <w:r>
        <w:rPr>
          <w:sz w:val="24"/>
          <w:szCs w:val="24"/>
        </w:rPr>
      </w:r>
      <w:r>
        <w:rPr>
          <w:sz w:val="24"/>
          <w:szCs w:val="24"/>
        </w:rPr>
      </w:r>
    </w:p>
    <w:p>
      <w:pPr>
        <w:jc w:val="both"/>
        <w:spacing w:before="72"/>
        <w:rPr>
          <w:sz w:val="24"/>
          <w:szCs w:val="24"/>
        </w:rPr>
      </w:pPr>
      <w:r>
        <w:rPr>
          <w:sz w:val="24"/>
          <w:szCs w:val="24"/>
        </w:rPr>
        <w:t xml:space="preserve">*</w:t>
      </w:r>
      <w:r>
        <w:rPr>
          <w:sz w:val="24"/>
          <w:szCs w:val="24"/>
        </w:rPr>
        <w:t xml:space="preserve">*</w:t>
      </w:r>
      <w:r>
        <w:rPr>
          <w:sz w:val="24"/>
          <w:szCs w:val="24"/>
        </w:rPr>
        <w:t xml:space="preserve"> в сентябре 2024 г. вместо угольной котельной будет построено 2 отдельностоящие газовые БМК для МКОУ Чинеевская СОШ» и  Чинеевского </w:t>
      </w:r>
      <w:r>
        <w:rPr>
          <w:sz w:val="24"/>
          <w:szCs w:val="24"/>
        </w:rPr>
        <w:t xml:space="preserve">к</w:t>
      </w:r>
      <w:r>
        <w:rPr>
          <w:sz w:val="24"/>
          <w:szCs w:val="24"/>
        </w:rPr>
        <w:t xml:space="preserve">ультурно-досугового </w:t>
      </w:r>
      <w:r>
        <w:rPr>
          <w:sz w:val="24"/>
          <w:szCs w:val="24"/>
        </w:rPr>
        <w:t xml:space="preserve">о</w:t>
      </w:r>
      <w:r>
        <w:rPr>
          <w:sz w:val="24"/>
          <w:szCs w:val="24"/>
        </w:rPr>
        <w:t xml:space="preserve">бъединения.   </w:t>
      </w:r>
      <w:r>
        <w:rPr>
          <w:sz w:val="24"/>
          <w:szCs w:val="24"/>
        </w:rPr>
      </w:r>
      <w:r>
        <w:rPr>
          <w:sz w:val="24"/>
          <w:szCs w:val="24"/>
        </w:rPr>
      </w:r>
    </w:p>
    <w:p>
      <w:pPr>
        <w:rPr>
          <w:sz w:val="24"/>
          <w:szCs w:val="24"/>
        </w:rPr>
      </w:pPr>
      <w:r>
        <w:rPr>
          <w:sz w:val="24"/>
          <w:szCs w:val="24"/>
        </w:rPr>
        <w:br w:type="page" w:clear="all"/>
      </w:r>
      <w:r>
        <w:rPr>
          <w:sz w:val="24"/>
          <w:szCs w:val="24"/>
        </w:rPr>
      </w:r>
      <w:r>
        <w:rPr>
          <w:sz w:val="24"/>
          <w:szCs w:val="24"/>
        </w:rPr>
      </w:r>
    </w:p>
    <w:p>
      <w:pPr>
        <w:ind w:left="1395"/>
        <w:jc w:val="right"/>
        <w:spacing w:before="72"/>
        <w:rPr>
          <w:sz w:val="24"/>
          <w:szCs w:val="24"/>
        </w:rPr>
      </w:pPr>
      <w:r>
        <w:rPr>
          <w:sz w:val="24"/>
          <w:szCs w:val="24"/>
        </w:rPr>
        <w:t xml:space="preserve">Таблица</w:t>
      </w:r>
      <w:r>
        <w:rPr>
          <w:spacing w:val="-8"/>
          <w:sz w:val="24"/>
          <w:szCs w:val="24"/>
        </w:rPr>
        <w:t xml:space="preserve"> </w:t>
      </w:r>
      <w:r>
        <w:rPr>
          <w:sz w:val="24"/>
          <w:szCs w:val="24"/>
        </w:rPr>
        <w:t xml:space="preserve">1.2.1.3</w:t>
      </w:r>
      <w:r>
        <w:rPr>
          <w:spacing w:val="-8"/>
          <w:sz w:val="24"/>
          <w:szCs w:val="24"/>
        </w:rPr>
        <w:t xml:space="preserve"> </w:t>
      </w:r>
      <w:r>
        <w:rPr>
          <w:sz w:val="24"/>
          <w:szCs w:val="24"/>
        </w:rPr>
      </w:r>
      <w:r>
        <w:rPr>
          <w:sz w:val="24"/>
          <w:szCs w:val="24"/>
        </w:rPr>
      </w:r>
    </w:p>
    <w:p>
      <w:pPr>
        <w:jc w:val="center"/>
        <w:spacing w:before="72"/>
        <w:rPr>
          <w:sz w:val="24"/>
          <w:szCs w:val="24"/>
        </w:rPr>
      </w:pPr>
      <w:r>
        <w:rPr>
          <w:sz w:val="24"/>
          <w:szCs w:val="24"/>
        </w:rPr>
        <w:t xml:space="preserve">Основные характеристики котлов централизованных источников теплоснабжения Юргамышского муниципального округа</w:t>
      </w:r>
      <w:r>
        <w:rPr>
          <w:sz w:val="24"/>
          <w:szCs w:val="24"/>
        </w:rPr>
      </w:r>
      <w:r>
        <w:rPr>
          <w:sz w:val="24"/>
          <w:szCs w:val="24"/>
        </w:rPr>
      </w:r>
    </w:p>
    <w:tbl>
      <w:tblPr>
        <w:tblW w:w="5000" w:type="pct"/>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000" w:firstRow="0" w:lastRow="0" w:firstColumn="0" w:lastColumn="0" w:noHBand="0" w:noVBand="0"/>
      </w:tblPr>
      <w:tblGrid>
        <w:gridCol w:w="3632"/>
        <w:gridCol w:w="1503"/>
        <w:gridCol w:w="2470"/>
        <w:gridCol w:w="1535"/>
        <w:gridCol w:w="1473"/>
        <w:gridCol w:w="1124"/>
        <w:gridCol w:w="1298"/>
        <w:gridCol w:w="1754"/>
      </w:tblGrid>
      <w:tr>
        <w:tblPrEx/>
        <w:trPr>
          <w:cantSplit/>
          <w:trHeight w:val="145"/>
        </w:trPr>
        <w:tc>
          <w:tcPr>
            <w:tcW w:w="1228" w:type="pct"/>
            <w:vAlign w:val="center"/>
            <w:vMerge w:val="restart"/>
            <w:textDirection w:val="lrTb"/>
            <w:noWrap w:val="false"/>
          </w:tcPr>
          <w:p>
            <w:pPr>
              <w:ind w:left="-142" w:right="-142" w:firstLine="34"/>
              <w:jc w:val="center"/>
              <w:rPr>
                <w:sz w:val="20"/>
                <w:szCs w:val="20"/>
              </w:rPr>
            </w:pPr>
            <w:r>
              <w:rPr>
                <w:sz w:val="20"/>
                <w:szCs w:val="20"/>
              </w:rPr>
              <w:t xml:space="preserve">Наименование и адрес теплового источника </w:t>
            </w:r>
            <w:r>
              <w:rPr>
                <w:sz w:val="20"/>
                <w:szCs w:val="20"/>
              </w:rPr>
            </w:r>
            <w:r>
              <w:rPr>
                <w:sz w:val="20"/>
                <w:szCs w:val="20"/>
              </w:rPr>
            </w:r>
          </w:p>
        </w:tc>
        <w:tc>
          <w:tcPr>
            <w:tcW w:w="508" w:type="pct"/>
            <w:vAlign w:val="center"/>
            <w:vMerge w:val="restart"/>
            <w:textDirection w:val="lrTb"/>
            <w:noWrap w:val="false"/>
          </w:tcPr>
          <w:p>
            <w:pPr>
              <w:ind w:left="-142" w:right="-142"/>
              <w:jc w:val="center"/>
              <w:rPr>
                <w:sz w:val="20"/>
                <w:szCs w:val="20"/>
              </w:rPr>
            </w:pPr>
            <w:r>
              <w:rPr>
                <w:sz w:val="20"/>
                <w:szCs w:val="20"/>
              </w:rPr>
              <w:t xml:space="preserve">Год строительства</w:t>
            </w:r>
            <w:r>
              <w:rPr>
                <w:sz w:val="20"/>
                <w:szCs w:val="20"/>
              </w:rPr>
            </w:r>
            <w:r>
              <w:rPr>
                <w:sz w:val="20"/>
                <w:szCs w:val="20"/>
              </w:rPr>
            </w:r>
          </w:p>
          <w:p>
            <w:pPr>
              <w:ind w:left="-142" w:right="-142"/>
              <w:jc w:val="center"/>
              <w:rPr>
                <w:sz w:val="20"/>
                <w:szCs w:val="20"/>
              </w:rPr>
            </w:pPr>
            <w:r>
              <w:rPr>
                <w:sz w:val="20"/>
                <w:szCs w:val="20"/>
              </w:rPr>
              <w:t xml:space="preserve"> котельной </w:t>
            </w:r>
            <w:r>
              <w:rPr>
                <w:sz w:val="20"/>
                <w:szCs w:val="20"/>
              </w:rPr>
            </w:r>
            <w:r>
              <w:rPr>
                <w:sz w:val="20"/>
                <w:szCs w:val="20"/>
              </w:rPr>
            </w:r>
          </w:p>
        </w:tc>
        <w:tc>
          <w:tcPr>
            <w:gridSpan w:val="5"/>
            <w:tcW w:w="2671" w:type="pct"/>
            <w:vAlign w:val="center"/>
            <w:textDirection w:val="lrTb"/>
            <w:noWrap w:val="false"/>
          </w:tcPr>
          <w:p>
            <w:pPr>
              <w:ind w:left="-142" w:right="-142"/>
              <w:jc w:val="center"/>
              <w:rPr>
                <w:sz w:val="20"/>
                <w:szCs w:val="20"/>
              </w:rPr>
            </w:pPr>
            <w:r>
              <w:rPr>
                <w:sz w:val="20"/>
                <w:szCs w:val="20"/>
              </w:rPr>
              <w:t xml:space="preserve">Характеристика котлоагрегатов</w:t>
            </w:r>
            <w:r>
              <w:rPr>
                <w:sz w:val="20"/>
                <w:szCs w:val="20"/>
              </w:rPr>
            </w:r>
            <w:r>
              <w:rPr>
                <w:sz w:val="20"/>
                <w:szCs w:val="20"/>
              </w:rPr>
            </w:r>
          </w:p>
        </w:tc>
        <w:tc>
          <w:tcPr>
            <w:tcW w:w="593" w:type="pct"/>
            <w:vAlign w:val="center"/>
            <w:vMerge w:val="restart"/>
            <w:textDirection w:val="lrTb"/>
            <w:noWrap w:val="false"/>
          </w:tcPr>
          <w:p>
            <w:pPr>
              <w:ind w:left="-142" w:right="-142"/>
              <w:jc w:val="center"/>
              <w:rPr>
                <w:sz w:val="20"/>
                <w:szCs w:val="20"/>
              </w:rPr>
            </w:pPr>
            <w:r>
              <w:rPr>
                <w:sz w:val="20"/>
                <w:szCs w:val="20"/>
              </w:rPr>
              <w:t xml:space="preserve">Присоединённая</w:t>
            </w:r>
            <w:r>
              <w:rPr>
                <w:sz w:val="20"/>
                <w:szCs w:val="20"/>
              </w:rPr>
            </w:r>
            <w:r>
              <w:rPr>
                <w:sz w:val="20"/>
                <w:szCs w:val="20"/>
              </w:rPr>
            </w:r>
          </w:p>
          <w:p>
            <w:pPr>
              <w:ind w:left="-142" w:right="-142"/>
              <w:jc w:val="center"/>
              <w:rPr>
                <w:sz w:val="20"/>
                <w:szCs w:val="20"/>
              </w:rPr>
            </w:pPr>
            <w:r>
              <w:rPr>
                <w:sz w:val="20"/>
                <w:szCs w:val="20"/>
              </w:rPr>
              <w:t xml:space="preserve"> нагрузка, Гкал.час.</w:t>
            </w:r>
            <w:r>
              <w:rPr>
                <w:sz w:val="20"/>
                <w:szCs w:val="20"/>
              </w:rPr>
            </w:r>
            <w:r>
              <w:rPr>
                <w:sz w:val="20"/>
                <w:szCs w:val="20"/>
              </w:rPr>
            </w:r>
          </w:p>
        </w:tc>
      </w:tr>
      <w:tr>
        <w:tblPrEx/>
        <w:trPr>
          <w:cantSplit/>
          <w:trHeight w:val="615"/>
        </w:trPr>
        <w:tc>
          <w:tcPr>
            <w:tcW w:w="1228" w:type="pct"/>
            <w:vAlign w:val="center"/>
            <w:vMerge w:val="continue"/>
            <w:textDirection w:val="lrTb"/>
            <w:noWrap w:val="false"/>
          </w:tcPr>
          <w:p>
            <w:pPr>
              <w:ind w:left="-142" w:right="-142"/>
              <w:rPr>
                <w:sz w:val="20"/>
                <w:szCs w:val="20"/>
              </w:rPr>
            </w:pPr>
            <w:r>
              <w:rPr>
                <w:sz w:val="20"/>
                <w:szCs w:val="20"/>
              </w:rPr>
            </w:r>
            <w:r>
              <w:rPr>
                <w:sz w:val="20"/>
                <w:szCs w:val="20"/>
              </w:rPr>
            </w:r>
            <w:r>
              <w:rPr>
                <w:sz w:val="20"/>
                <w:szCs w:val="20"/>
              </w:rPr>
            </w:r>
          </w:p>
        </w:tc>
        <w:tc>
          <w:tcPr>
            <w:tcW w:w="508" w:type="pct"/>
            <w:vAlign w:val="center"/>
            <w:vMerge w:val="continue"/>
            <w:textDirection w:val="lrTb"/>
            <w:noWrap w:val="false"/>
          </w:tcPr>
          <w:p>
            <w:pPr>
              <w:ind w:left="-142" w:right="-142"/>
              <w:rPr>
                <w:sz w:val="20"/>
                <w:szCs w:val="20"/>
              </w:rPr>
            </w:pPr>
            <w:r>
              <w:rPr>
                <w:sz w:val="20"/>
                <w:szCs w:val="20"/>
              </w:rPr>
            </w:r>
            <w:r>
              <w:rPr>
                <w:sz w:val="20"/>
                <w:szCs w:val="20"/>
              </w:rPr>
            </w:r>
            <w:r>
              <w:rPr>
                <w:sz w:val="20"/>
                <w:szCs w:val="20"/>
              </w:rPr>
            </w:r>
          </w:p>
        </w:tc>
        <w:tc>
          <w:tcPr>
            <w:tcW w:w="835" w:type="pct"/>
            <w:vAlign w:val="center"/>
            <w:vMerge w:val="restart"/>
            <w:textDirection w:val="lrTb"/>
            <w:noWrap w:val="false"/>
          </w:tcPr>
          <w:p>
            <w:pPr>
              <w:ind w:left="-109" w:right="-97"/>
              <w:jc w:val="center"/>
              <w:rPr>
                <w:sz w:val="20"/>
                <w:szCs w:val="20"/>
              </w:rPr>
            </w:pPr>
            <w:r>
              <w:rPr>
                <w:sz w:val="20"/>
                <w:szCs w:val="20"/>
              </w:rPr>
              <w:t xml:space="preserve">Марка</w:t>
            </w:r>
            <w:r>
              <w:rPr>
                <w:sz w:val="20"/>
                <w:szCs w:val="20"/>
              </w:rPr>
            </w:r>
            <w:r>
              <w:rPr>
                <w:sz w:val="20"/>
                <w:szCs w:val="20"/>
              </w:rPr>
            </w:r>
          </w:p>
        </w:tc>
        <w:tc>
          <w:tcPr>
            <w:tcW w:w="519" w:type="pct"/>
            <w:vAlign w:val="center"/>
            <w:vMerge w:val="restart"/>
            <w:textDirection w:val="lrTb"/>
            <w:noWrap w:val="false"/>
          </w:tcPr>
          <w:p>
            <w:pPr>
              <w:ind w:left="-109" w:right="-97"/>
              <w:jc w:val="center"/>
              <w:rPr>
                <w:sz w:val="20"/>
                <w:szCs w:val="20"/>
              </w:rPr>
            </w:pPr>
            <w:r>
              <w:rPr>
                <w:sz w:val="20"/>
                <w:szCs w:val="20"/>
              </w:rPr>
              <w:t xml:space="preserve">Год ввода </w:t>
            </w:r>
            <w:r>
              <w:rPr>
                <w:sz w:val="20"/>
                <w:szCs w:val="20"/>
              </w:rPr>
            </w:r>
            <w:r>
              <w:rPr>
                <w:sz w:val="20"/>
                <w:szCs w:val="20"/>
              </w:rPr>
            </w:r>
          </w:p>
          <w:p>
            <w:pPr>
              <w:ind w:left="-109" w:right="-97"/>
              <w:jc w:val="center"/>
              <w:rPr>
                <w:sz w:val="20"/>
                <w:szCs w:val="20"/>
              </w:rPr>
            </w:pPr>
            <w:r>
              <w:rPr>
                <w:sz w:val="20"/>
                <w:szCs w:val="20"/>
              </w:rPr>
              <w:t xml:space="preserve">в эксплуатацию</w:t>
            </w:r>
            <w:r>
              <w:rPr>
                <w:sz w:val="20"/>
                <w:szCs w:val="20"/>
              </w:rPr>
            </w:r>
            <w:r>
              <w:rPr>
                <w:sz w:val="20"/>
                <w:szCs w:val="20"/>
              </w:rPr>
            </w:r>
          </w:p>
        </w:tc>
        <w:tc>
          <w:tcPr>
            <w:tcW w:w="498" w:type="pct"/>
            <w:vAlign w:val="center"/>
            <w:vMerge w:val="restart"/>
            <w:textDirection w:val="lrTb"/>
            <w:noWrap w:val="false"/>
          </w:tcPr>
          <w:p>
            <w:pPr>
              <w:ind w:left="-109" w:right="-97"/>
              <w:jc w:val="center"/>
              <w:rPr>
                <w:sz w:val="20"/>
                <w:szCs w:val="20"/>
              </w:rPr>
            </w:pPr>
            <w:r>
              <w:rPr>
                <w:sz w:val="20"/>
                <w:szCs w:val="20"/>
              </w:rPr>
              <w:t xml:space="preserve">Год последнего </w:t>
            </w:r>
            <w:r>
              <w:rPr>
                <w:sz w:val="20"/>
                <w:szCs w:val="20"/>
              </w:rPr>
            </w:r>
            <w:r>
              <w:rPr>
                <w:sz w:val="20"/>
                <w:szCs w:val="20"/>
              </w:rPr>
            </w:r>
          </w:p>
          <w:p>
            <w:pPr>
              <w:ind w:left="-109" w:right="-97"/>
              <w:jc w:val="center"/>
              <w:rPr>
                <w:sz w:val="20"/>
                <w:szCs w:val="20"/>
              </w:rPr>
            </w:pPr>
            <w:r>
              <w:rPr>
                <w:sz w:val="20"/>
                <w:szCs w:val="20"/>
              </w:rPr>
              <w:t xml:space="preserve">капитального </w:t>
            </w:r>
            <w:r>
              <w:rPr>
                <w:sz w:val="20"/>
                <w:szCs w:val="20"/>
              </w:rPr>
            </w:r>
            <w:r>
              <w:rPr>
                <w:sz w:val="20"/>
                <w:szCs w:val="20"/>
              </w:rPr>
            </w:r>
          </w:p>
          <w:p>
            <w:pPr>
              <w:ind w:left="-109" w:right="-97"/>
              <w:jc w:val="center"/>
              <w:rPr>
                <w:sz w:val="20"/>
                <w:szCs w:val="20"/>
              </w:rPr>
            </w:pPr>
            <w:r>
              <w:rPr>
                <w:sz w:val="20"/>
                <w:szCs w:val="20"/>
              </w:rPr>
              <w:t xml:space="preserve">ремонта </w:t>
            </w:r>
            <w:r>
              <w:rPr>
                <w:sz w:val="20"/>
                <w:szCs w:val="20"/>
              </w:rPr>
            </w:r>
            <w:r>
              <w:rPr>
                <w:sz w:val="20"/>
                <w:szCs w:val="20"/>
              </w:rPr>
            </w:r>
          </w:p>
        </w:tc>
        <w:tc>
          <w:tcPr>
            <w:tcW w:w="380" w:type="pct"/>
            <w:vAlign w:val="center"/>
            <w:vMerge w:val="restart"/>
            <w:textDirection w:val="lrTb"/>
            <w:noWrap w:val="false"/>
          </w:tcPr>
          <w:p>
            <w:pPr>
              <w:ind w:left="-109" w:right="-97"/>
              <w:jc w:val="center"/>
              <w:rPr>
                <w:sz w:val="20"/>
                <w:szCs w:val="20"/>
              </w:rPr>
            </w:pPr>
            <w:r>
              <w:rPr>
                <w:sz w:val="20"/>
                <w:szCs w:val="20"/>
              </w:rPr>
              <w:t xml:space="preserve">Уровень износа</w:t>
            </w:r>
            <w:r>
              <w:rPr>
                <w:sz w:val="20"/>
                <w:szCs w:val="20"/>
              </w:rPr>
            </w:r>
            <w:r>
              <w:rPr>
                <w:sz w:val="20"/>
                <w:szCs w:val="20"/>
              </w:rPr>
            </w:r>
          </w:p>
          <w:p>
            <w:pPr>
              <w:ind w:left="-109" w:right="-97"/>
              <w:jc w:val="center"/>
              <w:rPr>
                <w:sz w:val="20"/>
                <w:szCs w:val="20"/>
              </w:rPr>
            </w:pPr>
            <w:r>
              <w:rPr>
                <w:sz w:val="20"/>
                <w:szCs w:val="20"/>
              </w:rPr>
              <w:t xml:space="preserve"> (%)</w:t>
            </w:r>
            <w:r>
              <w:rPr>
                <w:sz w:val="20"/>
                <w:szCs w:val="20"/>
              </w:rPr>
            </w:r>
            <w:r>
              <w:rPr>
                <w:sz w:val="20"/>
                <w:szCs w:val="20"/>
              </w:rPr>
            </w:r>
          </w:p>
        </w:tc>
        <w:tc>
          <w:tcPr>
            <w:tcW w:w="439" w:type="pct"/>
            <w:vAlign w:val="center"/>
            <w:vMerge w:val="restart"/>
            <w:textDirection w:val="lrTb"/>
            <w:noWrap w:val="false"/>
          </w:tcPr>
          <w:p>
            <w:pPr>
              <w:ind w:left="-109" w:right="-97"/>
              <w:jc w:val="center"/>
              <w:rPr>
                <w:sz w:val="20"/>
                <w:szCs w:val="20"/>
              </w:rPr>
            </w:pPr>
            <w:r>
              <w:rPr>
                <w:sz w:val="20"/>
                <w:szCs w:val="20"/>
              </w:rPr>
              <w:t xml:space="preserve">Мощность котлов, Гкал.час.</w:t>
            </w:r>
            <w:r>
              <w:rPr>
                <w:sz w:val="20"/>
                <w:szCs w:val="20"/>
              </w:rPr>
            </w:r>
            <w:r>
              <w:rPr>
                <w:sz w:val="20"/>
                <w:szCs w:val="20"/>
              </w:rPr>
            </w:r>
          </w:p>
        </w:tc>
        <w:tc>
          <w:tcPr>
            <w:tcW w:w="593" w:type="pct"/>
            <w:vAlign w:val="center"/>
            <w:vMerge w:val="continue"/>
            <w:textDirection w:val="lrTb"/>
            <w:noWrap w:val="false"/>
          </w:tcPr>
          <w:p>
            <w:pPr>
              <w:ind w:left="-142" w:right="-142"/>
              <w:rPr>
                <w:sz w:val="20"/>
                <w:szCs w:val="20"/>
              </w:rPr>
            </w:pPr>
            <w:r>
              <w:rPr>
                <w:sz w:val="20"/>
                <w:szCs w:val="20"/>
              </w:rPr>
            </w:r>
            <w:r>
              <w:rPr>
                <w:sz w:val="20"/>
                <w:szCs w:val="20"/>
              </w:rPr>
            </w:r>
            <w:r>
              <w:rPr>
                <w:sz w:val="20"/>
                <w:szCs w:val="20"/>
              </w:rPr>
            </w:r>
          </w:p>
        </w:tc>
      </w:tr>
      <w:tr>
        <w:tblPrEx/>
        <w:trPr>
          <w:cantSplit/>
          <w:trHeight w:val="255"/>
        </w:trPr>
        <w:tc>
          <w:tcPr>
            <w:tcW w:w="1228" w:type="pct"/>
            <w:vAlign w:val="center"/>
            <w:vMerge w:val="restart"/>
            <w:textDirection w:val="lrTb"/>
            <w:noWrap w:val="false"/>
          </w:tcPr>
          <w:p>
            <w:pPr>
              <w:ind w:left="-142" w:right="-142"/>
              <w:jc w:val="center"/>
              <w:rPr>
                <w:sz w:val="20"/>
                <w:szCs w:val="20"/>
              </w:rPr>
            </w:pPr>
            <w:r>
              <w:rPr>
                <w:color w:val="000000"/>
                <w:sz w:val="20"/>
                <w:szCs w:val="20"/>
              </w:rPr>
              <w:t xml:space="preserve">Котельная </w:t>
            </w:r>
            <w:r>
              <w:rPr>
                <w:rFonts w:ascii="Liberation Serif" w:hAnsi="Liberation Serif" w:cs="Calibri"/>
                <w:color w:val="000000"/>
                <w:sz w:val="20"/>
                <w:szCs w:val="20"/>
              </w:rPr>
              <w:t xml:space="preserve">п. Новый Мир, ЛПДС «Юргамыш»</w:t>
            </w:r>
            <w:r>
              <w:rPr>
                <w:sz w:val="20"/>
                <w:szCs w:val="20"/>
              </w:rPr>
            </w:r>
            <w:r>
              <w:rPr>
                <w:sz w:val="20"/>
                <w:szCs w:val="20"/>
              </w:rPr>
            </w:r>
          </w:p>
        </w:tc>
        <w:tc>
          <w:tcPr>
            <w:tcW w:w="508" w:type="pct"/>
            <w:vAlign w:val="center"/>
            <w:vMerge w:val="restart"/>
            <w:textDirection w:val="lrTb"/>
            <w:noWrap w:val="false"/>
          </w:tcPr>
          <w:p>
            <w:pPr>
              <w:ind w:left="-142" w:right="-142"/>
              <w:jc w:val="center"/>
              <w:rPr>
                <w:sz w:val="20"/>
                <w:szCs w:val="20"/>
              </w:rPr>
            </w:pPr>
            <w:r>
              <w:rPr>
                <w:sz w:val="20"/>
                <w:szCs w:val="20"/>
              </w:rPr>
              <w:t xml:space="preserve">2006</w:t>
            </w:r>
            <w:r>
              <w:rPr>
                <w:sz w:val="20"/>
                <w:szCs w:val="20"/>
              </w:rPr>
            </w:r>
            <w:r>
              <w:rPr>
                <w:sz w:val="20"/>
                <w:szCs w:val="20"/>
              </w:rPr>
            </w:r>
          </w:p>
        </w:tc>
        <w:tc>
          <w:tcPr>
            <w:tcW w:w="835" w:type="pct"/>
            <w:vAlign w:val="center"/>
            <w:textDirection w:val="lrTb"/>
            <w:noWrap w:val="false"/>
          </w:tcPr>
          <w:p>
            <w:pPr>
              <w:jc w:val="center"/>
              <w:rPr>
                <w:sz w:val="20"/>
                <w:szCs w:val="20"/>
              </w:rPr>
            </w:pPr>
            <w:r>
              <w:rPr>
                <w:sz w:val="20"/>
                <w:szCs w:val="20"/>
              </w:rPr>
              <w:t xml:space="preserve">КВЖ-8,12-115ГМ</w:t>
            </w:r>
            <w:r>
              <w:rPr>
                <w:sz w:val="20"/>
                <w:szCs w:val="20"/>
              </w:rPr>
            </w:r>
            <w:r>
              <w:rPr>
                <w:sz w:val="20"/>
                <w:szCs w:val="20"/>
              </w:rPr>
            </w:r>
          </w:p>
        </w:tc>
        <w:tc>
          <w:tcPr>
            <w:tcW w:w="519" w:type="pct"/>
            <w:vAlign w:val="center"/>
            <w:textDirection w:val="lrTb"/>
            <w:noWrap w:val="false"/>
          </w:tcPr>
          <w:p>
            <w:pPr>
              <w:ind w:left="-142" w:right="-142"/>
              <w:jc w:val="center"/>
              <w:rPr>
                <w:sz w:val="20"/>
                <w:szCs w:val="20"/>
              </w:rPr>
            </w:pPr>
            <w:r>
              <w:rPr>
                <w:sz w:val="20"/>
                <w:szCs w:val="20"/>
              </w:rPr>
              <w:t xml:space="preserve">2006</w:t>
            </w:r>
            <w:r>
              <w:rPr>
                <w:sz w:val="20"/>
                <w:szCs w:val="20"/>
              </w:rPr>
            </w:r>
            <w:r>
              <w:rPr>
                <w:sz w:val="20"/>
                <w:szCs w:val="20"/>
              </w:rPr>
            </w:r>
          </w:p>
        </w:tc>
        <w:tc>
          <w:tcPr>
            <w:tcW w:w="498" w:type="pct"/>
            <w:vAlign w:val="center"/>
            <w:textDirection w:val="lrTb"/>
            <w:noWrap w:val="false"/>
          </w:tcPr>
          <w:p>
            <w:pPr>
              <w:ind w:left="-142" w:right="-142"/>
              <w:jc w:val="center"/>
              <w:rPr>
                <w:sz w:val="20"/>
                <w:szCs w:val="20"/>
              </w:rPr>
            </w:pPr>
            <w:r>
              <w:rPr>
                <w:sz w:val="20"/>
                <w:szCs w:val="20"/>
              </w:rPr>
              <w:t xml:space="preserve">2016</w:t>
            </w:r>
            <w:r>
              <w:rPr>
                <w:sz w:val="20"/>
                <w:szCs w:val="20"/>
              </w:rPr>
            </w:r>
            <w:r>
              <w:rPr>
                <w:sz w:val="20"/>
                <w:szCs w:val="20"/>
              </w:rPr>
            </w:r>
          </w:p>
        </w:tc>
        <w:tc>
          <w:tcPr>
            <w:tcW w:w="380" w:type="pct"/>
            <w:vAlign w:val="center"/>
            <w:textDirection w:val="lrTb"/>
            <w:noWrap w:val="false"/>
          </w:tcPr>
          <w:p>
            <w:pPr>
              <w:ind w:left="-142" w:right="-142"/>
              <w:jc w:val="center"/>
              <w:rPr>
                <w:sz w:val="20"/>
                <w:szCs w:val="20"/>
              </w:rPr>
            </w:pPr>
            <w:r>
              <w:rPr>
                <w:sz w:val="20"/>
                <w:szCs w:val="20"/>
              </w:rPr>
              <w:t xml:space="preserve">53</w:t>
            </w:r>
            <w:r>
              <w:rPr>
                <w:sz w:val="20"/>
                <w:szCs w:val="20"/>
              </w:rPr>
            </w:r>
            <w:r>
              <w:rPr>
                <w:sz w:val="20"/>
                <w:szCs w:val="20"/>
              </w:rPr>
            </w:r>
          </w:p>
        </w:tc>
        <w:tc>
          <w:tcPr>
            <w:tcW w:w="439" w:type="pct"/>
            <w:vAlign w:val="center"/>
            <w:textDirection w:val="lrTb"/>
            <w:noWrap w:val="false"/>
          </w:tcPr>
          <w:p>
            <w:pPr>
              <w:ind w:left="-142" w:right="-142"/>
              <w:jc w:val="center"/>
              <w:rPr>
                <w:sz w:val="20"/>
                <w:szCs w:val="20"/>
              </w:rPr>
            </w:pPr>
            <w:r>
              <w:rPr>
                <w:sz w:val="20"/>
                <w:szCs w:val="20"/>
              </w:rPr>
              <w:t xml:space="preserve">7,00</w:t>
            </w:r>
            <w:r>
              <w:rPr>
                <w:sz w:val="20"/>
                <w:szCs w:val="20"/>
              </w:rPr>
            </w:r>
            <w:r>
              <w:rPr>
                <w:sz w:val="20"/>
                <w:szCs w:val="20"/>
              </w:rPr>
            </w:r>
          </w:p>
        </w:tc>
        <w:tc>
          <w:tcPr>
            <w:tcW w:w="593" w:type="pct"/>
            <w:vAlign w:val="center"/>
            <w:vMerge w:val="restart"/>
            <w:textDirection w:val="lrTb"/>
            <w:noWrap w:val="false"/>
          </w:tcPr>
          <w:p>
            <w:pPr>
              <w:ind w:left="-142" w:right="-142"/>
              <w:jc w:val="center"/>
              <w:rPr>
                <w:sz w:val="20"/>
                <w:szCs w:val="20"/>
              </w:rPr>
            </w:pPr>
            <w:r>
              <w:rPr>
                <w:sz w:val="20"/>
                <w:szCs w:val="20"/>
              </w:rPr>
              <w:t xml:space="preserve">7,798</w:t>
            </w:r>
            <w:r>
              <w:rPr>
                <w:sz w:val="20"/>
                <w:szCs w:val="20"/>
              </w:rPr>
            </w:r>
            <w:r>
              <w:rPr>
                <w:sz w:val="20"/>
                <w:szCs w:val="20"/>
              </w:rPr>
            </w:r>
          </w:p>
        </w:tc>
      </w:tr>
      <w:tr>
        <w:tblPrEx/>
        <w:trPr>
          <w:cantSplit/>
          <w:trHeight w:val="255"/>
        </w:trPr>
        <w:tc>
          <w:tcPr>
            <w:tcW w:w="1228"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c>
          <w:tcPr>
            <w:tcW w:w="508"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c>
          <w:tcPr>
            <w:tcW w:w="835" w:type="pct"/>
            <w:vAlign w:val="center"/>
            <w:textDirection w:val="lrTb"/>
            <w:noWrap w:val="false"/>
          </w:tcPr>
          <w:p>
            <w:pPr>
              <w:jc w:val="center"/>
            </w:pPr>
            <w:r>
              <w:rPr>
                <w:sz w:val="20"/>
                <w:szCs w:val="20"/>
              </w:rPr>
              <w:t xml:space="preserve">КВЖ-8,12-115ГМ</w:t>
            </w:r>
            <w:r/>
          </w:p>
        </w:tc>
        <w:tc>
          <w:tcPr>
            <w:tcW w:w="519" w:type="pct"/>
            <w:vAlign w:val="center"/>
            <w:textDirection w:val="lrTb"/>
            <w:noWrap w:val="false"/>
          </w:tcPr>
          <w:p>
            <w:pPr>
              <w:ind w:left="-142" w:right="-142"/>
              <w:jc w:val="center"/>
              <w:rPr>
                <w:sz w:val="20"/>
                <w:szCs w:val="20"/>
              </w:rPr>
            </w:pPr>
            <w:r>
              <w:rPr>
                <w:sz w:val="20"/>
                <w:szCs w:val="20"/>
              </w:rPr>
              <w:t xml:space="preserve">2006</w:t>
            </w:r>
            <w:r>
              <w:rPr>
                <w:sz w:val="20"/>
                <w:szCs w:val="20"/>
              </w:rPr>
            </w:r>
            <w:r>
              <w:rPr>
                <w:sz w:val="20"/>
                <w:szCs w:val="20"/>
              </w:rPr>
            </w:r>
          </w:p>
        </w:tc>
        <w:tc>
          <w:tcPr>
            <w:tcW w:w="498" w:type="pct"/>
            <w:vAlign w:val="center"/>
            <w:textDirection w:val="lrTb"/>
            <w:noWrap w:val="false"/>
          </w:tcPr>
          <w:p>
            <w:pPr>
              <w:ind w:left="-142" w:right="-142"/>
              <w:jc w:val="center"/>
              <w:rPr>
                <w:sz w:val="20"/>
                <w:szCs w:val="20"/>
              </w:rPr>
            </w:pPr>
            <w:r>
              <w:rPr>
                <w:sz w:val="20"/>
                <w:szCs w:val="20"/>
              </w:rPr>
              <w:t xml:space="preserve">2018</w:t>
            </w:r>
            <w:r>
              <w:rPr>
                <w:sz w:val="20"/>
                <w:szCs w:val="20"/>
              </w:rPr>
            </w:r>
            <w:r>
              <w:rPr>
                <w:sz w:val="20"/>
                <w:szCs w:val="20"/>
              </w:rPr>
            </w:r>
          </w:p>
        </w:tc>
        <w:tc>
          <w:tcPr>
            <w:tcW w:w="380" w:type="pct"/>
            <w:vAlign w:val="center"/>
            <w:textDirection w:val="lrTb"/>
            <w:noWrap w:val="false"/>
          </w:tcPr>
          <w:p>
            <w:pPr>
              <w:ind w:left="-142" w:right="-142"/>
              <w:jc w:val="center"/>
              <w:rPr>
                <w:sz w:val="20"/>
                <w:szCs w:val="20"/>
              </w:rPr>
            </w:pPr>
            <w:r>
              <w:rPr>
                <w:sz w:val="20"/>
                <w:szCs w:val="20"/>
              </w:rPr>
              <w:t xml:space="preserve">40</w:t>
            </w:r>
            <w:r>
              <w:rPr>
                <w:sz w:val="20"/>
                <w:szCs w:val="20"/>
              </w:rPr>
            </w:r>
            <w:r>
              <w:rPr>
                <w:sz w:val="20"/>
                <w:szCs w:val="20"/>
              </w:rPr>
            </w:r>
          </w:p>
        </w:tc>
        <w:tc>
          <w:tcPr>
            <w:tcW w:w="439" w:type="pct"/>
            <w:vAlign w:val="center"/>
            <w:textDirection w:val="lrTb"/>
            <w:noWrap w:val="false"/>
          </w:tcPr>
          <w:p>
            <w:pPr>
              <w:ind w:left="-142" w:right="-142"/>
              <w:jc w:val="center"/>
              <w:rPr>
                <w:sz w:val="20"/>
                <w:szCs w:val="20"/>
              </w:rPr>
            </w:pPr>
            <w:r>
              <w:rPr>
                <w:sz w:val="20"/>
                <w:szCs w:val="20"/>
              </w:rPr>
              <w:t xml:space="preserve">7,00</w:t>
            </w:r>
            <w:r>
              <w:rPr>
                <w:sz w:val="20"/>
                <w:szCs w:val="20"/>
              </w:rPr>
            </w:r>
            <w:r>
              <w:rPr>
                <w:sz w:val="20"/>
                <w:szCs w:val="20"/>
              </w:rPr>
            </w:r>
          </w:p>
        </w:tc>
        <w:tc>
          <w:tcPr>
            <w:tcW w:w="593"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r>
      <w:tr>
        <w:tblPrEx/>
        <w:trPr>
          <w:cantSplit/>
          <w:trHeight w:val="255"/>
        </w:trPr>
        <w:tc>
          <w:tcPr>
            <w:tcW w:w="1228"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c>
          <w:tcPr>
            <w:tcW w:w="508"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c>
          <w:tcPr>
            <w:tcW w:w="835" w:type="pct"/>
            <w:vAlign w:val="center"/>
            <w:textDirection w:val="lrTb"/>
            <w:noWrap w:val="false"/>
          </w:tcPr>
          <w:p>
            <w:pPr>
              <w:jc w:val="center"/>
            </w:pPr>
            <w:r>
              <w:rPr>
                <w:sz w:val="20"/>
                <w:szCs w:val="20"/>
              </w:rPr>
              <w:t xml:space="preserve">КВЖ-8,12-115ГМ</w:t>
            </w:r>
            <w:r/>
          </w:p>
        </w:tc>
        <w:tc>
          <w:tcPr>
            <w:tcW w:w="519" w:type="pct"/>
            <w:vAlign w:val="center"/>
            <w:textDirection w:val="lrTb"/>
            <w:noWrap w:val="false"/>
          </w:tcPr>
          <w:p>
            <w:pPr>
              <w:ind w:left="-142" w:right="-142"/>
              <w:jc w:val="center"/>
              <w:rPr>
                <w:sz w:val="20"/>
                <w:szCs w:val="20"/>
              </w:rPr>
            </w:pPr>
            <w:r>
              <w:rPr>
                <w:sz w:val="20"/>
                <w:szCs w:val="20"/>
              </w:rPr>
              <w:t xml:space="preserve">2006</w:t>
            </w:r>
            <w:r>
              <w:rPr>
                <w:sz w:val="20"/>
                <w:szCs w:val="20"/>
              </w:rPr>
            </w:r>
            <w:r>
              <w:rPr>
                <w:sz w:val="20"/>
                <w:szCs w:val="20"/>
              </w:rPr>
            </w:r>
          </w:p>
        </w:tc>
        <w:tc>
          <w:tcPr>
            <w:tcW w:w="498" w:type="pct"/>
            <w:vAlign w:val="center"/>
            <w:textDirection w:val="lrTb"/>
            <w:noWrap w:val="false"/>
          </w:tcPr>
          <w:p>
            <w:pPr>
              <w:ind w:left="-142" w:right="-142"/>
              <w:jc w:val="center"/>
              <w:rPr>
                <w:sz w:val="20"/>
                <w:szCs w:val="20"/>
              </w:rPr>
            </w:pPr>
            <w:r>
              <w:rPr>
                <w:sz w:val="20"/>
                <w:szCs w:val="20"/>
              </w:rPr>
              <w:t xml:space="preserve">2024</w:t>
            </w:r>
            <w:r>
              <w:rPr>
                <w:sz w:val="20"/>
                <w:szCs w:val="20"/>
              </w:rPr>
            </w:r>
            <w:r>
              <w:rPr>
                <w:sz w:val="20"/>
                <w:szCs w:val="20"/>
              </w:rPr>
            </w:r>
          </w:p>
        </w:tc>
        <w:tc>
          <w:tcPr>
            <w:tcW w:w="380" w:type="pct"/>
            <w:vAlign w:val="center"/>
            <w:textDirection w:val="lrTb"/>
            <w:noWrap w:val="false"/>
          </w:tcPr>
          <w:p>
            <w:pPr>
              <w:ind w:left="-142" w:right="-142"/>
              <w:jc w:val="center"/>
              <w:rPr>
                <w:sz w:val="20"/>
                <w:szCs w:val="20"/>
              </w:rPr>
            </w:pPr>
            <w:r>
              <w:rPr>
                <w:sz w:val="20"/>
                <w:szCs w:val="20"/>
              </w:rPr>
              <w:t xml:space="preserve">0</w:t>
            </w:r>
            <w:r>
              <w:rPr>
                <w:sz w:val="20"/>
                <w:szCs w:val="20"/>
              </w:rPr>
            </w:r>
            <w:r>
              <w:rPr>
                <w:sz w:val="20"/>
                <w:szCs w:val="20"/>
              </w:rPr>
            </w:r>
          </w:p>
        </w:tc>
        <w:tc>
          <w:tcPr>
            <w:tcW w:w="439" w:type="pct"/>
            <w:vAlign w:val="center"/>
            <w:textDirection w:val="lrTb"/>
            <w:noWrap w:val="false"/>
          </w:tcPr>
          <w:p>
            <w:pPr>
              <w:ind w:left="-142" w:right="-142"/>
              <w:jc w:val="center"/>
              <w:rPr>
                <w:sz w:val="20"/>
                <w:szCs w:val="20"/>
              </w:rPr>
            </w:pPr>
            <w:r>
              <w:rPr>
                <w:sz w:val="20"/>
                <w:szCs w:val="20"/>
              </w:rPr>
              <w:t xml:space="preserve">7,00</w:t>
            </w:r>
            <w:r>
              <w:rPr>
                <w:sz w:val="20"/>
                <w:szCs w:val="20"/>
              </w:rPr>
            </w:r>
            <w:r>
              <w:rPr>
                <w:sz w:val="20"/>
                <w:szCs w:val="20"/>
              </w:rPr>
            </w:r>
          </w:p>
        </w:tc>
        <w:tc>
          <w:tcPr>
            <w:tcW w:w="593"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r>
      <w:tr>
        <w:tblPrEx/>
        <w:trPr>
          <w:cantSplit/>
          <w:trHeight w:val="255"/>
        </w:trPr>
        <w:tc>
          <w:tcPr>
            <w:tcW w:w="1228" w:type="pct"/>
            <w:vAlign w:val="center"/>
            <w:textDirection w:val="lrTb"/>
            <w:noWrap w:val="false"/>
          </w:tcPr>
          <w:p>
            <w:pPr>
              <w:ind w:left="-142" w:right="-142"/>
              <w:jc w:val="center"/>
              <w:rPr>
                <w:sz w:val="20"/>
                <w:szCs w:val="20"/>
              </w:rPr>
            </w:pPr>
            <w:r>
              <w:rPr>
                <w:sz w:val="20"/>
                <w:szCs w:val="20"/>
              </w:rPr>
              <w:t xml:space="preserve">Итого</w:t>
            </w:r>
            <w:r>
              <w:rPr>
                <w:sz w:val="20"/>
                <w:szCs w:val="20"/>
              </w:rPr>
            </w:r>
            <w:r>
              <w:rPr>
                <w:sz w:val="20"/>
                <w:szCs w:val="20"/>
              </w:rPr>
            </w:r>
          </w:p>
        </w:tc>
        <w:tc>
          <w:tcPr>
            <w:tcW w:w="508"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835" w:type="pct"/>
            <w:vAlign w:val="center"/>
            <w:textDirection w:val="lrTb"/>
            <w:noWrap w:val="false"/>
          </w:tcPr>
          <w:p>
            <w:pPr>
              <w:ind w:left="-142" w:right="-142"/>
              <w:jc w:val="center"/>
              <w:rPr>
                <w:sz w:val="20"/>
                <w:szCs w:val="20"/>
              </w:rPr>
            </w:pPr>
            <w:r>
              <w:rPr>
                <w:sz w:val="20"/>
                <w:szCs w:val="20"/>
              </w:rPr>
              <w:t xml:space="preserve">3 ед.</w:t>
            </w:r>
            <w:r>
              <w:rPr>
                <w:sz w:val="20"/>
                <w:szCs w:val="20"/>
              </w:rPr>
            </w:r>
            <w:r>
              <w:rPr>
                <w:sz w:val="20"/>
                <w:szCs w:val="20"/>
              </w:rPr>
            </w:r>
          </w:p>
        </w:tc>
        <w:tc>
          <w:tcPr>
            <w:tcW w:w="519"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98"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380"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39" w:type="pct"/>
            <w:vAlign w:val="center"/>
            <w:textDirection w:val="lrTb"/>
            <w:noWrap w:val="false"/>
          </w:tcPr>
          <w:p>
            <w:pPr>
              <w:ind w:left="-142" w:right="-142"/>
              <w:jc w:val="center"/>
              <w:rPr>
                <w:sz w:val="20"/>
                <w:szCs w:val="20"/>
              </w:rPr>
            </w:pPr>
            <w:r>
              <w:rPr>
                <w:sz w:val="20"/>
                <w:szCs w:val="20"/>
              </w:rPr>
              <w:t xml:space="preserve">21,0</w:t>
            </w:r>
            <w:r>
              <w:rPr>
                <w:sz w:val="20"/>
                <w:szCs w:val="20"/>
              </w:rPr>
            </w:r>
            <w:r>
              <w:rPr>
                <w:sz w:val="20"/>
                <w:szCs w:val="20"/>
              </w:rPr>
            </w:r>
          </w:p>
        </w:tc>
        <w:tc>
          <w:tcPr>
            <w:tcW w:w="593"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r>
      <w:tr>
        <w:tblPrEx/>
        <w:trPr>
          <w:cantSplit/>
          <w:trHeight w:val="297"/>
        </w:trPr>
        <w:tc>
          <w:tcPr>
            <w:tcW w:w="1228" w:type="pct"/>
            <w:vAlign w:val="center"/>
            <w:vMerge w:val="restart"/>
            <w:textDirection w:val="lrTb"/>
            <w:noWrap w:val="false"/>
          </w:tcPr>
          <w:p>
            <w:pPr>
              <w:ind w:left="-142" w:right="-142"/>
              <w:jc w:val="center"/>
              <w:rPr>
                <w:sz w:val="20"/>
                <w:szCs w:val="20"/>
              </w:rPr>
            </w:pPr>
            <w:r>
              <w:rPr>
                <w:color w:val="000000"/>
                <w:sz w:val="20"/>
                <w:szCs w:val="20"/>
              </w:rPr>
              <w:t xml:space="preserve">Котельная </w:t>
            </w:r>
            <w:r>
              <w:rPr>
                <w:rFonts w:ascii="Liberation Serif" w:hAnsi="Liberation Serif" w:cs="Calibri"/>
                <w:color w:val="000000"/>
                <w:sz w:val="20"/>
                <w:szCs w:val="20"/>
              </w:rPr>
              <w:t xml:space="preserve">р.п.  Юргамыш, ул. Железнодорожная, территория тягловой подстанции ОАО «РЖД»</w:t>
            </w:r>
            <w:r>
              <w:rPr>
                <w:sz w:val="20"/>
                <w:szCs w:val="20"/>
              </w:rPr>
            </w:r>
            <w:r>
              <w:rPr>
                <w:sz w:val="20"/>
                <w:szCs w:val="20"/>
              </w:rPr>
            </w:r>
          </w:p>
        </w:tc>
        <w:tc>
          <w:tcPr>
            <w:tcW w:w="508" w:type="pct"/>
            <w:vAlign w:val="center"/>
            <w:vMerge w:val="restart"/>
            <w:textDirection w:val="lrTb"/>
            <w:noWrap w:val="false"/>
          </w:tcPr>
          <w:p>
            <w:pPr>
              <w:ind w:left="-142" w:right="-142"/>
              <w:jc w:val="center"/>
              <w:rPr>
                <w:sz w:val="20"/>
                <w:szCs w:val="20"/>
              </w:rPr>
            </w:pPr>
            <w:r>
              <w:rPr>
                <w:sz w:val="20"/>
                <w:szCs w:val="20"/>
              </w:rPr>
              <w:t xml:space="preserve">2001</w:t>
            </w:r>
            <w:r>
              <w:rPr>
                <w:sz w:val="20"/>
                <w:szCs w:val="20"/>
              </w:rPr>
            </w:r>
            <w:r>
              <w:rPr>
                <w:sz w:val="20"/>
                <w:szCs w:val="20"/>
              </w:rPr>
            </w:r>
          </w:p>
        </w:tc>
        <w:tc>
          <w:tcPr>
            <w:tcW w:w="835" w:type="pct"/>
            <w:vAlign w:val="center"/>
            <w:textDirection w:val="lrTb"/>
            <w:noWrap w:val="false"/>
          </w:tcPr>
          <w:p>
            <w:pPr>
              <w:jc w:val="center"/>
              <w:rPr>
                <w:sz w:val="20"/>
                <w:szCs w:val="20"/>
              </w:rPr>
            </w:pPr>
            <w:r>
              <w:rPr>
                <w:sz w:val="20"/>
                <w:szCs w:val="20"/>
              </w:rPr>
              <w:t xml:space="preserve">НР-18Ф-0,63</w:t>
            </w:r>
            <w:r>
              <w:rPr>
                <w:sz w:val="20"/>
                <w:szCs w:val="20"/>
              </w:rPr>
            </w:r>
            <w:r>
              <w:rPr>
                <w:sz w:val="20"/>
                <w:szCs w:val="20"/>
              </w:rPr>
            </w:r>
          </w:p>
        </w:tc>
        <w:tc>
          <w:tcPr>
            <w:tcW w:w="519" w:type="pct"/>
            <w:vAlign w:val="center"/>
            <w:textDirection w:val="lrTb"/>
            <w:noWrap w:val="false"/>
          </w:tcPr>
          <w:p>
            <w:pPr>
              <w:ind w:left="-142" w:right="-142"/>
              <w:jc w:val="center"/>
              <w:rPr>
                <w:sz w:val="20"/>
                <w:szCs w:val="20"/>
              </w:rPr>
            </w:pPr>
            <w:r>
              <w:rPr>
                <w:sz w:val="20"/>
                <w:szCs w:val="20"/>
              </w:rPr>
              <w:t xml:space="preserve">2001</w:t>
            </w:r>
            <w:r>
              <w:rPr>
                <w:sz w:val="20"/>
                <w:szCs w:val="20"/>
              </w:rPr>
            </w:r>
            <w:r>
              <w:rPr>
                <w:sz w:val="20"/>
                <w:szCs w:val="20"/>
              </w:rPr>
            </w:r>
          </w:p>
        </w:tc>
        <w:tc>
          <w:tcPr>
            <w:tcW w:w="498" w:type="pct"/>
            <w:vAlign w:val="center"/>
            <w:textDirection w:val="lrTb"/>
            <w:noWrap w:val="false"/>
          </w:tcPr>
          <w:p>
            <w:pPr>
              <w:ind w:left="-142" w:right="-142"/>
              <w:jc w:val="center"/>
              <w:rPr>
                <w:sz w:val="20"/>
                <w:szCs w:val="20"/>
              </w:rPr>
            </w:pPr>
            <w:r>
              <w:rPr>
                <w:sz w:val="20"/>
                <w:szCs w:val="20"/>
              </w:rPr>
              <w:t xml:space="preserve">2016</w:t>
            </w:r>
            <w:r>
              <w:rPr>
                <w:sz w:val="20"/>
                <w:szCs w:val="20"/>
              </w:rPr>
            </w:r>
            <w:r>
              <w:rPr>
                <w:sz w:val="20"/>
                <w:szCs w:val="20"/>
              </w:rPr>
            </w:r>
          </w:p>
        </w:tc>
        <w:tc>
          <w:tcPr>
            <w:tcW w:w="380" w:type="pct"/>
            <w:vAlign w:val="center"/>
            <w:textDirection w:val="lrTb"/>
            <w:noWrap w:val="false"/>
          </w:tcPr>
          <w:p>
            <w:pPr>
              <w:ind w:left="-142" w:right="-142"/>
              <w:jc w:val="center"/>
              <w:rPr>
                <w:sz w:val="20"/>
                <w:szCs w:val="20"/>
              </w:rPr>
            </w:pPr>
            <w:r>
              <w:rPr>
                <w:sz w:val="20"/>
                <w:szCs w:val="20"/>
              </w:rPr>
              <w:t xml:space="preserve">80</w:t>
            </w:r>
            <w:r>
              <w:rPr>
                <w:sz w:val="20"/>
                <w:szCs w:val="20"/>
              </w:rPr>
            </w:r>
            <w:r>
              <w:rPr>
                <w:sz w:val="20"/>
                <w:szCs w:val="20"/>
              </w:rPr>
            </w:r>
          </w:p>
        </w:tc>
        <w:tc>
          <w:tcPr>
            <w:tcW w:w="439" w:type="pct"/>
            <w:vAlign w:val="center"/>
            <w:textDirection w:val="lrTb"/>
            <w:noWrap w:val="false"/>
          </w:tcPr>
          <w:p>
            <w:pPr>
              <w:ind w:left="-142" w:right="-142"/>
              <w:jc w:val="center"/>
              <w:rPr>
                <w:sz w:val="20"/>
                <w:szCs w:val="20"/>
              </w:rPr>
            </w:pPr>
            <w:r>
              <w:rPr>
                <w:sz w:val="20"/>
                <w:szCs w:val="20"/>
              </w:rPr>
              <w:t xml:space="preserve">0,48</w:t>
            </w:r>
            <w:r>
              <w:rPr>
                <w:sz w:val="20"/>
                <w:szCs w:val="20"/>
              </w:rPr>
            </w:r>
            <w:r>
              <w:rPr>
                <w:sz w:val="20"/>
                <w:szCs w:val="20"/>
              </w:rPr>
            </w:r>
          </w:p>
        </w:tc>
        <w:tc>
          <w:tcPr>
            <w:tcW w:w="593" w:type="pct"/>
            <w:vAlign w:val="center"/>
            <w:vMerge w:val="restart"/>
            <w:textDirection w:val="lrTb"/>
            <w:noWrap w:val="false"/>
          </w:tcPr>
          <w:p>
            <w:pPr>
              <w:ind w:left="-142" w:right="-142"/>
              <w:jc w:val="center"/>
              <w:rPr>
                <w:sz w:val="20"/>
                <w:szCs w:val="20"/>
              </w:rPr>
            </w:pPr>
            <w:r>
              <w:rPr>
                <w:sz w:val="20"/>
                <w:szCs w:val="20"/>
              </w:rPr>
              <w:t xml:space="preserve">0,</w:t>
            </w:r>
            <w:r>
              <w:rPr>
                <w:sz w:val="20"/>
                <w:szCs w:val="20"/>
              </w:rPr>
              <w:t xml:space="preserve">3732</w:t>
            </w:r>
            <w:r>
              <w:rPr>
                <w:sz w:val="20"/>
                <w:szCs w:val="20"/>
              </w:rPr>
            </w:r>
            <w:r>
              <w:rPr>
                <w:sz w:val="20"/>
                <w:szCs w:val="20"/>
              </w:rPr>
            </w:r>
          </w:p>
        </w:tc>
      </w:tr>
      <w:tr>
        <w:tblPrEx/>
        <w:trPr>
          <w:cantSplit/>
          <w:trHeight w:val="255"/>
        </w:trPr>
        <w:tc>
          <w:tcPr>
            <w:tcW w:w="1228"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c>
          <w:tcPr>
            <w:tcW w:w="508"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c>
          <w:tcPr>
            <w:tcW w:w="835" w:type="pct"/>
            <w:vAlign w:val="center"/>
            <w:textDirection w:val="lrTb"/>
            <w:noWrap w:val="false"/>
          </w:tcPr>
          <w:p>
            <w:pPr>
              <w:jc w:val="center"/>
            </w:pPr>
            <w:r>
              <w:rPr>
                <w:sz w:val="20"/>
                <w:szCs w:val="20"/>
              </w:rPr>
              <w:t xml:space="preserve">НР-18Ф-0,63</w:t>
            </w:r>
            <w:r/>
          </w:p>
        </w:tc>
        <w:tc>
          <w:tcPr>
            <w:tcW w:w="519" w:type="pct"/>
            <w:vAlign w:val="center"/>
            <w:textDirection w:val="lrTb"/>
            <w:noWrap w:val="false"/>
          </w:tcPr>
          <w:p>
            <w:pPr>
              <w:ind w:left="-142" w:right="-142"/>
              <w:jc w:val="center"/>
              <w:rPr>
                <w:sz w:val="20"/>
                <w:szCs w:val="20"/>
              </w:rPr>
            </w:pPr>
            <w:r>
              <w:rPr>
                <w:sz w:val="20"/>
                <w:szCs w:val="20"/>
              </w:rPr>
              <w:t xml:space="preserve">2003</w:t>
            </w:r>
            <w:r>
              <w:rPr>
                <w:sz w:val="20"/>
                <w:szCs w:val="20"/>
              </w:rPr>
            </w:r>
            <w:r>
              <w:rPr>
                <w:sz w:val="20"/>
                <w:szCs w:val="20"/>
              </w:rPr>
            </w:r>
          </w:p>
        </w:tc>
        <w:tc>
          <w:tcPr>
            <w:tcW w:w="498" w:type="pct"/>
            <w:vAlign w:val="center"/>
            <w:textDirection w:val="lrTb"/>
            <w:noWrap w:val="false"/>
          </w:tcPr>
          <w:p>
            <w:pPr>
              <w:ind w:left="-142" w:right="-142"/>
              <w:jc w:val="center"/>
              <w:rPr>
                <w:sz w:val="20"/>
                <w:szCs w:val="20"/>
              </w:rPr>
            </w:pPr>
            <w:r>
              <w:rPr>
                <w:sz w:val="20"/>
                <w:szCs w:val="20"/>
              </w:rPr>
              <w:t xml:space="preserve">2018</w:t>
            </w:r>
            <w:r>
              <w:rPr>
                <w:sz w:val="20"/>
                <w:szCs w:val="20"/>
              </w:rPr>
            </w:r>
            <w:r>
              <w:rPr>
                <w:sz w:val="20"/>
                <w:szCs w:val="20"/>
              </w:rPr>
            </w:r>
          </w:p>
        </w:tc>
        <w:tc>
          <w:tcPr>
            <w:tcW w:w="380" w:type="pct"/>
            <w:vAlign w:val="center"/>
            <w:textDirection w:val="lrTb"/>
            <w:noWrap w:val="false"/>
          </w:tcPr>
          <w:p>
            <w:pPr>
              <w:ind w:left="-142" w:right="-142"/>
              <w:jc w:val="center"/>
              <w:rPr>
                <w:sz w:val="20"/>
                <w:szCs w:val="20"/>
              </w:rPr>
            </w:pPr>
            <w:r>
              <w:rPr>
                <w:sz w:val="20"/>
                <w:szCs w:val="20"/>
              </w:rPr>
              <w:t xml:space="preserve">60</w:t>
            </w:r>
            <w:r>
              <w:rPr>
                <w:sz w:val="20"/>
                <w:szCs w:val="20"/>
              </w:rPr>
            </w:r>
            <w:r>
              <w:rPr>
                <w:sz w:val="20"/>
                <w:szCs w:val="20"/>
              </w:rPr>
            </w:r>
          </w:p>
        </w:tc>
        <w:tc>
          <w:tcPr>
            <w:tcW w:w="439" w:type="pct"/>
            <w:vAlign w:val="center"/>
            <w:textDirection w:val="lrTb"/>
            <w:noWrap w:val="false"/>
          </w:tcPr>
          <w:p>
            <w:pPr>
              <w:ind w:left="-142" w:right="-142"/>
              <w:jc w:val="center"/>
              <w:rPr>
                <w:sz w:val="20"/>
                <w:szCs w:val="20"/>
              </w:rPr>
            </w:pPr>
            <w:r>
              <w:rPr>
                <w:sz w:val="20"/>
                <w:szCs w:val="20"/>
              </w:rPr>
              <w:t xml:space="preserve">0,48</w:t>
            </w:r>
            <w:r>
              <w:rPr>
                <w:sz w:val="20"/>
                <w:szCs w:val="20"/>
              </w:rPr>
            </w:r>
            <w:r>
              <w:rPr>
                <w:sz w:val="20"/>
                <w:szCs w:val="20"/>
              </w:rPr>
            </w:r>
          </w:p>
        </w:tc>
        <w:tc>
          <w:tcPr>
            <w:tcW w:w="593"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r>
      <w:tr>
        <w:tblPrEx/>
        <w:trPr>
          <w:cantSplit/>
          <w:trHeight w:val="255"/>
        </w:trPr>
        <w:tc>
          <w:tcPr>
            <w:tcW w:w="1228" w:type="pct"/>
            <w:vAlign w:val="center"/>
            <w:textDirection w:val="lrTb"/>
            <w:noWrap w:val="false"/>
          </w:tcPr>
          <w:p>
            <w:pPr>
              <w:ind w:left="-142" w:right="-142"/>
              <w:jc w:val="center"/>
              <w:rPr>
                <w:sz w:val="20"/>
                <w:szCs w:val="20"/>
              </w:rPr>
            </w:pPr>
            <w:r>
              <w:rPr>
                <w:sz w:val="20"/>
                <w:szCs w:val="20"/>
              </w:rPr>
              <w:t xml:space="preserve">Итого</w:t>
            </w:r>
            <w:r>
              <w:rPr>
                <w:sz w:val="20"/>
                <w:szCs w:val="20"/>
              </w:rPr>
            </w:r>
            <w:r>
              <w:rPr>
                <w:sz w:val="20"/>
                <w:szCs w:val="20"/>
              </w:rPr>
            </w:r>
          </w:p>
        </w:tc>
        <w:tc>
          <w:tcPr>
            <w:tcW w:w="508"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835" w:type="pct"/>
            <w:vAlign w:val="center"/>
            <w:textDirection w:val="lrTb"/>
            <w:noWrap w:val="false"/>
          </w:tcPr>
          <w:p>
            <w:pPr>
              <w:ind w:left="-142" w:right="-142"/>
              <w:jc w:val="center"/>
              <w:rPr>
                <w:sz w:val="20"/>
                <w:szCs w:val="20"/>
              </w:rPr>
            </w:pPr>
            <w:r>
              <w:rPr>
                <w:sz w:val="20"/>
                <w:szCs w:val="20"/>
              </w:rPr>
              <w:t xml:space="preserve">2 ед.</w:t>
            </w:r>
            <w:r>
              <w:rPr>
                <w:sz w:val="20"/>
                <w:szCs w:val="20"/>
              </w:rPr>
            </w:r>
            <w:r>
              <w:rPr>
                <w:sz w:val="20"/>
                <w:szCs w:val="20"/>
              </w:rPr>
            </w:r>
          </w:p>
        </w:tc>
        <w:tc>
          <w:tcPr>
            <w:tcW w:w="519"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98"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380"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39" w:type="pct"/>
            <w:vAlign w:val="center"/>
            <w:textDirection w:val="lrTb"/>
            <w:noWrap w:val="false"/>
          </w:tcPr>
          <w:p>
            <w:pPr>
              <w:ind w:left="-142" w:right="-142"/>
              <w:jc w:val="center"/>
              <w:rPr>
                <w:sz w:val="20"/>
                <w:szCs w:val="20"/>
              </w:rPr>
            </w:pPr>
            <w:r>
              <w:rPr>
                <w:sz w:val="20"/>
                <w:szCs w:val="20"/>
              </w:rPr>
              <w:t xml:space="preserve">0,96</w:t>
            </w:r>
            <w:r>
              <w:rPr>
                <w:sz w:val="20"/>
                <w:szCs w:val="20"/>
              </w:rPr>
            </w:r>
            <w:r>
              <w:rPr>
                <w:sz w:val="20"/>
                <w:szCs w:val="20"/>
              </w:rPr>
            </w:r>
          </w:p>
        </w:tc>
        <w:tc>
          <w:tcPr>
            <w:tcW w:w="593"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r>
      <w:tr>
        <w:tblPrEx/>
        <w:trPr>
          <w:cantSplit/>
          <w:trHeight w:val="495"/>
        </w:trPr>
        <w:tc>
          <w:tcPr>
            <w:tcW w:w="1228" w:type="pct"/>
            <w:vAlign w:val="center"/>
            <w:vMerge w:val="restart"/>
            <w:textDirection w:val="lrTb"/>
            <w:noWrap w:val="false"/>
          </w:tcPr>
          <w:p>
            <w:pPr>
              <w:ind w:left="-142" w:right="-142"/>
              <w:jc w:val="center"/>
              <w:rPr>
                <w:sz w:val="20"/>
                <w:szCs w:val="20"/>
              </w:rPr>
            </w:pPr>
            <w:r>
              <w:rPr>
                <w:sz w:val="20"/>
                <w:szCs w:val="20"/>
              </w:rPr>
              <w:t xml:space="preserve">Котельная ФКУ ИК №7 УФСИН России по Курганской области,</w:t>
            </w:r>
            <w:r>
              <w:rPr>
                <w:rFonts w:ascii="Liberation Serif" w:hAnsi="Liberation Serif" w:cs="Calibri"/>
                <w:color w:val="000000"/>
                <w:sz w:val="20"/>
                <w:szCs w:val="20"/>
              </w:rPr>
              <w:t xml:space="preserve"> Курганская область, р.п. Юргамыш, ул. </w:t>
            </w:r>
            <w:r>
              <w:rPr>
                <w:rFonts w:ascii="Liberation Serif" w:hAnsi="Liberation Serif" w:cs="Calibri"/>
                <w:color w:val="000000"/>
                <w:sz w:val="20"/>
                <w:szCs w:val="20"/>
              </w:rPr>
              <w:t xml:space="preserve">Труда, 147</w:t>
            </w:r>
            <w:r>
              <w:rPr>
                <w:sz w:val="20"/>
                <w:szCs w:val="20"/>
              </w:rPr>
            </w:r>
            <w:r>
              <w:rPr>
                <w:sz w:val="20"/>
                <w:szCs w:val="20"/>
              </w:rPr>
            </w:r>
          </w:p>
        </w:tc>
        <w:tc>
          <w:tcPr>
            <w:tcW w:w="508" w:type="pct"/>
            <w:vAlign w:val="center"/>
            <w:vMerge w:val="restart"/>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835" w:type="pct"/>
            <w:vAlign w:val="center"/>
            <w:textDirection w:val="lrTb"/>
            <w:noWrap w:val="false"/>
          </w:tcPr>
          <w:p>
            <w:pPr>
              <w:jc w:val="center"/>
              <w:rPr>
                <w:sz w:val="20"/>
                <w:szCs w:val="20"/>
              </w:rPr>
            </w:pPr>
            <w:r>
              <w:rPr>
                <w:sz w:val="20"/>
                <w:szCs w:val="20"/>
              </w:rPr>
              <w:t xml:space="preserve">КВр-2,5</w:t>
            </w:r>
            <w:r>
              <w:rPr>
                <w:sz w:val="20"/>
                <w:szCs w:val="20"/>
              </w:rPr>
            </w:r>
            <w:r>
              <w:rPr>
                <w:sz w:val="20"/>
                <w:szCs w:val="20"/>
              </w:rPr>
            </w:r>
          </w:p>
        </w:tc>
        <w:tc>
          <w:tcPr>
            <w:tcW w:w="519"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498" w:type="pct"/>
            <w:vAlign w:val="center"/>
            <w:textDirection w:val="lrTb"/>
            <w:noWrap w:val="false"/>
          </w:tcPr>
          <w:p>
            <w:pPr>
              <w:ind w:left="-142" w:right="-142"/>
              <w:jc w:val="center"/>
              <w:rPr>
                <w:sz w:val="20"/>
                <w:szCs w:val="20"/>
              </w:rPr>
            </w:pPr>
            <w:r>
              <w:rPr>
                <w:sz w:val="20"/>
                <w:szCs w:val="20"/>
              </w:rPr>
              <w:t xml:space="preserve">н/д </w:t>
            </w:r>
            <w:r>
              <w:rPr>
                <w:sz w:val="20"/>
                <w:szCs w:val="20"/>
              </w:rPr>
            </w:r>
            <w:r>
              <w:rPr>
                <w:sz w:val="20"/>
                <w:szCs w:val="20"/>
              </w:rPr>
            </w:r>
          </w:p>
        </w:tc>
        <w:tc>
          <w:tcPr>
            <w:tcW w:w="380" w:type="pct"/>
            <w:vAlign w:val="center"/>
            <w:textDirection w:val="lrTb"/>
            <w:noWrap w:val="false"/>
          </w:tcPr>
          <w:p>
            <w:pPr>
              <w:ind w:left="-142" w:right="-142"/>
              <w:jc w:val="center"/>
              <w:rPr>
                <w:sz w:val="20"/>
                <w:szCs w:val="20"/>
              </w:rPr>
            </w:pPr>
            <w:r>
              <w:rPr>
                <w:sz w:val="20"/>
                <w:szCs w:val="20"/>
              </w:rPr>
              <w:t xml:space="preserve">н/д </w:t>
            </w:r>
            <w:r>
              <w:rPr>
                <w:sz w:val="20"/>
                <w:szCs w:val="20"/>
              </w:rPr>
            </w:r>
            <w:r>
              <w:rPr>
                <w:sz w:val="20"/>
                <w:szCs w:val="20"/>
              </w:rPr>
            </w:r>
          </w:p>
        </w:tc>
        <w:tc>
          <w:tcPr>
            <w:tcW w:w="439" w:type="pct"/>
            <w:vAlign w:val="center"/>
            <w:textDirection w:val="lrTb"/>
            <w:noWrap w:val="false"/>
          </w:tcPr>
          <w:p>
            <w:pPr>
              <w:ind w:left="-142" w:right="-142"/>
              <w:jc w:val="center"/>
              <w:rPr>
                <w:sz w:val="20"/>
                <w:szCs w:val="20"/>
              </w:rPr>
            </w:pPr>
            <w:r>
              <w:rPr>
                <w:sz w:val="20"/>
                <w:szCs w:val="20"/>
              </w:rPr>
              <w:t xml:space="preserve">2,15</w:t>
            </w:r>
            <w:r>
              <w:rPr>
                <w:sz w:val="20"/>
                <w:szCs w:val="20"/>
              </w:rPr>
            </w:r>
            <w:r>
              <w:rPr>
                <w:sz w:val="20"/>
                <w:szCs w:val="20"/>
              </w:rPr>
            </w:r>
          </w:p>
        </w:tc>
        <w:tc>
          <w:tcPr>
            <w:tcW w:w="593" w:type="pct"/>
            <w:vAlign w:val="center"/>
            <w:vMerge w:val="restart"/>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r>
      <w:tr>
        <w:tblPrEx/>
        <w:trPr>
          <w:cantSplit/>
          <w:trHeight w:val="255"/>
        </w:trPr>
        <w:tc>
          <w:tcPr>
            <w:tcW w:w="1228"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c>
          <w:tcPr>
            <w:tcW w:w="508"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c>
          <w:tcPr>
            <w:tcW w:w="835" w:type="pct"/>
            <w:vAlign w:val="center"/>
            <w:textDirection w:val="lrTb"/>
            <w:noWrap w:val="false"/>
          </w:tcPr>
          <w:p>
            <w:pPr>
              <w:jc w:val="center"/>
            </w:pPr>
            <w:r>
              <w:rPr>
                <w:sz w:val="20"/>
                <w:szCs w:val="20"/>
              </w:rPr>
              <w:t xml:space="preserve">КЕ-4/14</w:t>
            </w:r>
            <w:r/>
          </w:p>
        </w:tc>
        <w:tc>
          <w:tcPr>
            <w:tcW w:w="519"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498"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380"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439" w:type="pct"/>
            <w:vAlign w:val="center"/>
            <w:textDirection w:val="lrTb"/>
            <w:noWrap w:val="false"/>
          </w:tcPr>
          <w:p>
            <w:pPr>
              <w:ind w:left="-142" w:right="-142"/>
              <w:jc w:val="center"/>
              <w:rPr>
                <w:sz w:val="20"/>
                <w:szCs w:val="20"/>
              </w:rPr>
            </w:pPr>
            <w:r>
              <w:rPr>
                <w:sz w:val="20"/>
                <w:szCs w:val="20"/>
              </w:rPr>
              <w:t xml:space="preserve">4,00</w:t>
            </w:r>
            <w:r>
              <w:rPr>
                <w:sz w:val="20"/>
                <w:szCs w:val="20"/>
              </w:rPr>
            </w:r>
            <w:r>
              <w:rPr>
                <w:sz w:val="20"/>
                <w:szCs w:val="20"/>
              </w:rPr>
            </w:r>
          </w:p>
        </w:tc>
        <w:tc>
          <w:tcPr>
            <w:tcW w:w="593"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r>
      <w:tr>
        <w:tblPrEx/>
        <w:trPr>
          <w:cantSplit/>
          <w:trHeight w:val="255"/>
        </w:trPr>
        <w:tc>
          <w:tcPr>
            <w:tcW w:w="1228" w:type="pct"/>
            <w:vAlign w:val="center"/>
            <w:textDirection w:val="lrTb"/>
            <w:noWrap w:val="false"/>
          </w:tcPr>
          <w:p>
            <w:pPr>
              <w:ind w:left="-142" w:right="-142"/>
              <w:jc w:val="center"/>
              <w:rPr>
                <w:sz w:val="20"/>
                <w:szCs w:val="20"/>
              </w:rPr>
            </w:pPr>
            <w:r>
              <w:rPr>
                <w:sz w:val="20"/>
                <w:szCs w:val="20"/>
              </w:rPr>
              <w:t xml:space="preserve">Итого</w:t>
            </w:r>
            <w:r>
              <w:rPr>
                <w:sz w:val="20"/>
                <w:szCs w:val="20"/>
              </w:rPr>
            </w:r>
            <w:r>
              <w:rPr>
                <w:sz w:val="20"/>
                <w:szCs w:val="20"/>
              </w:rPr>
            </w:r>
          </w:p>
        </w:tc>
        <w:tc>
          <w:tcPr>
            <w:tcW w:w="508"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835" w:type="pct"/>
            <w:vAlign w:val="center"/>
            <w:textDirection w:val="lrTb"/>
            <w:noWrap w:val="false"/>
          </w:tcPr>
          <w:p>
            <w:pPr>
              <w:ind w:left="-142" w:right="-142"/>
              <w:jc w:val="center"/>
              <w:rPr>
                <w:sz w:val="20"/>
                <w:szCs w:val="20"/>
              </w:rPr>
            </w:pPr>
            <w:r>
              <w:rPr>
                <w:sz w:val="20"/>
                <w:szCs w:val="20"/>
              </w:rPr>
              <w:t xml:space="preserve">2 ед.</w:t>
            </w:r>
            <w:r>
              <w:rPr>
                <w:sz w:val="20"/>
                <w:szCs w:val="20"/>
              </w:rPr>
            </w:r>
            <w:r>
              <w:rPr>
                <w:sz w:val="20"/>
                <w:szCs w:val="20"/>
              </w:rPr>
            </w:r>
          </w:p>
        </w:tc>
        <w:tc>
          <w:tcPr>
            <w:tcW w:w="519"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98"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380"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39" w:type="pct"/>
            <w:vAlign w:val="center"/>
            <w:textDirection w:val="lrTb"/>
            <w:noWrap w:val="false"/>
          </w:tcPr>
          <w:p>
            <w:pPr>
              <w:ind w:left="-142" w:right="-142"/>
              <w:jc w:val="center"/>
              <w:rPr>
                <w:sz w:val="20"/>
                <w:szCs w:val="20"/>
              </w:rPr>
            </w:pPr>
            <w:r>
              <w:rPr>
                <w:sz w:val="20"/>
                <w:szCs w:val="20"/>
              </w:rPr>
              <w:t xml:space="preserve">6,15</w:t>
            </w:r>
            <w:r>
              <w:rPr>
                <w:sz w:val="20"/>
                <w:szCs w:val="20"/>
              </w:rPr>
            </w:r>
            <w:r>
              <w:rPr>
                <w:sz w:val="20"/>
                <w:szCs w:val="20"/>
              </w:rPr>
            </w:r>
          </w:p>
        </w:tc>
        <w:tc>
          <w:tcPr>
            <w:tcW w:w="593"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r>
      <w:tr>
        <w:tblPrEx/>
        <w:trPr>
          <w:cantSplit/>
          <w:trHeight w:val="255"/>
        </w:trPr>
        <w:tc>
          <w:tcPr>
            <w:tcW w:w="1228" w:type="pct"/>
            <w:vAlign w:val="center"/>
            <w:vMerge w:val="restart"/>
            <w:textDirection w:val="lrTb"/>
            <w:noWrap w:val="false"/>
          </w:tcPr>
          <w:p>
            <w:pPr>
              <w:ind w:right="-15"/>
              <w:jc w:val="center"/>
              <w:rPr>
                <w:sz w:val="20"/>
                <w:szCs w:val="20"/>
              </w:rPr>
            </w:pPr>
            <w:r>
              <w:rPr>
                <w:sz w:val="20"/>
                <w:szCs w:val="20"/>
              </w:rPr>
              <w:t xml:space="preserve">Котельная </w:t>
            </w:r>
            <w:r>
              <w:rPr>
                <w:rFonts w:ascii="Liberation Serif" w:hAnsi="Liberation Serif" w:cs="Calibri"/>
                <w:color w:val="000000"/>
                <w:sz w:val="20"/>
                <w:szCs w:val="20"/>
              </w:rPr>
              <w:t xml:space="preserve">р.п. Юргамыш, ул. Ленина, 47а</w:t>
            </w:r>
            <w:r>
              <w:rPr>
                <w:sz w:val="20"/>
                <w:szCs w:val="20"/>
              </w:rPr>
            </w:r>
            <w:r>
              <w:rPr>
                <w:sz w:val="20"/>
                <w:szCs w:val="20"/>
              </w:rPr>
            </w:r>
          </w:p>
        </w:tc>
        <w:tc>
          <w:tcPr>
            <w:tcW w:w="508" w:type="pct"/>
            <w:vAlign w:val="center"/>
            <w:vMerge w:val="restart"/>
            <w:textDirection w:val="lrTb"/>
            <w:noWrap w:val="false"/>
          </w:tcPr>
          <w:p>
            <w:pPr>
              <w:ind w:left="-142" w:right="-142"/>
              <w:jc w:val="center"/>
              <w:rPr>
                <w:sz w:val="20"/>
                <w:szCs w:val="20"/>
              </w:rPr>
            </w:pPr>
            <w:r>
              <w:rPr>
                <w:sz w:val="20"/>
                <w:szCs w:val="20"/>
              </w:rPr>
              <w:t xml:space="preserve">2011</w:t>
            </w:r>
            <w:r>
              <w:rPr>
                <w:sz w:val="20"/>
                <w:szCs w:val="20"/>
              </w:rPr>
            </w:r>
            <w:r>
              <w:rPr>
                <w:sz w:val="20"/>
                <w:szCs w:val="20"/>
              </w:rPr>
            </w:r>
          </w:p>
        </w:tc>
        <w:tc>
          <w:tcPr>
            <w:tcW w:w="835"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519"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498"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380"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439"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593" w:type="pct"/>
            <w:vAlign w:val="center"/>
            <w:vMerge w:val="restart"/>
            <w:textDirection w:val="lrTb"/>
            <w:noWrap w:val="false"/>
          </w:tcPr>
          <w:p>
            <w:pPr>
              <w:ind w:left="-142" w:right="-142"/>
              <w:jc w:val="center"/>
              <w:rPr>
                <w:sz w:val="20"/>
                <w:szCs w:val="20"/>
              </w:rPr>
            </w:pPr>
            <w:r>
              <w:rPr>
                <w:sz w:val="20"/>
                <w:szCs w:val="20"/>
              </w:rPr>
              <w:t xml:space="preserve">3,324</w:t>
            </w:r>
            <w:r>
              <w:rPr>
                <w:sz w:val="20"/>
                <w:szCs w:val="20"/>
              </w:rPr>
            </w:r>
            <w:r>
              <w:rPr>
                <w:sz w:val="20"/>
                <w:szCs w:val="20"/>
              </w:rPr>
            </w:r>
          </w:p>
        </w:tc>
      </w:tr>
      <w:tr>
        <w:tblPrEx/>
        <w:trPr>
          <w:cantSplit/>
          <w:trHeight w:val="255"/>
        </w:trPr>
        <w:tc>
          <w:tcPr>
            <w:tcW w:w="1228" w:type="pct"/>
            <w:vAlign w:val="center"/>
            <w:vMerge w:val="continue"/>
            <w:textDirection w:val="lrTb"/>
            <w:noWrap w:val="false"/>
          </w:tcPr>
          <w:p>
            <w:pPr>
              <w:ind w:right="-15"/>
              <w:jc w:val="center"/>
              <w:rPr>
                <w:sz w:val="20"/>
                <w:szCs w:val="20"/>
              </w:rPr>
            </w:pPr>
            <w:r>
              <w:rPr>
                <w:sz w:val="20"/>
                <w:szCs w:val="20"/>
              </w:rPr>
            </w:r>
            <w:r>
              <w:rPr>
                <w:sz w:val="20"/>
                <w:szCs w:val="20"/>
              </w:rPr>
            </w:r>
            <w:r>
              <w:rPr>
                <w:sz w:val="20"/>
                <w:szCs w:val="20"/>
              </w:rPr>
            </w:r>
          </w:p>
        </w:tc>
        <w:tc>
          <w:tcPr>
            <w:tcW w:w="508"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c>
          <w:tcPr>
            <w:tcW w:w="835"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519"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498"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380"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439"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593"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r>
      <w:tr>
        <w:tblPrEx/>
        <w:trPr>
          <w:cantSplit/>
          <w:trHeight w:val="255"/>
        </w:trPr>
        <w:tc>
          <w:tcPr>
            <w:tcW w:w="1228" w:type="pct"/>
            <w:vAlign w:val="center"/>
            <w:vMerge w:val="continue"/>
            <w:textDirection w:val="lrTb"/>
            <w:noWrap w:val="false"/>
          </w:tcPr>
          <w:p>
            <w:pPr>
              <w:ind w:right="-15"/>
              <w:jc w:val="center"/>
              <w:rPr>
                <w:sz w:val="20"/>
                <w:szCs w:val="20"/>
              </w:rPr>
            </w:pPr>
            <w:r>
              <w:rPr>
                <w:sz w:val="20"/>
                <w:szCs w:val="20"/>
              </w:rPr>
            </w:r>
            <w:r>
              <w:rPr>
                <w:sz w:val="20"/>
                <w:szCs w:val="20"/>
              </w:rPr>
            </w:r>
            <w:r>
              <w:rPr>
                <w:sz w:val="20"/>
                <w:szCs w:val="20"/>
              </w:rPr>
            </w:r>
          </w:p>
        </w:tc>
        <w:tc>
          <w:tcPr>
            <w:tcW w:w="508"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c>
          <w:tcPr>
            <w:tcW w:w="835"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519"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498"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380"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439"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593"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r>
      <w:tr>
        <w:tblPrEx/>
        <w:trPr>
          <w:cantSplit/>
          <w:trHeight w:val="255"/>
        </w:trPr>
        <w:tc>
          <w:tcPr>
            <w:tcW w:w="1228" w:type="pct"/>
            <w:vAlign w:val="center"/>
            <w:vMerge w:val="continue"/>
            <w:textDirection w:val="lrTb"/>
            <w:noWrap w:val="false"/>
          </w:tcPr>
          <w:p>
            <w:pPr>
              <w:ind w:right="-15"/>
              <w:jc w:val="center"/>
              <w:rPr>
                <w:sz w:val="20"/>
                <w:szCs w:val="20"/>
              </w:rPr>
            </w:pPr>
            <w:r>
              <w:rPr>
                <w:sz w:val="20"/>
                <w:szCs w:val="20"/>
              </w:rPr>
            </w:r>
            <w:r>
              <w:rPr>
                <w:sz w:val="20"/>
                <w:szCs w:val="20"/>
              </w:rPr>
            </w:r>
            <w:r>
              <w:rPr>
                <w:sz w:val="20"/>
                <w:szCs w:val="20"/>
              </w:rPr>
            </w:r>
          </w:p>
        </w:tc>
        <w:tc>
          <w:tcPr>
            <w:tcW w:w="508"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c>
          <w:tcPr>
            <w:tcW w:w="835"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519"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498"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380"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439"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593"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r>
      <w:tr>
        <w:tblPrEx/>
        <w:trPr>
          <w:cantSplit/>
          <w:trHeight w:val="255"/>
        </w:trPr>
        <w:tc>
          <w:tcPr>
            <w:tcW w:w="1228" w:type="pct"/>
            <w:vAlign w:val="center"/>
            <w:textDirection w:val="lrTb"/>
            <w:noWrap w:val="false"/>
          </w:tcPr>
          <w:p>
            <w:pPr>
              <w:ind w:right="-15"/>
              <w:jc w:val="center"/>
              <w:rPr>
                <w:sz w:val="20"/>
                <w:szCs w:val="20"/>
              </w:rPr>
            </w:pPr>
            <w:r>
              <w:rPr>
                <w:sz w:val="20"/>
                <w:szCs w:val="20"/>
              </w:rPr>
              <w:t xml:space="preserve">Итого</w:t>
            </w:r>
            <w:r>
              <w:rPr>
                <w:sz w:val="20"/>
                <w:szCs w:val="20"/>
              </w:rPr>
            </w:r>
            <w:r>
              <w:rPr>
                <w:sz w:val="20"/>
                <w:szCs w:val="20"/>
              </w:rPr>
            </w:r>
          </w:p>
        </w:tc>
        <w:tc>
          <w:tcPr>
            <w:tcW w:w="508"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835" w:type="pct"/>
            <w:vAlign w:val="center"/>
            <w:textDirection w:val="lrTb"/>
            <w:noWrap w:val="false"/>
          </w:tcPr>
          <w:p>
            <w:pPr>
              <w:ind w:left="-142" w:right="-142"/>
              <w:jc w:val="center"/>
              <w:rPr>
                <w:sz w:val="20"/>
                <w:szCs w:val="20"/>
              </w:rPr>
            </w:pPr>
            <w:r>
              <w:rPr>
                <w:sz w:val="20"/>
                <w:szCs w:val="20"/>
              </w:rPr>
              <w:t xml:space="preserve">4 ед.</w:t>
            </w:r>
            <w:r>
              <w:rPr>
                <w:sz w:val="20"/>
                <w:szCs w:val="20"/>
              </w:rPr>
            </w:r>
            <w:r>
              <w:rPr>
                <w:sz w:val="20"/>
                <w:szCs w:val="20"/>
              </w:rPr>
            </w:r>
          </w:p>
        </w:tc>
        <w:tc>
          <w:tcPr>
            <w:tcW w:w="519"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98"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380"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39" w:type="pct"/>
            <w:vAlign w:val="center"/>
            <w:textDirection w:val="lrTb"/>
            <w:noWrap w:val="false"/>
          </w:tcPr>
          <w:p>
            <w:pPr>
              <w:ind w:left="-142" w:right="-142"/>
              <w:jc w:val="center"/>
              <w:rPr>
                <w:sz w:val="20"/>
                <w:szCs w:val="20"/>
              </w:rPr>
            </w:pPr>
            <w:r>
              <w:rPr>
                <w:sz w:val="20"/>
                <w:szCs w:val="20"/>
              </w:rPr>
              <w:t xml:space="preserve">4,81</w:t>
            </w:r>
            <w:r>
              <w:rPr>
                <w:sz w:val="20"/>
                <w:szCs w:val="20"/>
              </w:rPr>
            </w:r>
            <w:r>
              <w:rPr>
                <w:sz w:val="20"/>
                <w:szCs w:val="20"/>
              </w:rPr>
            </w:r>
          </w:p>
        </w:tc>
        <w:tc>
          <w:tcPr>
            <w:tcW w:w="593"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r>
      <w:tr>
        <w:tblPrEx/>
        <w:trPr>
          <w:cantSplit/>
          <w:trHeight w:val="255"/>
        </w:trPr>
        <w:tc>
          <w:tcPr>
            <w:gridSpan w:val="2"/>
            <w:tcW w:w="1736" w:type="pct"/>
            <w:vAlign w:val="center"/>
            <w:textDirection w:val="lrTb"/>
            <w:noWrap w:val="false"/>
          </w:tcPr>
          <w:p>
            <w:pPr>
              <w:ind w:left="-142" w:right="-142"/>
              <w:jc w:val="center"/>
              <w:rPr>
                <w:sz w:val="20"/>
                <w:szCs w:val="20"/>
              </w:rPr>
            </w:pPr>
            <w:r>
              <w:rPr>
                <w:sz w:val="20"/>
                <w:szCs w:val="20"/>
              </w:rPr>
              <w:t xml:space="preserve">Всего по всем котельным</w:t>
            </w:r>
            <w:r>
              <w:rPr>
                <w:sz w:val="20"/>
                <w:szCs w:val="20"/>
              </w:rPr>
            </w:r>
            <w:r>
              <w:rPr>
                <w:sz w:val="20"/>
                <w:szCs w:val="20"/>
              </w:rPr>
            </w:r>
          </w:p>
        </w:tc>
        <w:tc>
          <w:tcPr>
            <w:tcW w:w="835" w:type="pct"/>
            <w:vAlign w:val="center"/>
            <w:textDirection w:val="lrTb"/>
            <w:noWrap w:val="false"/>
          </w:tcPr>
          <w:p>
            <w:pPr>
              <w:ind w:left="-142" w:right="-142"/>
              <w:jc w:val="center"/>
              <w:rPr>
                <w:sz w:val="20"/>
                <w:szCs w:val="20"/>
              </w:rPr>
            </w:pPr>
            <w:r>
              <w:rPr>
                <w:sz w:val="20"/>
                <w:szCs w:val="20"/>
              </w:rPr>
              <w:t xml:space="preserve">11 ед.</w:t>
            </w:r>
            <w:r>
              <w:rPr>
                <w:sz w:val="20"/>
                <w:szCs w:val="20"/>
              </w:rPr>
            </w:r>
            <w:r>
              <w:rPr>
                <w:sz w:val="20"/>
                <w:szCs w:val="20"/>
              </w:rPr>
            </w:r>
          </w:p>
        </w:tc>
        <w:tc>
          <w:tcPr>
            <w:tcW w:w="519"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98"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380"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39" w:type="pct"/>
            <w:vAlign w:val="center"/>
            <w:textDirection w:val="lrTb"/>
            <w:noWrap w:val="false"/>
          </w:tcPr>
          <w:p>
            <w:pPr>
              <w:ind w:left="-142" w:right="-142"/>
              <w:jc w:val="center"/>
              <w:rPr>
                <w:sz w:val="20"/>
                <w:szCs w:val="20"/>
              </w:rPr>
            </w:pPr>
            <w:r>
              <w:rPr>
                <w:sz w:val="20"/>
                <w:szCs w:val="20"/>
              </w:rPr>
              <w:t xml:space="preserve">30,67</w:t>
            </w:r>
            <w:r>
              <w:rPr>
                <w:sz w:val="20"/>
                <w:szCs w:val="20"/>
              </w:rPr>
            </w:r>
            <w:r>
              <w:rPr>
                <w:sz w:val="20"/>
                <w:szCs w:val="20"/>
              </w:rPr>
            </w:r>
          </w:p>
        </w:tc>
        <w:tc>
          <w:tcPr>
            <w:tcW w:w="593"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r>
    </w:tbl>
    <w:p>
      <w:pPr>
        <w:jc w:val="center"/>
        <w:spacing w:before="72"/>
        <w:rPr>
          <w:sz w:val="24"/>
          <w:szCs w:val="24"/>
        </w:rPr>
      </w:pPr>
      <w:r>
        <w:rPr>
          <w:sz w:val="24"/>
          <w:szCs w:val="24"/>
        </w:rPr>
      </w:r>
      <w:r>
        <w:rPr>
          <w:sz w:val="24"/>
          <w:szCs w:val="24"/>
        </w:rPr>
      </w:r>
      <w:r>
        <w:rPr>
          <w:sz w:val="24"/>
          <w:szCs w:val="24"/>
        </w:rPr>
      </w:r>
    </w:p>
    <w:p>
      <w:pPr>
        <w:rPr>
          <w:sz w:val="24"/>
          <w:szCs w:val="24"/>
        </w:rPr>
      </w:pPr>
      <w:r>
        <w:rPr>
          <w:sz w:val="24"/>
          <w:szCs w:val="24"/>
        </w:rPr>
        <w:br w:type="page" w:clear="all"/>
      </w:r>
      <w:r>
        <w:rPr>
          <w:sz w:val="24"/>
          <w:szCs w:val="24"/>
        </w:rPr>
      </w:r>
      <w:r>
        <w:rPr>
          <w:sz w:val="24"/>
          <w:szCs w:val="24"/>
        </w:rPr>
      </w:r>
    </w:p>
    <w:p>
      <w:pPr>
        <w:ind w:left="1395"/>
        <w:jc w:val="right"/>
        <w:spacing w:before="72"/>
        <w:rPr>
          <w:sz w:val="24"/>
          <w:szCs w:val="24"/>
        </w:rPr>
      </w:pPr>
      <w:r>
        <w:rPr>
          <w:sz w:val="24"/>
          <w:szCs w:val="24"/>
        </w:rPr>
        <w:t xml:space="preserve">Таблица</w:t>
      </w:r>
      <w:r>
        <w:rPr>
          <w:spacing w:val="-8"/>
          <w:sz w:val="24"/>
          <w:szCs w:val="24"/>
        </w:rPr>
        <w:t xml:space="preserve"> </w:t>
      </w:r>
      <w:r>
        <w:rPr>
          <w:sz w:val="24"/>
          <w:szCs w:val="24"/>
        </w:rPr>
        <w:t xml:space="preserve">1.2.1.</w:t>
      </w:r>
      <w:r>
        <w:rPr>
          <w:sz w:val="24"/>
          <w:szCs w:val="24"/>
        </w:rPr>
        <w:t xml:space="preserve">4</w:t>
      </w:r>
      <w:r>
        <w:rPr>
          <w:sz w:val="24"/>
          <w:szCs w:val="24"/>
        </w:rPr>
      </w:r>
      <w:r>
        <w:rPr>
          <w:sz w:val="24"/>
          <w:szCs w:val="24"/>
        </w:rPr>
      </w:r>
    </w:p>
    <w:p>
      <w:pPr>
        <w:jc w:val="center"/>
        <w:spacing w:before="72"/>
        <w:rPr>
          <w:sz w:val="24"/>
          <w:szCs w:val="24"/>
        </w:rPr>
      </w:pPr>
      <w:r>
        <w:rPr>
          <w:sz w:val="24"/>
          <w:szCs w:val="24"/>
        </w:rPr>
        <w:t xml:space="preserve">Технические параметры вспомогательного оборудования централизованных источников теплоснабжения Юргамышского муниципального округа</w:t>
      </w:r>
      <w:r>
        <w:rPr>
          <w:sz w:val="24"/>
          <w:szCs w:val="24"/>
        </w:rPr>
      </w:r>
      <w:r>
        <w:rPr>
          <w:sz w:val="24"/>
          <w:szCs w:val="24"/>
        </w:rPr>
      </w:r>
    </w:p>
    <w:tbl>
      <w:tblPr>
        <w:tblW w:w="5000" w:type="pct"/>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3682"/>
        <w:gridCol w:w="3966"/>
        <w:gridCol w:w="2269"/>
        <w:gridCol w:w="1701"/>
        <w:gridCol w:w="1692"/>
        <w:gridCol w:w="1479"/>
      </w:tblGrid>
      <w:tr>
        <w:tblPrEx/>
        <w:trPr>
          <w:trHeight w:val="20"/>
        </w:trPr>
        <w:tc>
          <w:tcPr>
            <w:gridSpan w:val="6"/>
            <w:shd w:val="clear" w:color="auto" w:fill="auto"/>
            <w:tcW w:w="5000" w:type="pct"/>
            <w:vAlign w:val="center"/>
            <w:textDirection w:val="lrTb"/>
            <w:noWrap w:val="false"/>
          </w:tcPr>
          <w:p>
            <w:pPr>
              <w:jc w:val="center"/>
              <w:widowControl/>
              <w:rPr>
                <w:bCs/>
                <w:sz w:val="20"/>
                <w:szCs w:val="20"/>
                <w:lang w:eastAsia="ru-RU"/>
              </w:rPr>
            </w:pPr>
            <w:r>
              <w:rPr>
                <w:bCs/>
                <w:sz w:val="20"/>
                <w:szCs w:val="20"/>
                <w:lang w:eastAsia="ru-RU"/>
              </w:rPr>
              <w:t xml:space="preserve">Насосы</w:t>
            </w:r>
            <w:r>
              <w:rPr>
                <w:bCs/>
                <w:sz w:val="20"/>
                <w:szCs w:val="20"/>
                <w:lang w:eastAsia="ru-RU"/>
              </w:rPr>
            </w:r>
            <w:r>
              <w:rPr>
                <w:bCs/>
                <w:sz w:val="20"/>
                <w:szCs w:val="20"/>
                <w:lang w:eastAsia="ru-RU"/>
              </w:rPr>
            </w:r>
          </w:p>
        </w:tc>
      </w:tr>
      <w:tr>
        <w:tblPrEx/>
        <w:trPr>
          <w:trHeight w:val="20"/>
        </w:trPr>
        <w:tc>
          <w:tcPr>
            <w:shd w:val="clear" w:color="auto" w:fill="auto"/>
            <w:tcW w:w="1245" w:type="pct"/>
            <w:vAlign w:val="center"/>
            <w:vMerge w:val="restart"/>
            <w:textDirection w:val="lrTb"/>
            <w:noWrap w:val="false"/>
          </w:tcPr>
          <w:p>
            <w:pPr>
              <w:jc w:val="center"/>
              <w:widowControl/>
              <w:rPr>
                <w:bCs/>
                <w:sz w:val="20"/>
                <w:szCs w:val="20"/>
                <w:lang w:eastAsia="ru-RU"/>
              </w:rPr>
            </w:pPr>
            <w:r>
              <w:rPr>
                <w:bCs/>
                <w:sz w:val="20"/>
                <w:szCs w:val="20"/>
                <w:lang w:eastAsia="ru-RU"/>
              </w:rPr>
              <w:t xml:space="preserve">Марка насосов </w:t>
            </w:r>
            <w:r>
              <w:rPr>
                <w:bCs/>
                <w:sz w:val="20"/>
                <w:szCs w:val="20"/>
                <w:lang w:eastAsia="ru-RU"/>
              </w:rPr>
            </w:r>
            <w:r>
              <w:rPr>
                <w:bCs/>
                <w:sz w:val="20"/>
                <w:szCs w:val="20"/>
                <w:lang w:eastAsia="ru-RU"/>
              </w:rPr>
            </w:r>
          </w:p>
        </w:tc>
        <w:tc>
          <w:tcPr>
            <w:shd w:val="clear" w:color="auto" w:fill="auto"/>
            <w:tcW w:w="1341" w:type="pct"/>
            <w:vAlign w:val="center"/>
            <w:vMerge w:val="restart"/>
            <w:textDirection w:val="lrTb"/>
            <w:noWrap w:val="false"/>
          </w:tcPr>
          <w:p>
            <w:pPr>
              <w:jc w:val="center"/>
              <w:widowControl/>
              <w:rPr>
                <w:bCs/>
                <w:sz w:val="20"/>
                <w:szCs w:val="20"/>
                <w:lang w:eastAsia="ru-RU"/>
              </w:rPr>
            </w:pPr>
            <w:r>
              <w:rPr>
                <w:bCs/>
                <w:sz w:val="20"/>
                <w:szCs w:val="20"/>
                <w:lang w:eastAsia="ru-RU"/>
              </w:rPr>
              <w:t xml:space="preserve">Назначение</w:t>
            </w:r>
            <w:r>
              <w:rPr>
                <w:bCs/>
                <w:sz w:val="20"/>
                <w:szCs w:val="20"/>
                <w:lang w:eastAsia="ru-RU"/>
              </w:rPr>
            </w:r>
            <w:r>
              <w:rPr>
                <w:bCs/>
                <w:sz w:val="20"/>
                <w:szCs w:val="20"/>
                <w:lang w:eastAsia="ru-RU"/>
              </w:rPr>
            </w:r>
          </w:p>
        </w:tc>
        <w:tc>
          <w:tcPr>
            <w:shd w:val="clear" w:color="auto" w:fill="auto"/>
            <w:tcW w:w="767" w:type="pct"/>
            <w:vAlign w:val="center"/>
            <w:vMerge w:val="restart"/>
            <w:textDirection w:val="lrTb"/>
            <w:noWrap w:val="false"/>
          </w:tcPr>
          <w:p>
            <w:pPr>
              <w:jc w:val="center"/>
              <w:widowControl/>
              <w:rPr>
                <w:bCs/>
                <w:sz w:val="20"/>
                <w:szCs w:val="20"/>
                <w:lang w:eastAsia="ru-RU"/>
              </w:rPr>
            </w:pPr>
            <w:r>
              <w:rPr>
                <w:bCs/>
                <w:sz w:val="20"/>
                <w:szCs w:val="20"/>
                <w:lang w:eastAsia="ru-RU"/>
              </w:rPr>
              <w:t xml:space="preserve">Производительность, м³/ч</w:t>
            </w:r>
            <w:r>
              <w:rPr>
                <w:bCs/>
                <w:sz w:val="20"/>
                <w:szCs w:val="20"/>
                <w:lang w:eastAsia="ru-RU"/>
              </w:rPr>
            </w:r>
            <w:r>
              <w:rPr>
                <w:bCs/>
                <w:sz w:val="20"/>
                <w:szCs w:val="20"/>
                <w:lang w:eastAsia="ru-RU"/>
              </w:rPr>
            </w:r>
          </w:p>
        </w:tc>
        <w:tc>
          <w:tcPr>
            <w:shd w:val="clear" w:color="auto" w:fill="auto"/>
            <w:tcW w:w="575" w:type="pct"/>
            <w:vAlign w:val="center"/>
            <w:vMerge w:val="restart"/>
            <w:textDirection w:val="lrTb"/>
            <w:noWrap w:val="false"/>
          </w:tcPr>
          <w:p>
            <w:pPr>
              <w:jc w:val="center"/>
              <w:widowControl/>
              <w:rPr>
                <w:bCs/>
                <w:sz w:val="20"/>
                <w:szCs w:val="20"/>
                <w:lang w:eastAsia="ru-RU"/>
              </w:rPr>
            </w:pPr>
            <w:r>
              <w:rPr>
                <w:bCs/>
                <w:sz w:val="20"/>
                <w:szCs w:val="20"/>
                <w:lang w:eastAsia="ru-RU"/>
              </w:rPr>
              <w:t xml:space="preserve">Напор</w:t>
            </w:r>
            <w:r>
              <w:rPr>
                <w:bCs/>
                <w:sz w:val="20"/>
                <w:szCs w:val="20"/>
                <w:lang w:eastAsia="ru-RU"/>
              </w:rPr>
            </w:r>
            <w:r>
              <w:rPr>
                <w:bCs/>
                <w:sz w:val="20"/>
                <w:szCs w:val="20"/>
                <w:lang w:eastAsia="ru-RU"/>
              </w:rPr>
            </w:r>
          </w:p>
        </w:tc>
        <w:tc>
          <w:tcPr>
            <w:shd w:val="clear" w:color="auto" w:fill="auto"/>
            <w:tcW w:w="572" w:type="pct"/>
            <w:vAlign w:val="center"/>
            <w:vMerge w:val="restart"/>
            <w:textDirection w:val="lrTb"/>
            <w:noWrap w:val="false"/>
          </w:tcPr>
          <w:p>
            <w:pPr>
              <w:jc w:val="center"/>
              <w:widowControl/>
              <w:rPr>
                <w:bCs/>
                <w:sz w:val="20"/>
                <w:szCs w:val="20"/>
                <w:lang w:eastAsia="ru-RU"/>
              </w:rPr>
            </w:pPr>
            <w:r>
              <w:rPr>
                <w:bCs/>
                <w:sz w:val="20"/>
                <w:szCs w:val="20"/>
                <w:lang w:eastAsia="ru-RU"/>
              </w:rPr>
              <w:t xml:space="preserve">Мощность двигателя, кВт</w:t>
            </w:r>
            <w:r>
              <w:rPr>
                <w:bCs/>
                <w:sz w:val="20"/>
                <w:szCs w:val="20"/>
                <w:lang w:eastAsia="ru-RU"/>
              </w:rPr>
            </w:r>
            <w:r>
              <w:rPr>
                <w:bCs/>
                <w:sz w:val="20"/>
                <w:szCs w:val="20"/>
                <w:lang w:eastAsia="ru-RU"/>
              </w:rPr>
            </w:r>
          </w:p>
        </w:tc>
        <w:tc>
          <w:tcPr>
            <w:shd w:val="clear" w:color="auto" w:fill="auto"/>
            <w:tcW w:w="500" w:type="pct"/>
            <w:vAlign w:val="center"/>
            <w:textDirection w:val="lrTb"/>
            <w:noWrap w:val="false"/>
          </w:tcPr>
          <w:p>
            <w:pPr>
              <w:jc w:val="center"/>
              <w:widowControl/>
              <w:rPr>
                <w:bCs/>
                <w:sz w:val="20"/>
                <w:szCs w:val="20"/>
                <w:lang w:eastAsia="ru-RU"/>
              </w:rPr>
            </w:pPr>
            <w:r>
              <w:rPr>
                <w:bCs/>
                <w:sz w:val="20"/>
                <w:szCs w:val="20"/>
                <w:lang w:eastAsia="ru-RU"/>
              </w:rPr>
              <w:t xml:space="preserve">Кол-во</w:t>
            </w:r>
            <w:r>
              <w:rPr>
                <w:bCs/>
                <w:sz w:val="20"/>
                <w:szCs w:val="20"/>
                <w:lang w:eastAsia="ru-RU"/>
              </w:rPr>
            </w:r>
            <w:r>
              <w:rPr>
                <w:bCs/>
                <w:sz w:val="20"/>
                <w:szCs w:val="20"/>
                <w:lang w:eastAsia="ru-RU"/>
              </w:rPr>
            </w:r>
          </w:p>
        </w:tc>
      </w:tr>
      <w:tr>
        <w:tblPrEx/>
        <w:trPr>
          <w:trHeight w:val="20"/>
        </w:trPr>
        <w:tc>
          <w:tcPr>
            <w:shd w:val="clear" w:color="auto" w:fill="auto"/>
            <w:tcW w:w="1245" w:type="pct"/>
            <w:vAlign w:val="center"/>
            <w:vMerge w:val="continue"/>
            <w:textDirection w:val="lrTb"/>
            <w:noWrap w:val="false"/>
          </w:tcPr>
          <w:p>
            <w:pPr>
              <w:widowControl/>
              <w:rPr>
                <w:bCs/>
                <w:sz w:val="20"/>
                <w:szCs w:val="20"/>
                <w:lang w:eastAsia="ru-RU"/>
              </w:rPr>
            </w:pPr>
            <w:r>
              <w:rPr>
                <w:bCs/>
                <w:sz w:val="20"/>
                <w:szCs w:val="20"/>
                <w:lang w:eastAsia="ru-RU"/>
              </w:rPr>
            </w:r>
            <w:r>
              <w:rPr>
                <w:bCs/>
                <w:sz w:val="20"/>
                <w:szCs w:val="20"/>
                <w:lang w:eastAsia="ru-RU"/>
              </w:rPr>
            </w:r>
            <w:r>
              <w:rPr>
                <w:bCs/>
                <w:sz w:val="20"/>
                <w:szCs w:val="20"/>
                <w:lang w:eastAsia="ru-RU"/>
              </w:rPr>
            </w:r>
          </w:p>
        </w:tc>
        <w:tc>
          <w:tcPr>
            <w:shd w:val="clear" w:color="auto" w:fill="auto"/>
            <w:tcW w:w="1341" w:type="pct"/>
            <w:vAlign w:val="center"/>
            <w:vMerge w:val="continue"/>
            <w:textDirection w:val="lrTb"/>
            <w:noWrap w:val="false"/>
          </w:tcPr>
          <w:p>
            <w:pPr>
              <w:jc w:val="center"/>
              <w:widowControl/>
              <w:rPr>
                <w:bCs/>
                <w:sz w:val="20"/>
                <w:szCs w:val="20"/>
                <w:lang w:eastAsia="ru-RU"/>
              </w:rPr>
            </w:pPr>
            <w:r>
              <w:rPr>
                <w:bCs/>
                <w:sz w:val="20"/>
                <w:szCs w:val="20"/>
                <w:lang w:eastAsia="ru-RU"/>
              </w:rPr>
            </w:r>
            <w:r>
              <w:rPr>
                <w:bCs/>
                <w:sz w:val="20"/>
                <w:szCs w:val="20"/>
                <w:lang w:eastAsia="ru-RU"/>
              </w:rPr>
            </w:r>
            <w:r>
              <w:rPr>
                <w:bCs/>
                <w:sz w:val="20"/>
                <w:szCs w:val="20"/>
                <w:lang w:eastAsia="ru-RU"/>
              </w:rPr>
            </w:r>
          </w:p>
        </w:tc>
        <w:tc>
          <w:tcPr>
            <w:shd w:val="clear" w:color="auto" w:fill="auto"/>
            <w:tcW w:w="767" w:type="pct"/>
            <w:vAlign w:val="center"/>
            <w:vMerge w:val="continue"/>
            <w:textDirection w:val="lrTb"/>
            <w:noWrap w:val="false"/>
          </w:tcPr>
          <w:p>
            <w:pPr>
              <w:widowControl/>
              <w:rPr>
                <w:bCs/>
                <w:sz w:val="20"/>
                <w:szCs w:val="20"/>
                <w:lang w:eastAsia="ru-RU"/>
              </w:rPr>
            </w:pPr>
            <w:r>
              <w:rPr>
                <w:bCs/>
                <w:sz w:val="20"/>
                <w:szCs w:val="20"/>
                <w:lang w:eastAsia="ru-RU"/>
              </w:rPr>
            </w:r>
            <w:r>
              <w:rPr>
                <w:bCs/>
                <w:sz w:val="20"/>
                <w:szCs w:val="20"/>
                <w:lang w:eastAsia="ru-RU"/>
              </w:rPr>
            </w:r>
            <w:r>
              <w:rPr>
                <w:bCs/>
                <w:sz w:val="20"/>
                <w:szCs w:val="20"/>
                <w:lang w:eastAsia="ru-RU"/>
              </w:rPr>
            </w:r>
          </w:p>
        </w:tc>
        <w:tc>
          <w:tcPr>
            <w:shd w:val="clear" w:color="auto" w:fill="auto"/>
            <w:tcW w:w="575" w:type="pct"/>
            <w:vAlign w:val="center"/>
            <w:vMerge w:val="continue"/>
            <w:textDirection w:val="lrTb"/>
            <w:noWrap w:val="false"/>
          </w:tcPr>
          <w:p>
            <w:pPr>
              <w:widowControl/>
              <w:rPr>
                <w:bCs/>
                <w:sz w:val="20"/>
                <w:szCs w:val="20"/>
                <w:lang w:eastAsia="ru-RU"/>
              </w:rPr>
            </w:pPr>
            <w:r>
              <w:rPr>
                <w:bCs/>
                <w:sz w:val="20"/>
                <w:szCs w:val="20"/>
                <w:lang w:eastAsia="ru-RU"/>
              </w:rPr>
            </w:r>
            <w:r>
              <w:rPr>
                <w:bCs/>
                <w:sz w:val="20"/>
                <w:szCs w:val="20"/>
                <w:lang w:eastAsia="ru-RU"/>
              </w:rPr>
            </w:r>
            <w:r>
              <w:rPr>
                <w:bCs/>
                <w:sz w:val="20"/>
                <w:szCs w:val="20"/>
                <w:lang w:eastAsia="ru-RU"/>
              </w:rPr>
            </w:r>
          </w:p>
        </w:tc>
        <w:tc>
          <w:tcPr>
            <w:shd w:val="clear" w:color="auto" w:fill="auto"/>
            <w:tcW w:w="572" w:type="pct"/>
            <w:vAlign w:val="center"/>
            <w:vMerge w:val="continue"/>
            <w:textDirection w:val="lrTb"/>
            <w:noWrap w:val="false"/>
          </w:tcPr>
          <w:p>
            <w:pPr>
              <w:widowControl/>
              <w:rPr>
                <w:bCs/>
                <w:sz w:val="20"/>
                <w:szCs w:val="20"/>
                <w:lang w:eastAsia="ru-RU"/>
              </w:rPr>
            </w:pPr>
            <w:r>
              <w:rPr>
                <w:bCs/>
                <w:sz w:val="20"/>
                <w:szCs w:val="20"/>
                <w:lang w:eastAsia="ru-RU"/>
              </w:rPr>
            </w:r>
            <w:r>
              <w:rPr>
                <w:bCs/>
                <w:sz w:val="20"/>
                <w:szCs w:val="20"/>
                <w:lang w:eastAsia="ru-RU"/>
              </w:rPr>
            </w:r>
            <w:r>
              <w:rPr>
                <w:bCs/>
                <w:sz w:val="20"/>
                <w:szCs w:val="20"/>
                <w:lang w:eastAsia="ru-RU"/>
              </w:rPr>
            </w:r>
          </w:p>
        </w:tc>
        <w:tc>
          <w:tcPr>
            <w:shd w:val="clear" w:color="auto" w:fill="auto"/>
            <w:tcW w:w="500" w:type="pct"/>
            <w:vAlign w:val="center"/>
            <w:textDirection w:val="lrTb"/>
            <w:noWrap w:val="false"/>
          </w:tcPr>
          <w:p>
            <w:pPr>
              <w:jc w:val="center"/>
              <w:widowControl/>
              <w:rPr>
                <w:bCs/>
                <w:sz w:val="20"/>
                <w:szCs w:val="20"/>
                <w:lang w:eastAsia="ru-RU"/>
              </w:rPr>
            </w:pPr>
            <w:r>
              <w:rPr>
                <w:bCs/>
                <w:sz w:val="20"/>
                <w:szCs w:val="20"/>
                <w:lang w:eastAsia="ru-RU"/>
              </w:rPr>
              <w:t xml:space="preserve">в работе (резерв), шт</w:t>
            </w:r>
            <w:r>
              <w:rPr>
                <w:bCs/>
                <w:sz w:val="20"/>
                <w:szCs w:val="20"/>
                <w:lang w:eastAsia="ru-RU"/>
              </w:rPr>
            </w:r>
            <w:r>
              <w:rPr>
                <w:bCs/>
                <w:sz w:val="20"/>
                <w:szCs w:val="20"/>
                <w:lang w:eastAsia="ru-RU"/>
              </w:rPr>
            </w:r>
          </w:p>
        </w:tc>
      </w:tr>
      <w:tr>
        <w:tblPrEx/>
        <w:trPr>
          <w:trHeight w:val="20"/>
        </w:trPr>
        <w:tc>
          <w:tcPr>
            <w:gridSpan w:val="6"/>
            <w:shd w:val="clear" w:color="auto" w:fill="auto"/>
            <w:tcW w:w="5000" w:type="pct"/>
            <w:vAlign w:val="center"/>
            <w:textDirection w:val="lrTb"/>
            <w:noWrap w:val="false"/>
          </w:tcPr>
          <w:p>
            <w:pPr>
              <w:jc w:val="center"/>
              <w:widowControl/>
              <w:rPr>
                <w:sz w:val="20"/>
                <w:szCs w:val="20"/>
                <w:lang w:eastAsia="ru-RU"/>
              </w:rPr>
            </w:pPr>
            <w:r>
              <w:rPr>
                <w:color w:val="000000"/>
                <w:sz w:val="20"/>
                <w:szCs w:val="20"/>
              </w:rPr>
              <w:t xml:space="preserve">Котельная </w:t>
            </w:r>
            <w:r>
              <w:rPr>
                <w:rFonts w:ascii="Liberation Serif" w:hAnsi="Liberation Serif" w:cs="Calibri"/>
                <w:color w:val="000000"/>
                <w:sz w:val="20"/>
                <w:szCs w:val="20"/>
              </w:rPr>
              <w:t xml:space="preserve">п. Новый Мир, ЛПДС «Юргамыш»</w:t>
            </w:r>
            <w:r>
              <w:rPr>
                <w:sz w:val="20"/>
                <w:szCs w:val="20"/>
                <w:lang w:eastAsia="ru-RU"/>
              </w:rPr>
            </w:r>
            <w:r>
              <w:rPr>
                <w:sz w:val="20"/>
                <w:szCs w:val="20"/>
                <w:lang w:eastAsia="ru-RU"/>
              </w:rPr>
            </w:r>
          </w:p>
        </w:tc>
      </w:tr>
      <w:tr>
        <w:tblPrEx/>
        <w:trPr>
          <w:trHeight w:val="20"/>
        </w:trPr>
        <w:tc>
          <w:tcPr>
            <w:shd w:val="clear" w:color="auto" w:fill="auto"/>
            <w:tcW w:w="1245" w:type="pct"/>
            <w:vAlign w:val="center"/>
            <w:textDirection w:val="lrTb"/>
            <w:noWrap w:val="false"/>
          </w:tcPr>
          <w:p>
            <w:pPr>
              <w:jc w:val="center"/>
              <w:widowControl/>
              <w:rPr>
                <w:iCs/>
                <w:color w:val="000000"/>
                <w:sz w:val="20"/>
                <w:szCs w:val="20"/>
                <w:lang w:eastAsia="ru-RU"/>
              </w:rPr>
            </w:pPr>
            <w:r>
              <w:rPr>
                <w:iCs/>
                <w:color w:val="000000"/>
                <w:sz w:val="20"/>
                <w:szCs w:val="20"/>
                <w:lang w:eastAsia="ru-RU"/>
              </w:rPr>
              <w:t xml:space="preserve">СR4-80</w:t>
            </w:r>
            <w:r>
              <w:rPr>
                <w:iCs/>
                <w:color w:val="000000"/>
                <w:sz w:val="20"/>
                <w:szCs w:val="20"/>
                <w:lang w:eastAsia="ru-RU"/>
              </w:rPr>
            </w:r>
            <w:r>
              <w:rPr>
                <w:iCs/>
                <w:color w:val="000000"/>
                <w:sz w:val="20"/>
                <w:szCs w:val="20"/>
                <w:lang w:eastAsia="ru-RU"/>
              </w:rPr>
            </w:r>
          </w:p>
        </w:tc>
        <w:tc>
          <w:tcPr>
            <w:shd w:val="clear" w:color="auto" w:fill="auto"/>
            <w:tcW w:w="1341" w:type="pct"/>
            <w:vAlign w:val="center"/>
            <w:textDirection w:val="lrTb"/>
            <w:noWrap w:val="false"/>
          </w:tcPr>
          <w:p>
            <w:pPr>
              <w:jc w:val="center"/>
              <w:widowControl/>
              <w:rPr>
                <w:sz w:val="20"/>
                <w:szCs w:val="20"/>
                <w:lang w:eastAsia="ru-RU"/>
              </w:rPr>
            </w:pPr>
            <w:r>
              <w:rPr>
                <w:sz w:val="20"/>
                <w:szCs w:val="20"/>
                <w:lang w:eastAsia="ru-RU"/>
              </w:rPr>
              <w:t xml:space="preserve">подпиточный</w:t>
            </w:r>
            <w:r>
              <w:rPr>
                <w:sz w:val="20"/>
                <w:szCs w:val="20"/>
                <w:lang w:eastAsia="ru-RU"/>
              </w:rPr>
            </w:r>
            <w:r>
              <w:rPr>
                <w:sz w:val="20"/>
                <w:szCs w:val="20"/>
                <w:lang w:eastAsia="ru-RU"/>
              </w:rPr>
            </w:r>
          </w:p>
        </w:tc>
        <w:tc>
          <w:tcPr>
            <w:shd w:val="clear" w:color="auto" w:fill="auto"/>
            <w:tcW w:w="767" w:type="pct"/>
            <w:vAlign w:val="center"/>
            <w:textDirection w:val="lrTb"/>
            <w:noWrap w:val="false"/>
          </w:tcPr>
          <w:p>
            <w:pPr>
              <w:jc w:val="center"/>
              <w:widowControl/>
              <w:rPr>
                <w:sz w:val="20"/>
                <w:szCs w:val="20"/>
                <w:lang w:eastAsia="ru-RU"/>
              </w:rPr>
            </w:pPr>
            <w:r>
              <w:rPr>
                <w:sz w:val="20"/>
                <w:szCs w:val="20"/>
                <w:lang w:eastAsia="ru-RU"/>
              </w:rPr>
              <w:t xml:space="preserve">12,5</w:t>
            </w:r>
            <w:r>
              <w:rPr>
                <w:sz w:val="20"/>
                <w:szCs w:val="20"/>
                <w:lang w:eastAsia="ru-RU"/>
              </w:rPr>
            </w:r>
            <w:r>
              <w:rPr>
                <w:sz w:val="20"/>
                <w:szCs w:val="20"/>
                <w:lang w:eastAsia="ru-RU"/>
              </w:rPr>
            </w:r>
          </w:p>
        </w:tc>
        <w:tc>
          <w:tcPr>
            <w:shd w:val="clear" w:color="auto" w:fill="auto"/>
            <w:tcW w:w="575" w:type="pct"/>
            <w:vAlign w:val="center"/>
            <w:textDirection w:val="lrTb"/>
            <w:noWrap w:val="false"/>
          </w:tcPr>
          <w:p>
            <w:pPr>
              <w:jc w:val="center"/>
              <w:widowControl/>
              <w:rPr>
                <w:color w:val="000000"/>
                <w:sz w:val="20"/>
                <w:szCs w:val="20"/>
                <w:lang w:eastAsia="ru-RU"/>
              </w:rPr>
            </w:pPr>
            <w:r>
              <w:rPr>
                <w:color w:val="000000"/>
                <w:sz w:val="20"/>
                <w:szCs w:val="20"/>
                <w:lang w:eastAsia="ru-RU"/>
              </w:rPr>
              <w:t xml:space="preserve">20</w:t>
            </w:r>
            <w:r>
              <w:rPr>
                <w:color w:val="000000"/>
                <w:sz w:val="20"/>
                <w:szCs w:val="20"/>
                <w:lang w:eastAsia="ru-RU"/>
              </w:rPr>
            </w:r>
            <w:r>
              <w:rPr>
                <w:color w:val="000000"/>
                <w:sz w:val="20"/>
                <w:szCs w:val="20"/>
                <w:lang w:eastAsia="ru-RU"/>
              </w:rPr>
            </w:r>
          </w:p>
        </w:tc>
        <w:tc>
          <w:tcPr>
            <w:shd w:val="clear" w:color="auto" w:fill="auto"/>
            <w:tcW w:w="572" w:type="pct"/>
            <w:vAlign w:val="center"/>
            <w:textDirection w:val="lrTb"/>
            <w:noWrap w:val="false"/>
          </w:tcPr>
          <w:p>
            <w:pPr>
              <w:jc w:val="center"/>
              <w:widowControl/>
              <w:rPr>
                <w:sz w:val="20"/>
                <w:szCs w:val="20"/>
                <w:lang w:eastAsia="ru-RU"/>
              </w:rPr>
            </w:pPr>
            <w:r>
              <w:rPr>
                <w:sz w:val="20"/>
                <w:szCs w:val="20"/>
                <w:lang w:eastAsia="ru-RU"/>
              </w:rPr>
              <w:t xml:space="preserve">0,6</w:t>
            </w:r>
            <w:r>
              <w:rPr>
                <w:sz w:val="20"/>
                <w:szCs w:val="20"/>
                <w:lang w:eastAsia="ru-RU"/>
              </w:rPr>
            </w:r>
            <w:r>
              <w:rPr>
                <w:sz w:val="20"/>
                <w:szCs w:val="20"/>
                <w:lang w:eastAsia="ru-RU"/>
              </w:rPr>
            </w:r>
          </w:p>
        </w:tc>
        <w:tc>
          <w:tcPr>
            <w:shd w:val="clear" w:color="auto" w:fill="auto"/>
            <w:tcW w:w="500" w:type="pct"/>
            <w:vAlign w:val="center"/>
            <w:textDirection w:val="lrTb"/>
            <w:noWrap w:val="false"/>
          </w:tcPr>
          <w:p>
            <w:pPr>
              <w:jc w:val="center"/>
              <w:widowControl/>
              <w:rPr>
                <w:sz w:val="20"/>
                <w:szCs w:val="20"/>
                <w:lang w:eastAsia="ru-RU"/>
              </w:rPr>
            </w:pPr>
            <w:r>
              <w:rPr>
                <w:sz w:val="20"/>
                <w:szCs w:val="20"/>
                <w:lang w:eastAsia="ru-RU"/>
              </w:rPr>
              <w:t xml:space="preserve">1(1)</w:t>
            </w:r>
            <w:r>
              <w:rPr>
                <w:sz w:val="20"/>
                <w:szCs w:val="20"/>
                <w:lang w:eastAsia="ru-RU"/>
              </w:rPr>
            </w:r>
            <w:r>
              <w:rPr>
                <w:sz w:val="20"/>
                <w:szCs w:val="20"/>
                <w:lang w:eastAsia="ru-RU"/>
              </w:rPr>
            </w:r>
          </w:p>
        </w:tc>
      </w:tr>
      <w:tr>
        <w:tblPrEx/>
        <w:trPr>
          <w:trHeight w:val="20"/>
        </w:trPr>
        <w:tc>
          <w:tcPr>
            <w:shd w:val="clear" w:color="auto" w:fill="auto"/>
            <w:tcW w:w="1245" w:type="pct"/>
            <w:vAlign w:val="center"/>
            <w:textDirection w:val="lrTb"/>
            <w:noWrap w:val="false"/>
          </w:tcPr>
          <w:p>
            <w:pPr>
              <w:jc w:val="center"/>
              <w:widowControl/>
              <w:rPr>
                <w:iCs/>
                <w:color w:val="000000"/>
                <w:sz w:val="20"/>
                <w:szCs w:val="20"/>
                <w:lang w:eastAsia="ru-RU"/>
              </w:rPr>
            </w:pPr>
            <w:r>
              <w:rPr>
                <w:iCs/>
                <w:color w:val="000000"/>
                <w:sz w:val="20"/>
                <w:szCs w:val="20"/>
                <w:lang w:eastAsia="ru-RU"/>
              </w:rPr>
              <w:t xml:space="preserve">Х50-320125ДС</w:t>
            </w:r>
            <w:r>
              <w:rPr>
                <w:iCs/>
                <w:color w:val="000000"/>
                <w:sz w:val="20"/>
                <w:szCs w:val="20"/>
                <w:lang w:eastAsia="ru-RU"/>
              </w:rPr>
            </w:r>
            <w:r>
              <w:rPr>
                <w:iCs/>
                <w:color w:val="000000"/>
                <w:sz w:val="20"/>
                <w:szCs w:val="20"/>
                <w:lang w:eastAsia="ru-RU"/>
              </w:rPr>
            </w:r>
          </w:p>
        </w:tc>
        <w:tc>
          <w:tcPr>
            <w:shd w:val="clear" w:color="auto" w:fill="auto"/>
            <w:tcW w:w="1341" w:type="pct"/>
            <w:vAlign w:val="center"/>
            <w:textDirection w:val="lrTb"/>
            <w:noWrap w:val="false"/>
          </w:tcPr>
          <w:p>
            <w:pPr>
              <w:jc w:val="center"/>
              <w:widowControl/>
              <w:rPr>
                <w:sz w:val="20"/>
                <w:szCs w:val="20"/>
                <w:lang w:eastAsia="ru-RU"/>
              </w:rPr>
            </w:pPr>
            <w:r>
              <w:rPr>
                <w:sz w:val="20"/>
                <w:szCs w:val="20"/>
                <w:lang w:eastAsia="ru-RU"/>
              </w:rPr>
              <w:t xml:space="preserve">4солевой</w:t>
            </w:r>
            <w:r>
              <w:rPr>
                <w:sz w:val="20"/>
                <w:szCs w:val="20"/>
                <w:lang w:eastAsia="ru-RU"/>
              </w:rPr>
            </w:r>
            <w:r>
              <w:rPr>
                <w:sz w:val="20"/>
                <w:szCs w:val="20"/>
                <w:lang w:eastAsia="ru-RU"/>
              </w:rPr>
            </w:r>
          </w:p>
        </w:tc>
        <w:tc>
          <w:tcPr>
            <w:shd w:val="clear" w:color="auto" w:fill="auto"/>
            <w:tcW w:w="767" w:type="pct"/>
            <w:vAlign w:val="center"/>
            <w:textDirection w:val="lrTb"/>
            <w:noWrap w:val="false"/>
          </w:tcPr>
          <w:p>
            <w:pPr>
              <w:jc w:val="center"/>
              <w:widowControl/>
              <w:rPr>
                <w:sz w:val="20"/>
                <w:szCs w:val="20"/>
                <w:lang w:eastAsia="ru-RU"/>
              </w:rPr>
            </w:pPr>
            <w:r>
              <w:rPr>
                <w:sz w:val="20"/>
                <w:szCs w:val="20"/>
                <w:lang w:eastAsia="ru-RU"/>
              </w:rPr>
              <w:t xml:space="preserve">12,5</w:t>
            </w:r>
            <w:r>
              <w:rPr>
                <w:sz w:val="20"/>
                <w:szCs w:val="20"/>
                <w:lang w:eastAsia="ru-RU"/>
              </w:rPr>
            </w:r>
            <w:r>
              <w:rPr>
                <w:sz w:val="20"/>
                <w:szCs w:val="20"/>
                <w:lang w:eastAsia="ru-RU"/>
              </w:rPr>
            </w:r>
          </w:p>
        </w:tc>
        <w:tc>
          <w:tcPr>
            <w:shd w:val="clear" w:color="auto" w:fill="auto"/>
            <w:tcW w:w="575" w:type="pct"/>
            <w:vAlign w:val="center"/>
            <w:textDirection w:val="lrTb"/>
            <w:noWrap w:val="false"/>
          </w:tcPr>
          <w:p>
            <w:pPr>
              <w:jc w:val="center"/>
              <w:widowControl/>
              <w:rPr>
                <w:color w:val="000000"/>
                <w:sz w:val="20"/>
                <w:szCs w:val="20"/>
                <w:lang w:eastAsia="ru-RU"/>
              </w:rPr>
            </w:pPr>
            <w:r>
              <w:rPr>
                <w:color w:val="000000"/>
                <w:sz w:val="20"/>
                <w:szCs w:val="20"/>
                <w:lang w:eastAsia="ru-RU"/>
              </w:rPr>
              <w:t xml:space="preserve">20</w:t>
            </w:r>
            <w:r>
              <w:rPr>
                <w:color w:val="000000"/>
                <w:sz w:val="20"/>
                <w:szCs w:val="20"/>
                <w:lang w:eastAsia="ru-RU"/>
              </w:rPr>
            </w:r>
            <w:r>
              <w:rPr>
                <w:color w:val="000000"/>
                <w:sz w:val="20"/>
                <w:szCs w:val="20"/>
                <w:lang w:eastAsia="ru-RU"/>
              </w:rPr>
            </w:r>
          </w:p>
        </w:tc>
        <w:tc>
          <w:tcPr>
            <w:shd w:val="clear" w:color="auto" w:fill="auto"/>
            <w:tcW w:w="572" w:type="pct"/>
            <w:vAlign w:val="center"/>
            <w:textDirection w:val="lrTb"/>
            <w:noWrap w:val="false"/>
          </w:tcPr>
          <w:p>
            <w:pPr>
              <w:jc w:val="center"/>
              <w:widowControl/>
              <w:rPr>
                <w:sz w:val="20"/>
                <w:szCs w:val="20"/>
                <w:lang w:eastAsia="ru-RU"/>
              </w:rPr>
            </w:pPr>
            <w:r>
              <w:rPr>
                <w:sz w:val="20"/>
                <w:szCs w:val="20"/>
                <w:lang w:eastAsia="ru-RU"/>
              </w:rPr>
              <w:t xml:space="preserve">2,2</w:t>
            </w:r>
            <w:r>
              <w:rPr>
                <w:sz w:val="20"/>
                <w:szCs w:val="20"/>
                <w:lang w:eastAsia="ru-RU"/>
              </w:rPr>
            </w:r>
            <w:r>
              <w:rPr>
                <w:sz w:val="20"/>
                <w:szCs w:val="20"/>
                <w:lang w:eastAsia="ru-RU"/>
              </w:rPr>
            </w:r>
          </w:p>
        </w:tc>
        <w:tc>
          <w:tcPr>
            <w:shd w:val="clear" w:color="auto" w:fill="auto"/>
            <w:tcW w:w="500" w:type="pct"/>
            <w:vAlign w:val="center"/>
            <w:textDirection w:val="lrTb"/>
            <w:noWrap w:val="false"/>
          </w:tcPr>
          <w:p>
            <w:pPr>
              <w:jc w:val="center"/>
              <w:widowControl/>
              <w:rPr>
                <w:sz w:val="20"/>
                <w:szCs w:val="20"/>
                <w:lang w:eastAsia="ru-RU"/>
              </w:rPr>
            </w:pPr>
            <w:r>
              <w:rPr>
                <w:sz w:val="20"/>
                <w:szCs w:val="20"/>
                <w:lang w:eastAsia="ru-RU"/>
              </w:rPr>
              <w:t xml:space="preserve">2(2)</w:t>
            </w:r>
            <w:r>
              <w:rPr>
                <w:sz w:val="20"/>
                <w:szCs w:val="20"/>
                <w:lang w:eastAsia="ru-RU"/>
              </w:rPr>
            </w:r>
            <w:r>
              <w:rPr>
                <w:sz w:val="20"/>
                <w:szCs w:val="20"/>
                <w:lang w:eastAsia="ru-RU"/>
              </w:rPr>
            </w:r>
          </w:p>
        </w:tc>
      </w:tr>
      <w:tr>
        <w:tblPrEx/>
        <w:trPr>
          <w:trHeight w:val="20"/>
        </w:trPr>
        <w:tc>
          <w:tcPr>
            <w:shd w:val="clear" w:color="auto" w:fill="auto"/>
            <w:tcW w:w="1245" w:type="pct"/>
            <w:vAlign w:val="center"/>
            <w:textDirection w:val="lrTb"/>
            <w:noWrap w:val="false"/>
          </w:tcPr>
          <w:p>
            <w:pPr>
              <w:jc w:val="center"/>
              <w:widowControl/>
              <w:rPr>
                <w:iCs/>
                <w:color w:val="000000"/>
                <w:sz w:val="20"/>
                <w:szCs w:val="20"/>
                <w:lang w:eastAsia="ru-RU"/>
              </w:rPr>
            </w:pPr>
            <w:r>
              <w:rPr>
                <w:iCs/>
                <w:color w:val="000000"/>
                <w:sz w:val="20"/>
                <w:szCs w:val="20"/>
                <w:lang w:eastAsia="ru-RU"/>
              </w:rPr>
              <w:t xml:space="preserve">ЦНСГ 38-176С</w:t>
            </w:r>
            <w:r>
              <w:rPr>
                <w:iCs/>
                <w:color w:val="000000"/>
                <w:sz w:val="20"/>
                <w:szCs w:val="20"/>
                <w:lang w:eastAsia="ru-RU"/>
              </w:rPr>
            </w:r>
            <w:r>
              <w:rPr>
                <w:iCs/>
                <w:color w:val="000000"/>
                <w:sz w:val="20"/>
                <w:szCs w:val="20"/>
                <w:lang w:eastAsia="ru-RU"/>
              </w:rPr>
            </w:r>
          </w:p>
        </w:tc>
        <w:tc>
          <w:tcPr>
            <w:shd w:val="clear" w:color="auto" w:fill="auto"/>
            <w:tcW w:w="1341" w:type="pct"/>
            <w:vAlign w:val="center"/>
            <w:textDirection w:val="lrTb"/>
            <w:noWrap w:val="false"/>
          </w:tcPr>
          <w:p>
            <w:pPr>
              <w:jc w:val="center"/>
              <w:widowControl/>
              <w:rPr>
                <w:sz w:val="20"/>
                <w:szCs w:val="20"/>
                <w:lang w:eastAsia="ru-RU"/>
              </w:rPr>
            </w:pPr>
            <w:r>
              <w:rPr>
                <w:sz w:val="20"/>
                <w:szCs w:val="20"/>
                <w:lang w:eastAsia="ru-RU"/>
              </w:rPr>
              <w:t xml:space="preserve">1 опрессовочный</w:t>
            </w:r>
            <w:r>
              <w:rPr>
                <w:sz w:val="20"/>
                <w:szCs w:val="20"/>
                <w:lang w:eastAsia="ru-RU"/>
              </w:rPr>
            </w:r>
            <w:r>
              <w:rPr>
                <w:sz w:val="20"/>
                <w:szCs w:val="20"/>
                <w:lang w:eastAsia="ru-RU"/>
              </w:rPr>
            </w:r>
          </w:p>
        </w:tc>
        <w:tc>
          <w:tcPr>
            <w:shd w:val="clear" w:color="auto" w:fill="auto"/>
            <w:tcW w:w="767" w:type="pct"/>
            <w:vAlign w:val="center"/>
            <w:textDirection w:val="lrTb"/>
            <w:noWrap w:val="false"/>
          </w:tcPr>
          <w:p>
            <w:pPr>
              <w:jc w:val="center"/>
              <w:widowControl/>
              <w:rPr>
                <w:sz w:val="20"/>
                <w:szCs w:val="20"/>
                <w:lang w:eastAsia="ru-RU"/>
              </w:rPr>
            </w:pPr>
            <w:r>
              <w:rPr>
                <w:sz w:val="20"/>
                <w:szCs w:val="20"/>
                <w:lang w:eastAsia="ru-RU"/>
              </w:rPr>
              <w:t xml:space="preserve">38</w:t>
            </w:r>
            <w:r>
              <w:rPr>
                <w:sz w:val="20"/>
                <w:szCs w:val="20"/>
                <w:lang w:eastAsia="ru-RU"/>
              </w:rPr>
            </w:r>
            <w:r>
              <w:rPr>
                <w:sz w:val="20"/>
                <w:szCs w:val="20"/>
                <w:lang w:eastAsia="ru-RU"/>
              </w:rPr>
            </w:r>
          </w:p>
        </w:tc>
        <w:tc>
          <w:tcPr>
            <w:shd w:val="clear" w:color="auto" w:fill="auto"/>
            <w:tcW w:w="575" w:type="pct"/>
            <w:vAlign w:val="center"/>
            <w:textDirection w:val="lrTb"/>
            <w:noWrap w:val="false"/>
          </w:tcPr>
          <w:p>
            <w:pPr>
              <w:jc w:val="center"/>
              <w:widowControl/>
              <w:rPr>
                <w:color w:val="000000"/>
                <w:sz w:val="20"/>
                <w:szCs w:val="20"/>
                <w:lang w:eastAsia="ru-RU"/>
              </w:rPr>
            </w:pPr>
            <w:r>
              <w:rPr>
                <w:color w:val="000000"/>
                <w:sz w:val="20"/>
                <w:szCs w:val="20"/>
                <w:lang w:eastAsia="ru-RU"/>
              </w:rPr>
              <w:t xml:space="preserve">176</w:t>
            </w:r>
            <w:r>
              <w:rPr>
                <w:color w:val="000000"/>
                <w:sz w:val="20"/>
                <w:szCs w:val="20"/>
                <w:lang w:eastAsia="ru-RU"/>
              </w:rPr>
            </w:r>
            <w:r>
              <w:rPr>
                <w:color w:val="000000"/>
                <w:sz w:val="20"/>
                <w:szCs w:val="20"/>
                <w:lang w:eastAsia="ru-RU"/>
              </w:rPr>
            </w:r>
          </w:p>
        </w:tc>
        <w:tc>
          <w:tcPr>
            <w:shd w:val="clear" w:color="auto" w:fill="auto"/>
            <w:tcW w:w="572" w:type="pct"/>
            <w:vAlign w:val="center"/>
            <w:textDirection w:val="lrTb"/>
            <w:noWrap w:val="false"/>
          </w:tcPr>
          <w:p>
            <w:pPr>
              <w:jc w:val="center"/>
              <w:widowControl/>
              <w:rPr>
                <w:sz w:val="20"/>
                <w:szCs w:val="20"/>
                <w:lang w:eastAsia="ru-RU"/>
              </w:rPr>
            </w:pPr>
            <w:r>
              <w:rPr>
                <w:sz w:val="20"/>
                <w:szCs w:val="20"/>
                <w:lang w:eastAsia="ru-RU"/>
              </w:rPr>
              <w:t xml:space="preserve">37,45</w:t>
            </w:r>
            <w:r>
              <w:rPr>
                <w:sz w:val="20"/>
                <w:szCs w:val="20"/>
                <w:lang w:eastAsia="ru-RU"/>
              </w:rPr>
            </w:r>
            <w:r>
              <w:rPr>
                <w:sz w:val="20"/>
                <w:szCs w:val="20"/>
                <w:lang w:eastAsia="ru-RU"/>
              </w:rPr>
            </w:r>
          </w:p>
        </w:tc>
        <w:tc>
          <w:tcPr>
            <w:shd w:val="clear" w:color="auto" w:fill="auto"/>
            <w:tcW w:w="500" w:type="pct"/>
            <w:vAlign w:val="center"/>
            <w:textDirection w:val="lrTb"/>
            <w:noWrap w:val="false"/>
          </w:tcPr>
          <w:p>
            <w:pPr>
              <w:jc w:val="center"/>
              <w:widowControl/>
              <w:rPr>
                <w:sz w:val="20"/>
                <w:szCs w:val="20"/>
                <w:lang w:eastAsia="ru-RU"/>
              </w:rPr>
            </w:pPr>
            <w:r>
              <w:rPr>
                <w:sz w:val="20"/>
                <w:szCs w:val="20"/>
                <w:lang w:eastAsia="ru-RU"/>
              </w:rPr>
              <w:t xml:space="preserve">1</w:t>
            </w:r>
            <w:r>
              <w:rPr>
                <w:sz w:val="20"/>
                <w:szCs w:val="20"/>
                <w:lang w:eastAsia="ru-RU"/>
              </w:rPr>
            </w:r>
            <w:r>
              <w:rPr>
                <w:sz w:val="20"/>
                <w:szCs w:val="20"/>
                <w:lang w:eastAsia="ru-RU"/>
              </w:rPr>
            </w:r>
          </w:p>
        </w:tc>
      </w:tr>
      <w:tr>
        <w:tblPrEx/>
        <w:trPr>
          <w:trHeight w:val="20"/>
        </w:trPr>
        <w:tc>
          <w:tcPr>
            <w:shd w:val="clear" w:color="auto" w:fill="auto"/>
            <w:tcW w:w="1245" w:type="pct"/>
            <w:vAlign w:val="center"/>
            <w:textDirection w:val="lrTb"/>
            <w:noWrap w:val="false"/>
          </w:tcPr>
          <w:p>
            <w:pPr>
              <w:jc w:val="center"/>
              <w:widowControl/>
              <w:rPr>
                <w:iCs/>
                <w:color w:val="000000"/>
                <w:sz w:val="20"/>
                <w:szCs w:val="20"/>
                <w:lang w:eastAsia="ru-RU"/>
              </w:rPr>
            </w:pPr>
            <w:r>
              <w:rPr>
                <w:iCs/>
                <w:color w:val="000000"/>
                <w:sz w:val="20"/>
                <w:szCs w:val="20"/>
                <w:lang w:eastAsia="ru-RU"/>
              </w:rPr>
              <w:t xml:space="preserve">1Д 630-90 а</w:t>
            </w:r>
            <w:r>
              <w:rPr>
                <w:iCs/>
                <w:color w:val="000000"/>
                <w:sz w:val="20"/>
                <w:szCs w:val="20"/>
                <w:lang w:eastAsia="ru-RU"/>
              </w:rPr>
            </w:r>
            <w:r>
              <w:rPr>
                <w:iCs/>
                <w:color w:val="000000"/>
                <w:sz w:val="20"/>
                <w:szCs w:val="20"/>
                <w:lang w:eastAsia="ru-RU"/>
              </w:rPr>
            </w:r>
          </w:p>
        </w:tc>
        <w:tc>
          <w:tcPr>
            <w:shd w:val="clear" w:color="auto" w:fill="auto"/>
            <w:tcW w:w="1341" w:type="pct"/>
            <w:vAlign w:val="center"/>
            <w:textDirection w:val="lrTb"/>
            <w:noWrap w:val="false"/>
          </w:tcPr>
          <w:p>
            <w:pPr>
              <w:jc w:val="center"/>
              <w:widowControl/>
              <w:rPr>
                <w:sz w:val="20"/>
                <w:szCs w:val="20"/>
                <w:lang w:eastAsia="ru-RU"/>
              </w:rPr>
            </w:pPr>
            <w:r>
              <w:rPr>
                <w:sz w:val="20"/>
                <w:szCs w:val="20"/>
                <w:lang w:eastAsia="ru-RU"/>
              </w:rPr>
              <w:t xml:space="preserve">3сетевой</w:t>
            </w:r>
            <w:r>
              <w:rPr>
                <w:sz w:val="20"/>
                <w:szCs w:val="20"/>
                <w:lang w:eastAsia="ru-RU"/>
              </w:rPr>
            </w:r>
            <w:r>
              <w:rPr>
                <w:sz w:val="20"/>
                <w:szCs w:val="20"/>
                <w:lang w:eastAsia="ru-RU"/>
              </w:rPr>
            </w:r>
          </w:p>
        </w:tc>
        <w:tc>
          <w:tcPr>
            <w:shd w:val="clear" w:color="auto" w:fill="auto"/>
            <w:tcW w:w="767" w:type="pct"/>
            <w:vAlign w:val="center"/>
            <w:textDirection w:val="lrTb"/>
            <w:noWrap w:val="false"/>
          </w:tcPr>
          <w:p>
            <w:pPr>
              <w:jc w:val="center"/>
              <w:widowControl/>
              <w:rPr>
                <w:sz w:val="20"/>
                <w:szCs w:val="20"/>
                <w:lang w:eastAsia="ru-RU"/>
              </w:rPr>
            </w:pPr>
            <w:r>
              <w:rPr>
                <w:sz w:val="20"/>
                <w:szCs w:val="20"/>
                <w:lang w:eastAsia="ru-RU"/>
              </w:rPr>
              <w:t xml:space="preserve">550</w:t>
            </w:r>
            <w:r>
              <w:rPr>
                <w:sz w:val="20"/>
                <w:szCs w:val="20"/>
                <w:lang w:eastAsia="ru-RU"/>
              </w:rPr>
            </w:r>
            <w:r>
              <w:rPr>
                <w:sz w:val="20"/>
                <w:szCs w:val="20"/>
                <w:lang w:eastAsia="ru-RU"/>
              </w:rPr>
            </w:r>
          </w:p>
        </w:tc>
        <w:tc>
          <w:tcPr>
            <w:shd w:val="clear" w:color="auto" w:fill="auto"/>
            <w:tcW w:w="575" w:type="pct"/>
            <w:vAlign w:val="center"/>
            <w:textDirection w:val="lrTb"/>
            <w:noWrap w:val="false"/>
          </w:tcPr>
          <w:p>
            <w:pPr>
              <w:jc w:val="center"/>
              <w:widowControl/>
              <w:rPr>
                <w:color w:val="000000"/>
                <w:sz w:val="20"/>
                <w:szCs w:val="20"/>
                <w:lang w:eastAsia="ru-RU"/>
              </w:rPr>
            </w:pPr>
            <w:r>
              <w:rPr>
                <w:color w:val="000000"/>
                <w:sz w:val="20"/>
                <w:szCs w:val="20"/>
                <w:lang w:eastAsia="ru-RU"/>
              </w:rPr>
              <w:t xml:space="preserve">74</w:t>
            </w:r>
            <w:r>
              <w:rPr>
                <w:color w:val="000000"/>
                <w:sz w:val="20"/>
                <w:szCs w:val="20"/>
                <w:lang w:eastAsia="ru-RU"/>
              </w:rPr>
            </w:r>
            <w:r>
              <w:rPr>
                <w:color w:val="000000"/>
                <w:sz w:val="20"/>
                <w:szCs w:val="20"/>
                <w:lang w:eastAsia="ru-RU"/>
              </w:rPr>
            </w:r>
          </w:p>
        </w:tc>
        <w:tc>
          <w:tcPr>
            <w:shd w:val="clear" w:color="auto" w:fill="auto"/>
            <w:tcW w:w="572" w:type="pct"/>
            <w:vAlign w:val="center"/>
            <w:textDirection w:val="lrTb"/>
            <w:noWrap w:val="false"/>
          </w:tcPr>
          <w:p>
            <w:pPr>
              <w:jc w:val="center"/>
              <w:widowControl/>
              <w:rPr>
                <w:sz w:val="20"/>
                <w:szCs w:val="20"/>
                <w:lang w:eastAsia="ru-RU"/>
              </w:rPr>
            </w:pPr>
            <w:r>
              <w:rPr>
                <w:sz w:val="20"/>
                <w:szCs w:val="20"/>
                <w:lang w:eastAsia="ru-RU"/>
              </w:rPr>
              <w:t xml:space="preserve">75</w:t>
            </w:r>
            <w:r>
              <w:rPr>
                <w:sz w:val="20"/>
                <w:szCs w:val="20"/>
                <w:lang w:eastAsia="ru-RU"/>
              </w:rPr>
            </w:r>
            <w:r>
              <w:rPr>
                <w:sz w:val="20"/>
                <w:szCs w:val="20"/>
                <w:lang w:eastAsia="ru-RU"/>
              </w:rPr>
            </w:r>
          </w:p>
        </w:tc>
        <w:tc>
          <w:tcPr>
            <w:shd w:val="clear" w:color="auto" w:fill="auto"/>
            <w:tcW w:w="500" w:type="pct"/>
            <w:vAlign w:val="center"/>
            <w:textDirection w:val="lrTb"/>
            <w:noWrap w:val="false"/>
          </w:tcPr>
          <w:p>
            <w:pPr>
              <w:jc w:val="center"/>
              <w:widowControl/>
              <w:rPr>
                <w:sz w:val="20"/>
                <w:szCs w:val="20"/>
                <w:lang w:eastAsia="ru-RU"/>
              </w:rPr>
            </w:pPr>
            <w:r>
              <w:rPr>
                <w:sz w:val="20"/>
                <w:szCs w:val="20"/>
                <w:lang w:eastAsia="ru-RU"/>
              </w:rPr>
              <w:t xml:space="preserve">1(2)</w:t>
            </w:r>
            <w:r>
              <w:rPr>
                <w:sz w:val="20"/>
                <w:szCs w:val="20"/>
                <w:lang w:eastAsia="ru-RU"/>
              </w:rPr>
            </w:r>
            <w:r>
              <w:rPr>
                <w:sz w:val="20"/>
                <w:szCs w:val="20"/>
                <w:lang w:eastAsia="ru-RU"/>
              </w:rPr>
            </w:r>
          </w:p>
        </w:tc>
      </w:tr>
      <w:tr>
        <w:tblPrEx/>
        <w:trPr>
          <w:trHeight w:val="20"/>
        </w:trPr>
        <w:tc>
          <w:tcPr>
            <w:shd w:val="clear" w:color="auto" w:fill="auto"/>
            <w:tcW w:w="1245" w:type="pct"/>
            <w:vAlign w:val="center"/>
            <w:textDirection w:val="lrTb"/>
            <w:noWrap w:val="false"/>
          </w:tcPr>
          <w:p>
            <w:pPr>
              <w:jc w:val="center"/>
              <w:widowControl/>
              <w:rPr>
                <w:iCs/>
                <w:color w:val="000000"/>
                <w:sz w:val="20"/>
                <w:szCs w:val="20"/>
                <w:lang w:eastAsia="ru-RU"/>
              </w:rPr>
            </w:pPr>
            <w:r>
              <w:rPr>
                <w:iCs/>
                <w:color w:val="000000"/>
                <w:sz w:val="20"/>
                <w:szCs w:val="20"/>
                <w:lang w:eastAsia="ru-RU"/>
              </w:rPr>
              <w:t xml:space="preserve">1 Д500-63 а</w:t>
            </w:r>
            <w:r>
              <w:rPr>
                <w:iCs/>
                <w:color w:val="000000"/>
                <w:sz w:val="20"/>
                <w:szCs w:val="20"/>
                <w:lang w:eastAsia="ru-RU"/>
              </w:rPr>
            </w:r>
            <w:r>
              <w:rPr>
                <w:iCs/>
                <w:color w:val="000000"/>
                <w:sz w:val="20"/>
                <w:szCs w:val="20"/>
                <w:lang w:eastAsia="ru-RU"/>
              </w:rPr>
            </w:r>
          </w:p>
        </w:tc>
        <w:tc>
          <w:tcPr>
            <w:shd w:val="clear" w:color="auto" w:fill="auto"/>
            <w:tcW w:w="1341" w:type="pct"/>
            <w:vAlign w:val="center"/>
            <w:textDirection w:val="lrTb"/>
            <w:noWrap w:val="false"/>
          </w:tcPr>
          <w:p>
            <w:pPr>
              <w:jc w:val="center"/>
              <w:widowControl/>
              <w:rPr>
                <w:sz w:val="20"/>
                <w:szCs w:val="20"/>
                <w:lang w:eastAsia="ru-RU"/>
              </w:rPr>
            </w:pPr>
            <w:r>
              <w:rPr>
                <w:sz w:val="20"/>
                <w:szCs w:val="20"/>
                <w:lang w:eastAsia="ru-RU"/>
              </w:rPr>
              <w:t xml:space="preserve">3 циркуляционный</w:t>
            </w:r>
            <w:r>
              <w:rPr>
                <w:sz w:val="20"/>
                <w:szCs w:val="20"/>
                <w:lang w:eastAsia="ru-RU"/>
              </w:rPr>
            </w:r>
            <w:r>
              <w:rPr>
                <w:sz w:val="20"/>
                <w:szCs w:val="20"/>
                <w:lang w:eastAsia="ru-RU"/>
              </w:rPr>
            </w:r>
          </w:p>
        </w:tc>
        <w:tc>
          <w:tcPr>
            <w:shd w:val="clear" w:color="auto" w:fill="auto"/>
            <w:tcW w:w="767" w:type="pct"/>
            <w:vAlign w:val="center"/>
            <w:textDirection w:val="lrTb"/>
            <w:noWrap w:val="false"/>
          </w:tcPr>
          <w:p>
            <w:pPr>
              <w:jc w:val="center"/>
              <w:widowControl/>
              <w:rPr>
                <w:sz w:val="20"/>
                <w:szCs w:val="20"/>
                <w:lang w:eastAsia="ru-RU"/>
              </w:rPr>
            </w:pPr>
            <w:r>
              <w:rPr>
                <w:sz w:val="20"/>
                <w:szCs w:val="20"/>
                <w:lang w:eastAsia="ru-RU"/>
              </w:rPr>
              <w:t xml:space="preserve">450</w:t>
            </w:r>
            <w:r>
              <w:rPr>
                <w:sz w:val="20"/>
                <w:szCs w:val="20"/>
                <w:lang w:eastAsia="ru-RU"/>
              </w:rPr>
            </w:r>
            <w:r>
              <w:rPr>
                <w:sz w:val="20"/>
                <w:szCs w:val="20"/>
                <w:lang w:eastAsia="ru-RU"/>
              </w:rPr>
            </w:r>
          </w:p>
        </w:tc>
        <w:tc>
          <w:tcPr>
            <w:shd w:val="clear" w:color="auto" w:fill="auto"/>
            <w:tcW w:w="575" w:type="pct"/>
            <w:vAlign w:val="center"/>
            <w:textDirection w:val="lrTb"/>
            <w:noWrap w:val="false"/>
          </w:tcPr>
          <w:p>
            <w:pPr>
              <w:jc w:val="center"/>
              <w:widowControl/>
              <w:rPr>
                <w:color w:val="000000"/>
                <w:sz w:val="20"/>
                <w:szCs w:val="20"/>
                <w:lang w:eastAsia="ru-RU"/>
              </w:rPr>
            </w:pPr>
            <w:r>
              <w:rPr>
                <w:color w:val="000000"/>
                <w:sz w:val="20"/>
                <w:szCs w:val="20"/>
                <w:lang w:eastAsia="ru-RU"/>
              </w:rPr>
              <w:t xml:space="preserve">53</w:t>
            </w:r>
            <w:r>
              <w:rPr>
                <w:color w:val="000000"/>
                <w:sz w:val="20"/>
                <w:szCs w:val="20"/>
                <w:lang w:eastAsia="ru-RU"/>
              </w:rPr>
            </w:r>
            <w:r>
              <w:rPr>
                <w:color w:val="000000"/>
                <w:sz w:val="20"/>
                <w:szCs w:val="20"/>
                <w:lang w:eastAsia="ru-RU"/>
              </w:rPr>
            </w:r>
          </w:p>
        </w:tc>
        <w:tc>
          <w:tcPr>
            <w:shd w:val="clear" w:color="auto" w:fill="auto"/>
            <w:tcW w:w="572" w:type="pct"/>
            <w:vAlign w:val="center"/>
            <w:textDirection w:val="lrTb"/>
            <w:noWrap w:val="false"/>
          </w:tcPr>
          <w:p>
            <w:pPr>
              <w:jc w:val="center"/>
              <w:widowControl/>
              <w:rPr>
                <w:sz w:val="20"/>
                <w:szCs w:val="20"/>
                <w:lang w:eastAsia="ru-RU"/>
              </w:rPr>
            </w:pPr>
            <w:r>
              <w:rPr>
                <w:sz w:val="20"/>
                <w:szCs w:val="20"/>
                <w:lang w:eastAsia="ru-RU"/>
              </w:rPr>
              <w:t xml:space="preserve">110,37</w:t>
            </w:r>
            <w:r>
              <w:rPr>
                <w:sz w:val="20"/>
                <w:szCs w:val="20"/>
                <w:lang w:eastAsia="ru-RU"/>
              </w:rPr>
            </w:r>
            <w:r>
              <w:rPr>
                <w:sz w:val="20"/>
                <w:szCs w:val="20"/>
                <w:lang w:eastAsia="ru-RU"/>
              </w:rPr>
            </w:r>
          </w:p>
        </w:tc>
        <w:tc>
          <w:tcPr>
            <w:shd w:val="clear" w:color="auto" w:fill="auto"/>
            <w:tcW w:w="500" w:type="pct"/>
            <w:vAlign w:val="center"/>
            <w:textDirection w:val="lrTb"/>
            <w:noWrap w:val="false"/>
          </w:tcPr>
          <w:p>
            <w:pPr>
              <w:jc w:val="center"/>
              <w:widowControl/>
              <w:rPr>
                <w:sz w:val="20"/>
                <w:szCs w:val="20"/>
                <w:lang w:eastAsia="ru-RU"/>
              </w:rPr>
            </w:pPr>
            <w:r>
              <w:rPr>
                <w:sz w:val="20"/>
                <w:szCs w:val="20"/>
                <w:lang w:eastAsia="ru-RU"/>
              </w:rPr>
              <w:t xml:space="preserve">1(2)</w:t>
            </w:r>
            <w:r>
              <w:rPr>
                <w:sz w:val="20"/>
                <w:szCs w:val="20"/>
                <w:lang w:eastAsia="ru-RU"/>
              </w:rPr>
            </w:r>
            <w:r>
              <w:rPr>
                <w:sz w:val="20"/>
                <w:szCs w:val="20"/>
                <w:lang w:eastAsia="ru-RU"/>
              </w:rPr>
            </w:r>
          </w:p>
        </w:tc>
      </w:tr>
      <w:tr>
        <w:tblPrEx/>
        <w:trPr>
          <w:trHeight w:val="20"/>
        </w:trPr>
        <w:tc>
          <w:tcPr>
            <w:shd w:val="clear" w:color="auto" w:fill="auto"/>
            <w:tcW w:w="1245" w:type="pct"/>
            <w:vAlign w:val="center"/>
            <w:textDirection w:val="lrTb"/>
            <w:noWrap w:val="false"/>
          </w:tcPr>
          <w:p>
            <w:pPr>
              <w:jc w:val="center"/>
              <w:widowControl/>
              <w:rPr>
                <w:iCs/>
                <w:color w:val="000000"/>
                <w:sz w:val="20"/>
                <w:szCs w:val="20"/>
                <w:lang w:eastAsia="ru-RU"/>
              </w:rPr>
            </w:pPr>
            <w:r>
              <w:rPr>
                <w:iCs/>
                <w:color w:val="000000"/>
                <w:sz w:val="20"/>
                <w:szCs w:val="20"/>
                <w:lang w:eastAsia="ru-RU"/>
              </w:rPr>
              <w:t xml:space="preserve">А13В4/25-3/25</w:t>
            </w:r>
            <w:r>
              <w:rPr>
                <w:iCs/>
                <w:color w:val="000000"/>
                <w:sz w:val="20"/>
                <w:szCs w:val="20"/>
                <w:lang w:eastAsia="ru-RU"/>
              </w:rPr>
            </w:r>
            <w:r>
              <w:rPr>
                <w:iCs/>
                <w:color w:val="000000"/>
                <w:sz w:val="20"/>
                <w:szCs w:val="20"/>
                <w:lang w:eastAsia="ru-RU"/>
              </w:rPr>
            </w:r>
          </w:p>
        </w:tc>
        <w:tc>
          <w:tcPr>
            <w:shd w:val="clear" w:color="auto" w:fill="auto"/>
            <w:tcW w:w="1341" w:type="pct"/>
            <w:vAlign w:val="center"/>
            <w:textDirection w:val="lrTb"/>
            <w:noWrap w:val="false"/>
          </w:tcPr>
          <w:p>
            <w:pPr>
              <w:jc w:val="center"/>
              <w:widowControl/>
              <w:rPr>
                <w:sz w:val="20"/>
                <w:szCs w:val="20"/>
                <w:lang w:eastAsia="ru-RU"/>
              </w:rPr>
            </w:pPr>
            <w:r>
              <w:rPr>
                <w:sz w:val="20"/>
                <w:szCs w:val="20"/>
                <w:lang w:eastAsia="ru-RU"/>
              </w:rPr>
              <w:t xml:space="preserve">2 топливный</w:t>
            </w:r>
            <w:r>
              <w:rPr>
                <w:sz w:val="20"/>
                <w:szCs w:val="20"/>
                <w:lang w:eastAsia="ru-RU"/>
              </w:rPr>
            </w:r>
            <w:r>
              <w:rPr>
                <w:sz w:val="20"/>
                <w:szCs w:val="20"/>
                <w:lang w:eastAsia="ru-RU"/>
              </w:rPr>
            </w:r>
          </w:p>
        </w:tc>
        <w:tc>
          <w:tcPr>
            <w:shd w:val="clear" w:color="auto" w:fill="auto"/>
            <w:tcW w:w="767" w:type="pct"/>
            <w:vAlign w:val="center"/>
            <w:textDirection w:val="lrTb"/>
            <w:noWrap w:val="false"/>
          </w:tcPr>
          <w:p>
            <w:pPr>
              <w:jc w:val="center"/>
              <w:widowControl/>
              <w:rPr>
                <w:sz w:val="20"/>
                <w:szCs w:val="20"/>
                <w:lang w:eastAsia="ru-RU"/>
              </w:rPr>
            </w:pPr>
            <w:r>
              <w:rPr>
                <w:sz w:val="20"/>
                <w:szCs w:val="20"/>
                <w:lang w:eastAsia="ru-RU"/>
              </w:rPr>
              <w:t xml:space="preserve">3</w:t>
            </w:r>
            <w:r>
              <w:rPr>
                <w:sz w:val="20"/>
                <w:szCs w:val="20"/>
                <w:lang w:eastAsia="ru-RU"/>
              </w:rPr>
            </w:r>
            <w:r>
              <w:rPr>
                <w:sz w:val="20"/>
                <w:szCs w:val="20"/>
                <w:lang w:eastAsia="ru-RU"/>
              </w:rPr>
            </w:r>
          </w:p>
        </w:tc>
        <w:tc>
          <w:tcPr>
            <w:shd w:val="clear" w:color="auto" w:fill="auto"/>
            <w:tcW w:w="575" w:type="pct"/>
            <w:vAlign w:val="center"/>
            <w:textDirection w:val="lrTb"/>
            <w:noWrap w:val="false"/>
          </w:tcPr>
          <w:p>
            <w:pPr>
              <w:jc w:val="center"/>
              <w:widowControl/>
              <w:rPr>
                <w:color w:val="000000"/>
                <w:sz w:val="20"/>
                <w:szCs w:val="20"/>
                <w:lang w:eastAsia="ru-RU"/>
              </w:rPr>
            </w:pPr>
            <w:r>
              <w:rPr>
                <w:color w:val="000000"/>
                <w:sz w:val="20"/>
                <w:szCs w:val="20"/>
                <w:lang w:eastAsia="ru-RU"/>
              </w:rPr>
              <w:t xml:space="preserve">25</w:t>
            </w:r>
            <w:r>
              <w:rPr>
                <w:color w:val="000000"/>
                <w:sz w:val="20"/>
                <w:szCs w:val="20"/>
                <w:lang w:eastAsia="ru-RU"/>
              </w:rPr>
            </w:r>
            <w:r>
              <w:rPr>
                <w:color w:val="000000"/>
                <w:sz w:val="20"/>
                <w:szCs w:val="20"/>
                <w:lang w:eastAsia="ru-RU"/>
              </w:rPr>
            </w:r>
          </w:p>
        </w:tc>
        <w:tc>
          <w:tcPr>
            <w:shd w:val="clear" w:color="auto" w:fill="auto"/>
            <w:tcW w:w="572" w:type="pct"/>
            <w:vAlign w:val="center"/>
            <w:textDirection w:val="lrTb"/>
            <w:noWrap w:val="false"/>
          </w:tcPr>
          <w:p>
            <w:pPr>
              <w:jc w:val="center"/>
              <w:widowControl/>
              <w:rPr>
                <w:sz w:val="20"/>
                <w:szCs w:val="20"/>
                <w:lang w:eastAsia="ru-RU"/>
              </w:rPr>
            </w:pPr>
            <w:r>
              <w:rPr>
                <w:sz w:val="20"/>
                <w:szCs w:val="20"/>
                <w:lang w:eastAsia="ru-RU"/>
              </w:rPr>
              <w:t xml:space="preserve">5,5</w:t>
            </w:r>
            <w:r>
              <w:rPr>
                <w:sz w:val="20"/>
                <w:szCs w:val="20"/>
                <w:lang w:eastAsia="ru-RU"/>
              </w:rPr>
            </w:r>
            <w:r>
              <w:rPr>
                <w:sz w:val="20"/>
                <w:szCs w:val="20"/>
                <w:lang w:eastAsia="ru-RU"/>
              </w:rPr>
            </w:r>
          </w:p>
        </w:tc>
        <w:tc>
          <w:tcPr>
            <w:shd w:val="clear" w:color="auto" w:fill="auto"/>
            <w:tcW w:w="500" w:type="pct"/>
            <w:vAlign w:val="center"/>
            <w:textDirection w:val="lrTb"/>
            <w:noWrap w:val="false"/>
          </w:tcPr>
          <w:p>
            <w:pPr>
              <w:jc w:val="center"/>
              <w:widowControl/>
              <w:rPr>
                <w:sz w:val="20"/>
                <w:szCs w:val="20"/>
                <w:lang w:eastAsia="ru-RU"/>
              </w:rPr>
            </w:pPr>
            <w:r>
              <w:rPr>
                <w:sz w:val="20"/>
                <w:szCs w:val="20"/>
                <w:lang w:eastAsia="ru-RU"/>
              </w:rPr>
              <w:t xml:space="preserve">1(1)</w:t>
            </w:r>
            <w:r>
              <w:rPr>
                <w:sz w:val="20"/>
                <w:szCs w:val="20"/>
                <w:lang w:eastAsia="ru-RU"/>
              </w:rPr>
            </w:r>
            <w:r>
              <w:rPr>
                <w:sz w:val="20"/>
                <w:szCs w:val="20"/>
                <w:lang w:eastAsia="ru-RU"/>
              </w:rPr>
            </w:r>
          </w:p>
        </w:tc>
      </w:tr>
      <w:tr>
        <w:tblPrEx/>
        <w:trPr>
          <w:trHeight w:val="20"/>
        </w:trPr>
        <w:tc>
          <w:tcPr>
            <w:shd w:val="clear" w:color="auto" w:fill="auto"/>
            <w:tcW w:w="1245" w:type="pct"/>
            <w:vAlign w:val="center"/>
            <w:textDirection w:val="lrTb"/>
            <w:noWrap w:val="false"/>
          </w:tcPr>
          <w:p>
            <w:pPr>
              <w:jc w:val="center"/>
              <w:widowControl/>
              <w:rPr>
                <w:sz w:val="20"/>
                <w:szCs w:val="20"/>
                <w:lang w:eastAsia="ru-RU"/>
              </w:rPr>
            </w:pPr>
            <w:r>
              <w:rPr>
                <w:sz w:val="20"/>
                <w:szCs w:val="20"/>
                <w:lang w:eastAsia="ru-RU"/>
              </w:rPr>
              <w:t xml:space="preserve">К50-32-125</w:t>
            </w:r>
            <w:r>
              <w:rPr>
                <w:sz w:val="20"/>
                <w:szCs w:val="20"/>
                <w:lang w:eastAsia="ru-RU"/>
              </w:rPr>
            </w:r>
            <w:r>
              <w:rPr>
                <w:sz w:val="20"/>
                <w:szCs w:val="20"/>
                <w:lang w:eastAsia="ru-RU"/>
              </w:rPr>
            </w:r>
          </w:p>
        </w:tc>
        <w:tc>
          <w:tcPr>
            <w:shd w:val="clear" w:color="auto" w:fill="auto"/>
            <w:tcW w:w="1341" w:type="pct"/>
            <w:vAlign w:val="center"/>
            <w:textDirection w:val="lrTb"/>
            <w:noWrap w:val="false"/>
          </w:tcPr>
          <w:p>
            <w:pPr>
              <w:jc w:val="center"/>
              <w:widowControl/>
              <w:rPr>
                <w:sz w:val="20"/>
                <w:szCs w:val="20"/>
                <w:lang w:eastAsia="ru-RU"/>
              </w:rPr>
            </w:pPr>
            <w:r>
              <w:rPr>
                <w:sz w:val="20"/>
                <w:szCs w:val="20"/>
                <w:lang w:eastAsia="ru-RU"/>
              </w:rPr>
              <w:t xml:space="preserve">2 подпиточный</w:t>
            </w:r>
            <w:r>
              <w:rPr>
                <w:sz w:val="20"/>
                <w:szCs w:val="20"/>
                <w:lang w:eastAsia="ru-RU"/>
              </w:rPr>
            </w:r>
            <w:r>
              <w:rPr>
                <w:sz w:val="20"/>
                <w:szCs w:val="20"/>
                <w:lang w:eastAsia="ru-RU"/>
              </w:rPr>
            </w:r>
          </w:p>
        </w:tc>
        <w:tc>
          <w:tcPr>
            <w:shd w:val="clear" w:color="auto" w:fill="auto"/>
            <w:tcW w:w="767" w:type="pct"/>
            <w:vAlign w:val="center"/>
            <w:textDirection w:val="lrTb"/>
            <w:noWrap w:val="false"/>
          </w:tcPr>
          <w:p>
            <w:pPr>
              <w:jc w:val="center"/>
              <w:widowControl/>
              <w:rPr>
                <w:sz w:val="20"/>
                <w:szCs w:val="20"/>
                <w:lang w:eastAsia="ru-RU"/>
              </w:rPr>
            </w:pPr>
            <w:r>
              <w:rPr>
                <w:sz w:val="20"/>
                <w:szCs w:val="20"/>
                <w:lang w:eastAsia="ru-RU"/>
              </w:rPr>
              <w:t xml:space="preserve">12,5</w:t>
            </w:r>
            <w:r>
              <w:rPr>
                <w:sz w:val="20"/>
                <w:szCs w:val="20"/>
                <w:lang w:eastAsia="ru-RU"/>
              </w:rPr>
            </w:r>
            <w:r>
              <w:rPr>
                <w:sz w:val="20"/>
                <w:szCs w:val="20"/>
                <w:lang w:eastAsia="ru-RU"/>
              </w:rPr>
            </w:r>
          </w:p>
        </w:tc>
        <w:tc>
          <w:tcPr>
            <w:shd w:val="clear" w:color="auto" w:fill="auto"/>
            <w:tcW w:w="575" w:type="pct"/>
            <w:vAlign w:val="center"/>
            <w:textDirection w:val="lrTb"/>
            <w:noWrap w:val="false"/>
          </w:tcPr>
          <w:p>
            <w:pPr>
              <w:jc w:val="center"/>
              <w:widowControl/>
              <w:rPr>
                <w:color w:val="000000"/>
                <w:sz w:val="20"/>
                <w:szCs w:val="20"/>
                <w:lang w:eastAsia="ru-RU"/>
              </w:rPr>
            </w:pPr>
            <w:r>
              <w:rPr>
                <w:color w:val="000000"/>
                <w:sz w:val="20"/>
                <w:szCs w:val="20"/>
                <w:lang w:eastAsia="ru-RU"/>
              </w:rPr>
              <w:t xml:space="preserve">20</w:t>
            </w:r>
            <w:r>
              <w:rPr>
                <w:color w:val="000000"/>
                <w:sz w:val="20"/>
                <w:szCs w:val="20"/>
                <w:lang w:eastAsia="ru-RU"/>
              </w:rPr>
            </w:r>
            <w:r>
              <w:rPr>
                <w:color w:val="000000"/>
                <w:sz w:val="20"/>
                <w:szCs w:val="20"/>
                <w:lang w:eastAsia="ru-RU"/>
              </w:rPr>
            </w:r>
          </w:p>
        </w:tc>
        <w:tc>
          <w:tcPr>
            <w:shd w:val="clear" w:color="auto" w:fill="auto"/>
            <w:tcW w:w="572" w:type="pct"/>
            <w:vAlign w:val="center"/>
            <w:textDirection w:val="lrTb"/>
            <w:noWrap w:val="false"/>
          </w:tcPr>
          <w:p>
            <w:pPr>
              <w:jc w:val="center"/>
              <w:widowControl/>
              <w:rPr>
                <w:sz w:val="20"/>
                <w:szCs w:val="20"/>
                <w:lang w:eastAsia="ru-RU"/>
              </w:rPr>
            </w:pPr>
            <w:r>
              <w:rPr>
                <w:sz w:val="20"/>
                <w:szCs w:val="20"/>
                <w:lang w:eastAsia="ru-RU"/>
              </w:rPr>
              <w:t xml:space="preserve">2,2</w:t>
            </w:r>
            <w:r>
              <w:rPr>
                <w:sz w:val="20"/>
                <w:szCs w:val="20"/>
                <w:lang w:eastAsia="ru-RU"/>
              </w:rPr>
            </w:r>
            <w:r>
              <w:rPr>
                <w:sz w:val="20"/>
                <w:szCs w:val="20"/>
                <w:lang w:eastAsia="ru-RU"/>
              </w:rPr>
            </w:r>
          </w:p>
        </w:tc>
        <w:tc>
          <w:tcPr>
            <w:shd w:val="clear" w:color="auto" w:fill="auto"/>
            <w:tcW w:w="500" w:type="pct"/>
            <w:vAlign w:val="center"/>
            <w:textDirection w:val="lrTb"/>
            <w:noWrap w:val="false"/>
          </w:tcPr>
          <w:p>
            <w:pPr>
              <w:jc w:val="center"/>
              <w:widowControl/>
              <w:rPr>
                <w:sz w:val="20"/>
                <w:szCs w:val="20"/>
                <w:lang w:eastAsia="ru-RU"/>
              </w:rPr>
            </w:pPr>
            <w:r>
              <w:rPr>
                <w:sz w:val="20"/>
                <w:szCs w:val="20"/>
                <w:lang w:eastAsia="ru-RU"/>
              </w:rPr>
              <w:t xml:space="preserve">1(1)</w:t>
            </w:r>
            <w:r>
              <w:rPr>
                <w:sz w:val="20"/>
                <w:szCs w:val="20"/>
                <w:lang w:eastAsia="ru-RU"/>
              </w:rPr>
            </w:r>
            <w:r>
              <w:rPr>
                <w:sz w:val="20"/>
                <w:szCs w:val="20"/>
                <w:lang w:eastAsia="ru-RU"/>
              </w:rPr>
            </w:r>
          </w:p>
        </w:tc>
      </w:tr>
      <w:tr>
        <w:tblPrEx/>
        <w:trPr>
          <w:trHeight w:val="20"/>
        </w:trPr>
        <w:tc>
          <w:tcPr>
            <w:gridSpan w:val="6"/>
            <w:shd w:val="clear" w:color="auto" w:fill="auto"/>
            <w:tcW w:w="5000" w:type="pct"/>
            <w:vAlign w:val="center"/>
            <w:textDirection w:val="lrTb"/>
            <w:noWrap w:val="false"/>
          </w:tcPr>
          <w:p>
            <w:pPr>
              <w:jc w:val="center"/>
              <w:widowControl/>
              <w:rPr>
                <w:sz w:val="20"/>
                <w:szCs w:val="20"/>
                <w:lang w:eastAsia="ru-RU"/>
              </w:rPr>
            </w:pPr>
            <w:r>
              <w:rPr>
                <w:color w:val="000000"/>
                <w:sz w:val="20"/>
                <w:szCs w:val="20"/>
              </w:rPr>
              <w:t xml:space="preserve">Котельная </w:t>
            </w:r>
            <w:r>
              <w:rPr>
                <w:rFonts w:ascii="Liberation Serif" w:hAnsi="Liberation Serif" w:cs="Calibri"/>
                <w:color w:val="000000"/>
                <w:sz w:val="20"/>
                <w:szCs w:val="20"/>
              </w:rPr>
              <w:t xml:space="preserve">р.п.  Юргамыш, ул. Железнодорожная, территория тягловой подстанции ОАО «РЖД»</w:t>
            </w:r>
            <w:r>
              <w:rPr>
                <w:sz w:val="20"/>
                <w:szCs w:val="20"/>
                <w:lang w:eastAsia="ru-RU"/>
              </w:rPr>
            </w:r>
            <w:r>
              <w:rPr>
                <w:sz w:val="20"/>
                <w:szCs w:val="20"/>
                <w:lang w:eastAsia="ru-RU"/>
              </w:rPr>
            </w:r>
          </w:p>
        </w:tc>
      </w:tr>
      <w:tr>
        <w:tblPrEx/>
        <w:trPr>
          <w:trHeight w:val="20"/>
        </w:trPr>
        <w:tc>
          <w:tcPr>
            <w:shd w:val="clear" w:color="auto" w:fill="auto"/>
            <w:tcW w:w="1245" w:type="pct"/>
            <w:vAlign w:val="bottom"/>
            <w:textDirection w:val="lrTb"/>
            <w:noWrap w:val="false"/>
          </w:tcPr>
          <w:p>
            <w:pPr>
              <w:jc w:val="center"/>
              <w:rPr>
                <w:sz w:val="20"/>
                <w:szCs w:val="20"/>
              </w:rPr>
            </w:pPr>
            <w:r>
              <w:rPr>
                <w:sz w:val="20"/>
                <w:szCs w:val="20"/>
              </w:rPr>
              <w:t xml:space="preserve">К 100-65-200</w:t>
            </w:r>
            <w:r>
              <w:rPr>
                <w:sz w:val="20"/>
                <w:szCs w:val="20"/>
              </w:rPr>
            </w:r>
            <w:r>
              <w:rPr>
                <w:sz w:val="20"/>
                <w:szCs w:val="20"/>
              </w:rPr>
            </w:r>
          </w:p>
        </w:tc>
        <w:tc>
          <w:tcPr>
            <w:shd w:val="clear" w:color="auto" w:fill="auto"/>
            <w:tcW w:w="1341" w:type="pct"/>
            <w:vAlign w:val="center"/>
            <w:textDirection w:val="lrTb"/>
            <w:noWrap w:val="false"/>
          </w:tcPr>
          <w:p>
            <w:pPr>
              <w:jc w:val="center"/>
              <w:rPr>
                <w:sz w:val="20"/>
                <w:szCs w:val="20"/>
              </w:rPr>
            </w:pPr>
            <w:r>
              <w:rPr>
                <w:sz w:val="20"/>
                <w:szCs w:val="20"/>
              </w:rPr>
              <w:t xml:space="preserve">сетевой</w:t>
            </w:r>
            <w:r>
              <w:rPr>
                <w:sz w:val="20"/>
                <w:szCs w:val="20"/>
              </w:rPr>
            </w:r>
            <w:r>
              <w:rPr>
                <w:sz w:val="20"/>
                <w:szCs w:val="20"/>
              </w:rPr>
            </w:r>
          </w:p>
        </w:tc>
        <w:tc>
          <w:tcPr>
            <w:shd w:val="clear" w:color="auto" w:fill="auto"/>
            <w:tcW w:w="767" w:type="pct"/>
            <w:vAlign w:val="center"/>
            <w:textDirection w:val="lrTb"/>
            <w:noWrap w:val="false"/>
          </w:tcPr>
          <w:p>
            <w:pPr>
              <w:jc w:val="center"/>
              <w:rPr>
                <w:sz w:val="20"/>
                <w:szCs w:val="20"/>
              </w:rPr>
            </w:pPr>
            <w:r>
              <w:rPr>
                <w:sz w:val="20"/>
                <w:szCs w:val="20"/>
              </w:rPr>
              <w:t xml:space="preserve">100</w:t>
            </w:r>
            <w:r>
              <w:rPr>
                <w:sz w:val="20"/>
                <w:szCs w:val="20"/>
              </w:rPr>
            </w:r>
            <w:r>
              <w:rPr>
                <w:sz w:val="20"/>
                <w:szCs w:val="20"/>
              </w:rPr>
            </w:r>
          </w:p>
        </w:tc>
        <w:tc>
          <w:tcPr>
            <w:shd w:val="clear" w:color="auto" w:fill="auto"/>
            <w:tcW w:w="575" w:type="pct"/>
            <w:vAlign w:val="center"/>
            <w:textDirection w:val="lrTb"/>
            <w:noWrap w:val="false"/>
          </w:tcPr>
          <w:p>
            <w:pPr>
              <w:jc w:val="center"/>
              <w:rPr>
                <w:sz w:val="20"/>
                <w:szCs w:val="20"/>
              </w:rPr>
            </w:pPr>
            <w:r>
              <w:rPr>
                <w:sz w:val="20"/>
                <w:szCs w:val="20"/>
              </w:rPr>
              <w:t xml:space="preserve">50</w:t>
            </w:r>
            <w:r>
              <w:rPr>
                <w:sz w:val="20"/>
                <w:szCs w:val="20"/>
              </w:rPr>
            </w:r>
            <w:r>
              <w:rPr>
                <w:sz w:val="20"/>
                <w:szCs w:val="20"/>
              </w:rPr>
            </w:r>
          </w:p>
        </w:tc>
        <w:tc>
          <w:tcPr>
            <w:shd w:val="clear" w:color="auto" w:fill="auto"/>
            <w:tcW w:w="572" w:type="pct"/>
            <w:vAlign w:val="center"/>
            <w:textDirection w:val="lrTb"/>
            <w:noWrap w:val="false"/>
          </w:tcPr>
          <w:p>
            <w:pPr>
              <w:jc w:val="center"/>
              <w:rPr>
                <w:sz w:val="20"/>
                <w:szCs w:val="20"/>
              </w:rPr>
            </w:pPr>
            <w:r>
              <w:rPr>
                <w:sz w:val="20"/>
                <w:szCs w:val="20"/>
              </w:rPr>
              <w:t xml:space="preserve">30</w:t>
            </w:r>
            <w:r>
              <w:rPr>
                <w:sz w:val="20"/>
                <w:szCs w:val="20"/>
              </w:rPr>
            </w:r>
            <w:r>
              <w:rPr>
                <w:sz w:val="20"/>
                <w:szCs w:val="20"/>
              </w:rPr>
            </w:r>
          </w:p>
        </w:tc>
        <w:tc>
          <w:tcPr>
            <w:shd w:val="clear" w:color="auto" w:fill="auto"/>
            <w:tcW w:w="500" w:type="pct"/>
            <w:vAlign w:val="center"/>
            <w:textDirection w:val="lrTb"/>
            <w:noWrap w:val="false"/>
          </w:tcPr>
          <w:p>
            <w:pPr>
              <w:jc w:val="center"/>
              <w:rPr>
                <w:sz w:val="20"/>
                <w:szCs w:val="20"/>
              </w:rPr>
            </w:pPr>
            <w:r>
              <w:rPr>
                <w:sz w:val="20"/>
                <w:szCs w:val="20"/>
              </w:rPr>
              <w:t xml:space="preserve">1</w:t>
            </w:r>
            <w:r>
              <w:rPr>
                <w:sz w:val="20"/>
                <w:szCs w:val="20"/>
              </w:rPr>
            </w:r>
            <w:r>
              <w:rPr>
                <w:sz w:val="20"/>
                <w:szCs w:val="20"/>
              </w:rPr>
            </w:r>
          </w:p>
        </w:tc>
      </w:tr>
      <w:tr>
        <w:tblPrEx/>
        <w:trPr>
          <w:trHeight w:val="20"/>
        </w:trPr>
        <w:tc>
          <w:tcPr>
            <w:shd w:val="clear" w:color="auto" w:fill="auto"/>
            <w:tcW w:w="1245" w:type="pct"/>
            <w:vAlign w:val="bottom"/>
            <w:textDirection w:val="lrTb"/>
            <w:noWrap w:val="false"/>
          </w:tcPr>
          <w:p>
            <w:pPr>
              <w:jc w:val="center"/>
              <w:rPr>
                <w:sz w:val="20"/>
                <w:szCs w:val="20"/>
              </w:rPr>
            </w:pPr>
            <w:r>
              <w:rPr>
                <w:sz w:val="20"/>
                <w:szCs w:val="20"/>
              </w:rPr>
              <w:t xml:space="preserve">К 100-65-200</w:t>
            </w:r>
            <w:r>
              <w:rPr>
                <w:sz w:val="20"/>
                <w:szCs w:val="20"/>
              </w:rPr>
            </w:r>
            <w:r>
              <w:rPr>
                <w:sz w:val="20"/>
                <w:szCs w:val="20"/>
              </w:rPr>
            </w:r>
          </w:p>
        </w:tc>
        <w:tc>
          <w:tcPr>
            <w:shd w:val="clear" w:color="auto" w:fill="auto"/>
            <w:tcW w:w="1341" w:type="pct"/>
            <w:vAlign w:val="center"/>
            <w:textDirection w:val="lrTb"/>
            <w:noWrap w:val="false"/>
          </w:tcPr>
          <w:p>
            <w:pPr>
              <w:jc w:val="center"/>
              <w:rPr>
                <w:sz w:val="20"/>
                <w:szCs w:val="20"/>
              </w:rPr>
            </w:pPr>
            <w:r>
              <w:rPr>
                <w:sz w:val="20"/>
                <w:szCs w:val="20"/>
              </w:rPr>
              <w:t xml:space="preserve">сетевой</w:t>
            </w:r>
            <w:r>
              <w:rPr>
                <w:sz w:val="20"/>
                <w:szCs w:val="20"/>
              </w:rPr>
            </w:r>
            <w:r>
              <w:rPr>
                <w:sz w:val="20"/>
                <w:szCs w:val="20"/>
              </w:rPr>
            </w:r>
          </w:p>
        </w:tc>
        <w:tc>
          <w:tcPr>
            <w:shd w:val="clear" w:color="auto" w:fill="auto"/>
            <w:tcW w:w="767" w:type="pct"/>
            <w:vAlign w:val="center"/>
            <w:textDirection w:val="lrTb"/>
            <w:noWrap w:val="false"/>
          </w:tcPr>
          <w:p>
            <w:pPr>
              <w:jc w:val="center"/>
              <w:rPr>
                <w:sz w:val="20"/>
                <w:szCs w:val="20"/>
              </w:rPr>
            </w:pPr>
            <w:r>
              <w:rPr>
                <w:sz w:val="20"/>
                <w:szCs w:val="20"/>
              </w:rPr>
              <w:t xml:space="preserve">100</w:t>
            </w:r>
            <w:r>
              <w:rPr>
                <w:sz w:val="20"/>
                <w:szCs w:val="20"/>
              </w:rPr>
            </w:r>
            <w:r>
              <w:rPr>
                <w:sz w:val="20"/>
                <w:szCs w:val="20"/>
              </w:rPr>
            </w:r>
          </w:p>
        </w:tc>
        <w:tc>
          <w:tcPr>
            <w:shd w:val="clear" w:color="auto" w:fill="auto"/>
            <w:tcW w:w="575" w:type="pct"/>
            <w:vAlign w:val="center"/>
            <w:textDirection w:val="lrTb"/>
            <w:noWrap w:val="false"/>
          </w:tcPr>
          <w:p>
            <w:pPr>
              <w:jc w:val="center"/>
              <w:rPr>
                <w:sz w:val="20"/>
                <w:szCs w:val="20"/>
              </w:rPr>
            </w:pPr>
            <w:r>
              <w:rPr>
                <w:sz w:val="20"/>
                <w:szCs w:val="20"/>
              </w:rPr>
              <w:t xml:space="preserve">50</w:t>
            </w:r>
            <w:r>
              <w:rPr>
                <w:sz w:val="20"/>
                <w:szCs w:val="20"/>
              </w:rPr>
            </w:r>
            <w:r>
              <w:rPr>
                <w:sz w:val="20"/>
                <w:szCs w:val="20"/>
              </w:rPr>
            </w:r>
          </w:p>
        </w:tc>
        <w:tc>
          <w:tcPr>
            <w:shd w:val="clear" w:color="auto" w:fill="auto"/>
            <w:tcW w:w="572" w:type="pct"/>
            <w:vAlign w:val="center"/>
            <w:textDirection w:val="lrTb"/>
            <w:noWrap w:val="false"/>
          </w:tcPr>
          <w:p>
            <w:pPr>
              <w:jc w:val="center"/>
              <w:rPr>
                <w:sz w:val="20"/>
                <w:szCs w:val="20"/>
              </w:rPr>
            </w:pPr>
            <w:r>
              <w:rPr>
                <w:sz w:val="20"/>
                <w:szCs w:val="20"/>
              </w:rPr>
              <w:t xml:space="preserve">30</w:t>
            </w:r>
            <w:r>
              <w:rPr>
                <w:sz w:val="20"/>
                <w:szCs w:val="20"/>
              </w:rPr>
            </w:r>
            <w:r>
              <w:rPr>
                <w:sz w:val="20"/>
                <w:szCs w:val="20"/>
              </w:rPr>
            </w:r>
          </w:p>
        </w:tc>
        <w:tc>
          <w:tcPr>
            <w:shd w:val="clear" w:color="auto" w:fill="auto"/>
            <w:tcW w:w="500" w:type="pct"/>
            <w:vAlign w:val="center"/>
            <w:textDirection w:val="lrTb"/>
            <w:noWrap w:val="false"/>
          </w:tcPr>
          <w:p>
            <w:pPr>
              <w:jc w:val="center"/>
              <w:rPr>
                <w:sz w:val="20"/>
                <w:szCs w:val="20"/>
              </w:rPr>
            </w:pPr>
            <w:r>
              <w:rPr>
                <w:sz w:val="20"/>
                <w:szCs w:val="20"/>
              </w:rPr>
              <w:t xml:space="preserve">(1)</w:t>
            </w:r>
            <w:r>
              <w:rPr>
                <w:sz w:val="20"/>
                <w:szCs w:val="20"/>
              </w:rPr>
            </w:r>
            <w:r>
              <w:rPr>
                <w:sz w:val="20"/>
                <w:szCs w:val="20"/>
              </w:rPr>
            </w:r>
          </w:p>
        </w:tc>
      </w:tr>
      <w:tr>
        <w:tblPrEx/>
        <w:trPr>
          <w:trHeight w:val="20"/>
        </w:trPr>
        <w:tc>
          <w:tcPr>
            <w:gridSpan w:val="6"/>
            <w:shd w:val="clear" w:color="auto" w:fill="auto"/>
            <w:tcW w:w="5000" w:type="pct"/>
            <w:vAlign w:val="center"/>
            <w:textDirection w:val="lrTb"/>
            <w:noWrap w:val="false"/>
          </w:tcPr>
          <w:p>
            <w:pPr>
              <w:jc w:val="center"/>
              <w:widowControl/>
              <w:rPr>
                <w:sz w:val="20"/>
                <w:szCs w:val="20"/>
                <w:lang w:eastAsia="ru-RU"/>
              </w:rPr>
            </w:pPr>
            <w:r>
              <w:rPr>
                <w:sz w:val="20"/>
                <w:szCs w:val="20"/>
              </w:rPr>
              <w:t xml:space="preserve">Котельная ФКУ ИК №7 УФСИН России по Курганской области,</w:t>
            </w:r>
            <w:r>
              <w:rPr>
                <w:rFonts w:ascii="Liberation Serif" w:hAnsi="Liberation Serif" w:cs="Calibri"/>
                <w:color w:val="000000"/>
                <w:sz w:val="20"/>
                <w:szCs w:val="20"/>
              </w:rPr>
              <w:t xml:space="preserve"> Курганская область, р.п. Юргамыш, ул. Труда, 147</w:t>
            </w:r>
            <w:r>
              <w:rPr>
                <w:sz w:val="20"/>
                <w:szCs w:val="20"/>
                <w:lang w:eastAsia="ru-RU"/>
              </w:rPr>
            </w:r>
            <w:r>
              <w:rPr>
                <w:sz w:val="20"/>
                <w:szCs w:val="20"/>
                <w:lang w:eastAsia="ru-RU"/>
              </w:rPr>
            </w:r>
          </w:p>
        </w:tc>
      </w:tr>
      <w:tr>
        <w:tblPrEx/>
        <w:trPr>
          <w:trHeight w:val="20"/>
        </w:trPr>
        <w:tc>
          <w:tcPr>
            <w:shd w:val="clear" w:color="auto" w:fill="auto"/>
            <w:tcW w:w="1245" w:type="pct"/>
            <w:textDirection w:val="lrTb"/>
            <w:noWrap w:val="false"/>
          </w:tcPr>
          <w:p>
            <w:pPr>
              <w:jc w:val="center"/>
            </w:pPr>
            <w:r>
              <w:rPr>
                <w:sz w:val="20"/>
                <w:szCs w:val="20"/>
              </w:rPr>
              <w:t xml:space="preserve">н/д</w:t>
            </w:r>
            <w:r/>
          </w:p>
        </w:tc>
        <w:tc>
          <w:tcPr>
            <w:shd w:val="clear" w:color="auto" w:fill="auto"/>
            <w:tcW w:w="1341" w:type="pct"/>
            <w:textDirection w:val="lrTb"/>
            <w:noWrap w:val="false"/>
          </w:tcPr>
          <w:p>
            <w:pPr>
              <w:jc w:val="center"/>
            </w:pPr>
            <w:r>
              <w:rPr>
                <w:sz w:val="20"/>
                <w:szCs w:val="20"/>
              </w:rPr>
              <w:t xml:space="preserve">н/д</w:t>
            </w:r>
            <w:r/>
          </w:p>
        </w:tc>
        <w:tc>
          <w:tcPr>
            <w:shd w:val="clear" w:color="auto" w:fill="auto"/>
            <w:tcW w:w="767" w:type="pct"/>
            <w:textDirection w:val="lrTb"/>
            <w:noWrap w:val="false"/>
          </w:tcPr>
          <w:p>
            <w:pPr>
              <w:jc w:val="center"/>
            </w:pPr>
            <w:r>
              <w:rPr>
                <w:sz w:val="20"/>
                <w:szCs w:val="20"/>
              </w:rPr>
              <w:t xml:space="preserve">н/д</w:t>
            </w:r>
            <w:r/>
          </w:p>
        </w:tc>
        <w:tc>
          <w:tcPr>
            <w:shd w:val="clear" w:color="auto" w:fill="auto"/>
            <w:tcW w:w="575" w:type="pct"/>
            <w:textDirection w:val="lrTb"/>
            <w:noWrap w:val="false"/>
          </w:tcPr>
          <w:p>
            <w:pPr>
              <w:jc w:val="center"/>
            </w:pPr>
            <w:r>
              <w:rPr>
                <w:sz w:val="20"/>
                <w:szCs w:val="20"/>
              </w:rPr>
              <w:t xml:space="preserve">н/д</w:t>
            </w:r>
            <w:r/>
          </w:p>
        </w:tc>
        <w:tc>
          <w:tcPr>
            <w:shd w:val="clear" w:color="auto" w:fill="auto"/>
            <w:tcW w:w="572" w:type="pct"/>
            <w:textDirection w:val="lrTb"/>
            <w:noWrap w:val="false"/>
          </w:tcPr>
          <w:p>
            <w:pPr>
              <w:jc w:val="center"/>
            </w:pPr>
            <w:r>
              <w:rPr>
                <w:sz w:val="20"/>
                <w:szCs w:val="20"/>
              </w:rPr>
              <w:t xml:space="preserve">н/д</w:t>
            </w:r>
            <w:r/>
          </w:p>
        </w:tc>
        <w:tc>
          <w:tcPr>
            <w:shd w:val="clear" w:color="auto" w:fill="auto"/>
            <w:tcW w:w="500" w:type="pct"/>
            <w:textDirection w:val="lrTb"/>
            <w:noWrap w:val="false"/>
          </w:tcPr>
          <w:p>
            <w:pPr>
              <w:jc w:val="center"/>
            </w:pPr>
            <w:r>
              <w:rPr>
                <w:sz w:val="20"/>
                <w:szCs w:val="20"/>
              </w:rPr>
              <w:t xml:space="preserve">н/д</w:t>
            </w:r>
            <w:r/>
          </w:p>
        </w:tc>
      </w:tr>
      <w:tr>
        <w:tblPrEx/>
        <w:trPr>
          <w:trHeight w:val="20"/>
        </w:trPr>
        <w:tc>
          <w:tcPr>
            <w:gridSpan w:val="6"/>
            <w:shd w:val="clear" w:color="auto" w:fill="auto"/>
            <w:tcW w:w="5000" w:type="pct"/>
            <w:vAlign w:val="center"/>
            <w:textDirection w:val="lrTb"/>
            <w:noWrap w:val="false"/>
          </w:tcPr>
          <w:p>
            <w:pPr>
              <w:jc w:val="center"/>
              <w:widowControl/>
              <w:rPr>
                <w:sz w:val="20"/>
                <w:szCs w:val="20"/>
                <w:lang w:eastAsia="ru-RU"/>
              </w:rPr>
            </w:pPr>
            <w:r>
              <w:rPr>
                <w:sz w:val="20"/>
                <w:szCs w:val="20"/>
              </w:rPr>
              <w:t xml:space="preserve">Котельная </w:t>
            </w:r>
            <w:r>
              <w:rPr>
                <w:rFonts w:ascii="Liberation Serif" w:hAnsi="Liberation Serif" w:cs="Calibri"/>
                <w:color w:val="000000"/>
                <w:sz w:val="20"/>
                <w:szCs w:val="20"/>
              </w:rPr>
              <w:t xml:space="preserve">р.п. Юргамыш, ул. Ленина, 47а</w:t>
            </w:r>
            <w:r>
              <w:rPr>
                <w:sz w:val="20"/>
                <w:szCs w:val="20"/>
                <w:lang w:eastAsia="ru-RU"/>
              </w:rPr>
            </w:r>
            <w:r>
              <w:rPr>
                <w:sz w:val="20"/>
                <w:szCs w:val="20"/>
                <w:lang w:eastAsia="ru-RU"/>
              </w:rPr>
            </w:r>
          </w:p>
        </w:tc>
      </w:tr>
      <w:tr>
        <w:tblPrEx/>
        <w:trPr>
          <w:trHeight w:val="20"/>
        </w:trPr>
        <w:tc>
          <w:tcPr>
            <w:shd w:val="clear" w:color="auto" w:fill="auto"/>
            <w:tcW w:w="1245" w:type="pct"/>
            <w:textDirection w:val="lrTb"/>
            <w:noWrap w:val="false"/>
          </w:tcPr>
          <w:p>
            <w:pPr>
              <w:jc w:val="center"/>
            </w:pPr>
            <w:r>
              <w:rPr>
                <w:sz w:val="20"/>
                <w:szCs w:val="20"/>
              </w:rPr>
              <w:t xml:space="preserve">н/д</w:t>
            </w:r>
            <w:r/>
          </w:p>
        </w:tc>
        <w:tc>
          <w:tcPr>
            <w:shd w:val="clear" w:color="auto" w:fill="auto"/>
            <w:tcW w:w="1341" w:type="pct"/>
            <w:textDirection w:val="lrTb"/>
            <w:noWrap w:val="false"/>
          </w:tcPr>
          <w:p>
            <w:pPr>
              <w:jc w:val="center"/>
            </w:pPr>
            <w:r>
              <w:rPr>
                <w:sz w:val="20"/>
                <w:szCs w:val="20"/>
              </w:rPr>
              <w:t xml:space="preserve">н/д</w:t>
            </w:r>
            <w:r/>
          </w:p>
        </w:tc>
        <w:tc>
          <w:tcPr>
            <w:shd w:val="clear" w:color="auto" w:fill="auto"/>
            <w:tcW w:w="767" w:type="pct"/>
            <w:textDirection w:val="lrTb"/>
            <w:noWrap w:val="false"/>
          </w:tcPr>
          <w:p>
            <w:pPr>
              <w:jc w:val="center"/>
            </w:pPr>
            <w:r>
              <w:rPr>
                <w:sz w:val="20"/>
                <w:szCs w:val="20"/>
              </w:rPr>
              <w:t xml:space="preserve">н/д</w:t>
            </w:r>
            <w:r/>
          </w:p>
        </w:tc>
        <w:tc>
          <w:tcPr>
            <w:shd w:val="clear" w:color="auto" w:fill="auto"/>
            <w:tcW w:w="575" w:type="pct"/>
            <w:textDirection w:val="lrTb"/>
            <w:noWrap w:val="false"/>
          </w:tcPr>
          <w:p>
            <w:pPr>
              <w:jc w:val="center"/>
            </w:pPr>
            <w:r>
              <w:rPr>
                <w:sz w:val="20"/>
                <w:szCs w:val="20"/>
              </w:rPr>
              <w:t xml:space="preserve">н/д</w:t>
            </w:r>
            <w:r/>
          </w:p>
        </w:tc>
        <w:tc>
          <w:tcPr>
            <w:shd w:val="clear" w:color="auto" w:fill="auto"/>
            <w:tcW w:w="572" w:type="pct"/>
            <w:textDirection w:val="lrTb"/>
            <w:noWrap w:val="false"/>
          </w:tcPr>
          <w:p>
            <w:pPr>
              <w:jc w:val="center"/>
            </w:pPr>
            <w:r>
              <w:rPr>
                <w:sz w:val="20"/>
                <w:szCs w:val="20"/>
              </w:rPr>
              <w:t xml:space="preserve">н/д</w:t>
            </w:r>
            <w:r/>
          </w:p>
        </w:tc>
        <w:tc>
          <w:tcPr>
            <w:shd w:val="clear" w:color="auto" w:fill="auto"/>
            <w:tcW w:w="500" w:type="pct"/>
            <w:textDirection w:val="lrTb"/>
            <w:noWrap w:val="false"/>
          </w:tcPr>
          <w:p>
            <w:pPr>
              <w:jc w:val="center"/>
            </w:pPr>
            <w:r>
              <w:rPr>
                <w:sz w:val="20"/>
                <w:szCs w:val="20"/>
              </w:rPr>
              <w:t xml:space="preserve">н/д</w:t>
            </w:r>
            <w:r/>
          </w:p>
        </w:tc>
      </w:tr>
    </w:tbl>
    <w:p>
      <w:pPr>
        <w:ind w:left="1395"/>
        <w:jc w:val="right"/>
        <w:spacing w:before="72"/>
        <w:rPr>
          <w:sz w:val="24"/>
          <w:szCs w:val="24"/>
        </w:rPr>
      </w:pPr>
      <w:r>
        <w:rPr>
          <w:sz w:val="24"/>
          <w:szCs w:val="24"/>
        </w:rPr>
      </w:r>
      <w:r>
        <w:rPr>
          <w:sz w:val="24"/>
          <w:szCs w:val="24"/>
        </w:rPr>
      </w:r>
      <w:r>
        <w:rPr>
          <w:sz w:val="24"/>
          <w:szCs w:val="24"/>
        </w:rPr>
      </w:r>
    </w:p>
    <w:p>
      <w:pPr>
        <w:ind w:left="1395"/>
        <w:jc w:val="right"/>
        <w:spacing w:before="72"/>
        <w:rPr>
          <w:sz w:val="24"/>
          <w:szCs w:val="24"/>
        </w:rPr>
      </w:pPr>
      <w:r>
        <w:rPr>
          <w:sz w:val="24"/>
          <w:szCs w:val="24"/>
        </w:rPr>
        <w:t xml:space="preserve">Продолжение таблицы 1.2.1.4</w:t>
      </w:r>
      <w:r>
        <w:rPr>
          <w:spacing w:val="-8"/>
          <w:sz w:val="24"/>
          <w:szCs w:val="24"/>
        </w:rPr>
        <w:t xml:space="preserve"> </w:t>
      </w:r>
      <w:r>
        <w:rPr>
          <w:sz w:val="24"/>
          <w:szCs w:val="24"/>
        </w:rPr>
      </w:r>
      <w:r>
        <w:rPr>
          <w:sz w:val="24"/>
          <w:szCs w:val="24"/>
        </w:rPr>
      </w:r>
    </w:p>
    <w:p>
      <w:pPr>
        <w:jc w:val="center"/>
        <w:spacing w:before="72"/>
        <w:rPr>
          <w:sz w:val="24"/>
          <w:szCs w:val="24"/>
        </w:rPr>
      </w:pPr>
      <w:r>
        <w:rPr>
          <w:sz w:val="24"/>
          <w:szCs w:val="24"/>
        </w:rPr>
        <w:t xml:space="preserve">Технические параметры вспомогательного оборудования централизованных источников теплоснабжения Юргамышского муниципального округа</w:t>
      </w:r>
      <w:r>
        <w:rPr>
          <w:sz w:val="24"/>
          <w:szCs w:val="24"/>
        </w:rPr>
      </w:r>
      <w:r>
        <w:rPr>
          <w:sz w:val="24"/>
          <w:szCs w:val="24"/>
        </w:rPr>
      </w:r>
    </w:p>
    <w:tbl>
      <w:tblPr>
        <w:tblW w:w="5002" w:type="pct"/>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3660"/>
        <w:gridCol w:w="3953"/>
        <w:gridCol w:w="2261"/>
        <w:gridCol w:w="2468"/>
        <w:gridCol w:w="2453"/>
      </w:tblGrid>
      <w:tr>
        <w:tblPrEx/>
        <w:trPr>
          <w:trHeight w:val="480"/>
        </w:trPr>
        <w:tc>
          <w:tcPr>
            <w:shd w:val="clear" w:color="auto" w:fill="auto"/>
            <w:tcW w:w="1237" w:type="pct"/>
            <w:vAlign w:val="center"/>
            <w:textDirection w:val="lrTb"/>
            <w:noWrap w:val="false"/>
          </w:tcPr>
          <w:p>
            <w:pPr>
              <w:jc w:val="center"/>
              <w:rPr>
                <w:sz w:val="20"/>
                <w:szCs w:val="20"/>
              </w:rPr>
            </w:pPr>
            <w:r>
              <w:rPr>
                <w:sz w:val="20"/>
                <w:szCs w:val="20"/>
              </w:rPr>
              <w:t xml:space="preserve">Марка</w:t>
            </w:r>
            <w:r>
              <w:rPr>
                <w:sz w:val="20"/>
                <w:szCs w:val="20"/>
              </w:rPr>
            </w:r>
            <w:r>
              <w:rPr>
                <w:sz w:val="20"/>
                <w:szCs w:val="20"/>
              </w:rPr>
            </w:r>
          </w:p>
        </w:tc>
        <w:tc>
          <w:tcPr>
            <w:shd w:val="clear" w:color="auto" w:fill="auto"/>
            <w:tcW w:w="1336" w:type="pct"/>
            <w:vAlign w:val="center"/>
            <w:textDirection w:val="lrTb"/>
            <w:noWrap w:val="false"/>
          </w:tcPr>
          <w:p>
            <w:pPr>
              <w:jc w:val="center"/>
              <w:rPr>
                <w:sz w:val="20"/>
                <w:szCs w:val="20"/>
              </w:rPr>
            </w:pPr>
            <w:r>
              <w:rPr>
                <w:sz w:val="20"/>
                <w:szCs w:val="20"/>
              </w:rPr>
              <w:t xml:space="preserve">Назначение</w:t>
            </w:r>
            <w:r>
              <w:rPr>
                <w:sz w:val="20"/>
                <w:szCs w:val="20"/>
              </w:rPr>
            </w:r>
            <w:r>
              <w:rPr>
                <w:sz w:val="20"/>
                <w:szCs w:val="20"/>
              </w:rPr>
            </w:r>
          </w:p>
        </w:tc>
        <w:tc>
          <w:tcPr>
            <w:shd w:val="clear" w:color="auto" w:fill="auto"/>
            <w:tcW w:w="764" w:type="pct"/>
            <w:vAlign w:val="center"/>
            <w:textDirection w:val="lrTb"/>
            <w:noWrap w:val="false"/>
          </w:tcPr>
          <w:p>
            <w:pPr>
              <w:jc w:val="center"/>
              <w:rPr>
                <w:sz w:val="20"/>
                <w:szCs w:val="20"/>
              </w:rPr>
            </w:pPr>
            <w:r>
              <w:rPr>
                <w:sz w:val="20"/>
                <w:szCs w:val="20"/>
              </w:rPr>
              <w:t xml:space="preserve">Производительность</w:t>
            </w:r>
            <w:r>
              <w:rPr>
                <w:sz w:val="20"/>
                <w:szCs w:val="20"/>
              </w:rPr>
              <w:t xml:space="preserve">,</w:t>
            </w:r>
            <w:r>
              <w:rPr>
                <w:sz w:val="20"/>
                <w:szCs w:val="20"/>
              </w:rPr>
              <w:t xml:space="preserve">    м³/ч</w:t>
            </w:r>
            <w:r>
              <w:rPr>
                <w:sz w:val="20"/>
                <w:szCs w:val="20"/>
              </w:rPr>
            </w:r>
            <w:r>
              <w:rPr>
                <w:sz w:val="20"/>
                <w:szCs w:val="20"/>
              </w:rPr>
            </w:r>
          </w:p>
        </w:tc>
        <w:tc>
          <w:tcPr>
            <w:shd w:val="clear" w:color="auto" w:fill="auto"/>
            <w:tcW w:w="834" w:type="pct"/>
            <w:vAlign w:val="center"/>
            <w:textDirection w:val="lrTb"/>
            <w:noWrap w:val="false"/>
          </w:tcPr>
          <w:p>
            <w:pPr>
              <w:jc w:val="center"/>
              <w:rPr>
                <w:sz w:val="20"/>
                <w:szCs w:val="20"/>
              </w:rPr>
            </w:pPr>
            <w:r>
              <w:rPr>
                <w:sz w:val="20"/>
                <w:szCs w:val="20"/>
              </w:rPr>
              <w:t xml:space="preserve">Мощность двигателя</w:t>
            </w:r>
            <w:r>
              <w:rPr>
                <w:sz w:val="20"/>
                <w:szCs w:val="20"/>
              </w:rPr>
              <w:t xml:space="preserve">,</w:t>
            </w:r>
            <w:r>
              <w:rPr>
                <w:sz w:val="20"/>
                <w:szCs w:val="20"/>
              </w:rPr>
              <w:t xml:space="preserve"> кВтч</w:t>
            </w:r>
            <w:r>
              <w:rPr>
                <w:sz w:val="20"/>
                <w:szCs w:val="20"/>
              </w:rPr>
            </w:r>
            <w:r>
              <w:rPr>
                <w:sz w:val="20"/>
                <w:szCs w:val="20"/>
              </w:rPr>
            </w:r>
          </w:p>
        </w:tc>
        <w:tc>
          <w:tcPr>
            <w:shd w:val="clear" w:color="auto" w:fill="auto"/>
            <w:tcW w:w="829" w:type="pct"/>
            <w:vAlign w:val="center"/>
            <w:textDirection w:val="lrTb"/>
            <w:noWrap w:val="false"/>
          </w:tcPr>
          <w:p>
            <w:pPr>
              <w:jc w:val="center"/>
              <w:rPr>
                <w:sz w:val="20"/>
                <w:szCs w:val="20"/>
              </w:rPr>
            </w:pPr>
            <w:r>
              <w:rPr>
                <w:sz w:val="20"/>
                <w:szCs w:val="20"/>
              </w:rPr>
              <w:t xml:space="preserve">Кол-во</w:t>
            </w:r>
            <w:r>
              <w:rPr>
                <w:sz w:val="20"/>
                <w:szCs w:val="20"/>
              </w:rPr>
            </w:r>
            <w:r>
              <w:rPr>
                <w:sz w:val="20"/>
                <w:szCs w:val="20"/>
              </w:rPr>
            </w:r>
          </w:p>
        </w:tc>
      </w:tr>
      <w:tr>
        <w:tblPrEx/>
        <w:trPr>
          <w:trHeight w:val="70"/>
        </w:trPr>
        <w:tc>
          <w:tcPr>
            <w:gridSpan w:val="5"/>
            <w:shd w:val="clear" w:color="auto" w:fill="auto"/>
            <w:tcW w:w="5000" w:type="pct"/>
            <w:vAlign w:val="center"/>
            <w:textDirection w:val="lrTb"/>
            <w:noWrap w:val="false"/>
          </w:tcPr>
          <w:p>
            <w:pPr>
              <w:jc w:val="center"/>
              <w:rPr>
                <w:sz w:val="20"/>
                <w:szCs w:val="20"/>
              </w:rPr>
            </w:pPr>
            <w:r>
              <w:rPr>
                <w:color w:val="000000"/>
                <w:sz w:val="20"/>
                <w:szCs w:val="20"/>
              </w:rPr>
              <w:t xml:space="preserve">Котельная </w:t>
            </w:r>
            <w:r>
              <w:rPr>
                <w:rFonts w:ascii="Liberation Serif" w:hAnsi="Liberation Serif" w:cs="Calibri"/>
                <w:color w:val="000000"/>
                <w:sz w:val="20"/>
                <w:szCs w:val="20"/>
              </w:rPr>
              <w:t xml:space="preserve">п. Новый Мир, ЛПДС «Юргамыш»</w:t>
            </w:r>
            <w:r>
              <w:rPr>
                <w:sz w:val="20"/>
                <w:szCs w:val="20"/>
              </w:rPr>
            </w:r>
            <w:r>
              <w:rPr>
                <w:sz w:val="20"/>
                <w:szCs w:val="20"/>
              </w:rPr>
            </w:r>
          </w:p>
        </w:tc>
      </w:tr>
      <w:tr>
        <w:tblPrEx/>
        <w:trPr>
          <w:trHeight w:val="20"/>
        </w:trPr>
        <w:tc>
          <w:tcPr>
            <w:shd w:val="clear" w:color="auto" w:fill="auto"/>
            <w:tcW w:w="1237" w:type="pct"/>
            <w:vAlign w:val="center"/>
            <w:textDirection w:val="lrTb"/>
            <w:noWrap w:val="false"/>
          </w:tcPr>
          <w:p>
            <w:pPr>
              <w:jc w:val="center"/>
              <w:rPr>
                <w:sz w:val="20"/>
                <w:szCs w:val="20"/>
              </w:rPr>
            </w:pPr>
            <w:r>
              <w:rPr>
                <w:sz w:val="20"/>
                <w:szCs w:val="20"/>
              </w:rPr>
              <w:t xml:space="preserve">ВДН-6,3М-13</w:t>
            </w:r>
            <w:r>
              <w:rPr>
                <w:sz w:val="20"/>
                <w:szCs w:val="20"/>
              </w:rPr>
            </w:r>
            <w:r>
              <w:rPr>
                <w:sz w:val="20"/>
                <w:szCs w:val="20"/>
              </w:rPr>
            </w:r>
          </w:p>
        </w:tc>
        <w:tc>
          <w:tcPr>
            <w:shd w:val="clear" w:color="auto" w:fill="auto"/>
            <w:tcW w:w="1336" w:type="pct"/>
            <w:vAlign w:val="center"/>
            <w:textDirection w:val="lrTb"/>
            <w:noWrap w:val="false"/>
          </w:tcPr>
          <w:p>
            <w:pPr>
              <w:jc w:val="center"/>
              <w:rPr>
                <w:sz w:val="20"/>
                <w:szCs w:val="20"/>
              </w:rPr>
            </w:pPr>
            <w:r>
              <w:rPr>
                <w:sz w:val="20"/>
                <w:szCs w:val="20"/>
              </w:rPr>
              <w:t xml:space="preserve">вентилятор дутьевой</w:t>
            </w:r>
            <w:r>
              <w:rPr>
                <w:sz w:val="20"/>
                <w:szCs w:val="20"/>
              </w:rPr>
            </w:r>
            <w:r>
              <w:rPr>
                <w:sz w:val="20"/>
                <w:szCs w:val="20"/>
              </w:rPr>
            </w:r>
          </w:p>
        </w:tc>
        <w:tc>
          <w:tcPr>
            <w:shd w:val="clear" w:color="auto" w:fill="auto"/>
            <w:tcW w:w="764" w:type="pct"/>
            <w:vAlign w:val="center"/>
            <w:textDirection w:val="lrTb"/>
            <w:noWrap w:val="false"/>
          </w:tcPr>
          <w:p>
            <w:pPr>
              <w:jc w:val="center"/>
              <w:rPr>
                <w:sz w:val="20"/>
                <w:szCs w:val="20"/>
              </w:rPr>
            </w:pPr>
            <w:r>
              <w:rPr>
                <w:sz w:val="20"/>
                <w:szCs w:val="20"/>
              </w:rPr>
              <w:t xml:space="preserve">13620</w:t>
            </w:r>
            <w:r>
              <w:rPr>
                <w:sz w:val="20"/>
                <w:szCs w:val="20"/>
              </w:rPr>
            </w:r>
            <w:r>
              <w:rPr>
                <w:sz w:val="20"/>
                <w:szCs w:val="20"/>
              </w:rPr>
            </w:r>
          </w:p>
        </w:tc>
        <w:tc>
          <w:tcPr>
            <w:shd w:val="clear" w:color="auto" w:fill="auto"/>
            <w:tcW w:w="834" w:type="pct"/>
            <w:vAlign w:val="center"/>
            <w:textDirection w:val="lrTb"/>
            <w:noWrap/>
          </w:tcPr>
          <w:p>
            <w:pPr>
              <w:jc w:val="center"/>
              <w:rPr>
                <w:sz w:val="20"/>
                <w:szCs w:val="20"/>
              </w:rPr>
            </w:pPr>
            <w:r>
              <w:rPr>
                <w:sz w:val="20"/>
                <w:szCs w:val="20"/>
              </w:rPr>
              <w:t xml:space="preserve">3</w:t>
            </w:r>
            <w:r>
              <w:rPr>
                <w:sz w:val="20"/>
                <w:szCs w:val="20"/>
              </w:rPr>
            </w:r>
            <w:r>
              <w:rPr>
                <w:sz w:val="20"/>
                <w:szCs w:val="20"/>
              </w:rPr>
            </w:r>
          </w:p>
        </w:tc>
        <w:tc>
          <w:tcPr>
            <w:shd w:val="clear" w:color="auto" w:fill="auto"/>
            <w:tcW w:w="829" w:type="pct"/>
            <w:vAlign w:val="center"/>
            <w:textDirection w:val="lrTb"/>
            <w:noWrap/>
          </w:tcPr>
          <w:p>
            <w:pPr>
              <w:jc w:val="center"/>
              <w:rPr>
                <w:sz w:val="20"/>
                <w:szCs w:val="20"/>
              </w:rPr>
            </w:pPr>
            <w:r>
              <w:rPr>
                <w:sz w:val="20"/>
                <w:szCs w:val="20"/>
              </w:rPr>
              <w:t xml:space="preserve">3</w:t>
            </w:r>
            <w:r>
              <w:rPr>
                <w:sz w:val="20"/>
                <w:szCs w:val="20"/>
              </w:rPr>
            </w:r>
            <w:r>
              <w:rPr>
                <w:sz w:val="20"/>
                <w:szCs w:val="20"/>
              </w:rPr>
            </w:r>
          </w:p>
        </w:tc>
      </w:tr>
      <w:tr>
        <w:tblPrEx/>
        <w:trPr>
          <w:trHeight w:val="20"/>
        </w:trPr>
        <w:tc>
          <w:tcPr>
            <w:shd w:val="clear" w:color="auto" w:fill="auto"/>
            <w:tcW w:w="1237" w:type="pct"/>
            <w:vAlign w:val="center"/>
            <w:textDirection w:val="lrTb"/>
            <w:noWrap w:val="false"/>
          </w:tcPr>
          <w:p>
            <w:pPr>
              <w:jc w:val="center"/>
              <w:rPr>
                <w:sz w:val="20"/>
                <w:szCs w:val="20"/>
              </w:rPr>
            </w:pPr>
            <w:r>
              <w:rPr>
                <w:sz w:val="20"/>
                <w:szCs w:val="20"/>
              </w:rPr>
              <w:t xml:space="preserve">Горелка газомазутная ГМ-Х</w:t>
            </w:r>
            <w:r>
              <w:rPr>
                <w:sz w:val="20"/>
                <w:szCs w:val="20"/>
              </w:rPr>
            </w:r>
            <w:r>
              <w:rPr>
                <w:sz w:val="20"/>
                <w:szCs w:val="20"/>
              </w:rPr>
            </w:r>
          </w:p>
        </w:tc>
        <w:tc>
          <w:tcPr>
            <w:shd w:val="clear" w:color="auto" w:fill="auto"/>
            <w:tcW w:w="1336" w:type="pct"/>
            <w:vAlign w:val="center"/>
            <w:textDirection w:val="lrTb"/>
            <w:noWrap w:val="false"/>
          </w:tcPr>
          <w:p>
            <w:pPr>
              <w:jc w:val="center"/>
              <w:rPr>
                <w:sz w:val="20"/>
                <w:szCs w:val="20"/>
              </w:rPr>
            </w:pPr>
            <w:r>
              <w:rPr>
                <w:sz w:val="20"/>
                <w:szCs w:val="20"/>
              </w:rPr>
              <w:t xml:space="preserve">горелка</w:t>
            </w:r>
            <w:r>
              <w:rPr>
                <w:sz w:val="20"/>
                <w:szCs w:val="20"/>
              </w:rPr>
            </w:r>
            <w:r>
              <w:rPr>
                <w:sz w:val="20"/>
                <w:szCs w:val="20"/>
              </w:rPr>
            </w:r>
          </w:p>
        </w:tc>
        <w:tc>
          <w:tcPr>
            <w:shd w:val="clear" w:color="auto" w:fill="auto"/>
            <w:tcW w:w="764" w:type="pct"/>
            <w:vAlign w:val="center"/>
            <w:textDirection w:val="lrTb"/>
            <w:noWrap w:val="false"/>
          </w:tcPr>
          <w:p>
            <w:pPr>
              <w:jc w:val="center"/>
              <w:rPr>
                <w:sz w:val="20"/>
                <w:szCs w:val="20"/>
              </w:rPr>
            </w:pPr>
            <w:r>
              <w:rPr>
                <w:sz w:val="20"/>
                <w:szCs w:val="20"/>
              </w:rPr>
              <w:t xml:space="preserve">8500</w:t>
            </w:r>
            <w:r>
              <w:rPr>
                <w:sz w:val="20"/>
                <w:szCs w:val="20"/>
              </w:rPr>
            </w:r>
            <w:r>
              <w:rPr>
                <w:sz w:val="20"/>
                <w:szCs w:val="20"/>
              </w:rPr>
            </w:r>
          </w:p>
        </w:tc>
        <w:tc>
          <w:tcPr>
            <w:shd w:val="clear" w:color="auto" w:fill="auto"/>
            <w:tcW w:w="834" w:type="pct"/>
            <w:vAlign w:val="center"/>
            <w:textDirection w:val="lrTb"/>
            <w:noWrap/>
          </w:tcPr>
          <w:p>
            <w:pPr>
              <w:jc w:val="center"/>
              <w:rPr>
                <w:sz w:val="20"/>
                <w:szCs w:val="20"/>
              </w:rPr>
            </w:pPr>
            <w:r>
              <w:rPr>
                <w:sz w:val="20"/>
                <w:szCs w:val="20"/>
              </w:rPr>
            </w:r>
            <w:r>
              <w:rPr>
                <w:sz w:val="20"/>
                <w:szCs w:val="20"/>
              </w:rPr>
            </w:r>
            <w:r>
              <w:rPr>
                <w:sz w:val="20"/>
                <w:szCs w:val="20"/>
              </w:rPr>
            </w:r>
          </w:p>
        </w:tc>
        <w:tc>
          <w:tcPr>
            <w:shd w:val="clear" w:color="auto" w:fill="auto"/>
            <w:tcW w:w="829" w:type="pct"/>
            <w:vAlign w:val="center"/>
            <w:textDirection w:val="lrTb"/>
            <w:noWrap/>
          </w:tcPr>
          <w:p>
            <w:pPr>
              <w:jc w:val="center"/>
              <w:rPr>
                <w:sz w:val="20"/>
                <w:szCs w:val="20"/>
              </w:rPr>
            </w:pPr>
            <w:r>
              <w:rPr>
                <w:sz w:val="20"/>
                <w:szCs w:val="20"/>
              </w:rPr>
              <w:t xml:space="preserve">3</w:t>
            </w:r>
            <w:r>
              <w:rPr>
                <w:sz w:val="20"/>
                <w:szCs w:val="20"/>
              </w:rPr>
            </w:r>
            <w:r>
              <w:rPr>
                <w:sz w:val="20"/>
                <w:szCs w:val="20"/>
              </w:rPr>
            </w:r>
          </w:p>
        </w:tc>
      </w:tr>
      <w:tr>
        <w:tblPrEx/>
        <w:trPr>
          <w:trHeight w:val="20"/>
        </w:trPr>
        <w:tc>
          <w:tcPr>
            <w:gridSpan w:val="5"/>
            <w:shd w:val="clear" w:color="auto" w:fill="auto"/>
            <w:tcW w:w="5000" w:type="pct"/>
            <w:vAlign w:val="center"/>
            <w:textDirection w:val="lrTb"/>
            <w:noWrap w:val="false"/>
          </w:tcPr>
          <w:p>
            <w:pPr>
              <w:jc w:val="center"/>
              <w:rPr>
                <w:sz w:val="20"/>
                <w:szCs w:val="20"/>
              </w:rPr>
            </w:pPr>
            <w:r>
              <w:rPr>
                <w:color w:val="000000"/>
                <w:sz w:val="20"/>
                <w:szCs w:val="20"/>
              </w:rPr>
              <w:t xml:space="preserve">Котельная </w:t>
            </w:r>
            <w:r>
              <w:rPr>
                <w:rFonts w:ascii="Liberation Serif" w:hAnsi="Liberation Serif" w:cs="Calibri"/>
                <w:color w:val="000000"/>
                <w:sz w:val="20"/>
                <w:szCs w:val="20"/>
              </w:rPr>
              <w:t xml:space="preserve">р.п.  Юргамыш, ул. Железнодорожная, территория тягловой подстанции ОАО «РЖД»</w:t>
            </w:r>
            <w:r>
              <w:rPr>
                <w:sz w:val="20"/>
                <w:szCs w:val="20"/>
              </w:rPr>
            </w:r>
            <w:r>
              <w:rPr>
                <w:sz w:val="20"/>
                <w:szCs w:val="20"/>
              </w:rPr>
            </w:r>
          </w:p>
        </w:tc>
      </w:tr>
      <w:tr>
        <w:tblPrEx/>
        <w:trPr>
          <w:trHeight w:val="20"/>
        </w:trPr>
        <w:tc>
          <w:tcPr>
            <w:shd w:val="clear" w:color="auto" w:fill="auto"/>
            <w:tcW w:w="1237" w:type="pct"/>
            <w:vAlign w:val="center"/>
            <w:textDirection w:val="lrTb"/>
            <w:noWrap w:val="false"/>
          </w:tcPr>
          <w:p>
            <w:pPr>
              <w:jc w:val="center"/>
              <w:rPr>
                <w:sz w:val="20"/>
                <w:szCs w:val="20"/>
              </w:rPr>
            </w:pPr>
            <w:r>
              <w:rPr>
                <w:sz w:val="20"/>
                <w:szCs w:val="20"/>
              </w:rPr>
              <w:t xml:space="preserve">ВО-3,15-220Ж</w:t>
            </w:r>
            <w:r>
              <w:rPr>
                <w:sz w:val="20"/>
                <w:szCs w:val="20"/>
              </w:rPr>
            </w:r>
            <w:r>
              <w:rPr>
                <w:sz w:val="20"/>
                <w:szCs w:val="20"/>
              </w:rPr>
            </w:r>
          </w:p>
        </w:tc>
        <w:tc>
          <w:tcPr>
            <w:shd w:val="clear" w:color="auto" w:fill="auto"/>
            <w:tcW w:w="1336" w:type="pct"/>
            <w:vAlign w:val="center"/>
            <w:textDirection w:val="lrTb"/>
            <w:noWrap w:val="false"/>
          </w:tcPr>
          <w:p>
            <w:pPr>
              <w:jc w:val="center"/>
              <w:rPr>
                <w:sz w:val="20"/>
                <w:szCs w:val="20"/>
              </w:rPr>
            </w:pPr>
            <w:r>
              <w:rPr>
                <w:sz w:val="20"/>
                <w:szCs w:val="20"/>
              </w:rPr>
              <w:t xml:space="preserve">вентилятор вытяжной</w:t>
            </w:r>
            <w:r>
              <w:rPr>
                <w:sz w:val="20"/>
                <w:szCs w:val="20"/>
              </w:rPr>
            </w:r>
            <w:r>
              <w:rPr>
                <w:sz w:val="20"/>
                <w:szCs w:val="20"/>
              </w:rPr>
            </w:r>
          </w:p>
        </w:tc>
        <w:tc>
          <w:tcPr>
            <w:shd w:val="clear" w:color="auto" w:fill="auto"/>
            <w:tcW w:w="764" w:type="pct"/>
            <w:vAlign w:val="center"/>
            <w:textDirection w:val="lrTb"/>
            <w:noWrap w:val="false"/>
          </w:tcPr>
          <w:p>
            <w:pPr>
              <w:jc w:val="center"/>
              <w:rPr>
                <w:sz w:val="20"/>
                <w:szCs w:val="20"/>
              </w:rPr>
            </w:pPr>
            <w:r>
              <w:rPr>
                <w:sz w:val="20"/>
                <w:szCs w:val="20"/>
              </w:rPr>
              <w:t xml:space="preserve">2400</w:t>
            </w:r>
            <w:r>
              <w:rPr>
                <w:sz w:val="20"/>
                <w:szCs w:val="20"/>
              </w:rPr>
            </w:r>
            <w:r>
              <w:rPr>
                <w:sz w:val="20"/>
                <w:szCs w:val="20"/>
              </w:rPr>
            </w:r>
          </w:p>
        </w:tc>
        <w:tc>
          <w:tcPr>
            <w:shd w:val="clear" w:color="auto" w:fill="auto"/>
            <w:tcW w:w="834" w:type="pct"/>
            <w:vAlign w:val="center"/>
            <w:textDirection w:val="lrTb"/>
            <w:noWrap/>
          </w:tcPr>
          <w:p>
            <w:pPr>
              <w:jc w:val="center"/>
              <w:rPr>
                <w:sz w:val="20"/>
                <w:szCs w:val="20"/>
              </w:rPr>
            </w:pPr>
            <w:r>
              <w:rPr>
                <w:sz w:val="20"/>
                <w:szCs w:val="20"/>
              </w:rPr>
              <w:t xml:space="preserve">0,034</w:t>
            </w:r>
            <w:r>
              <w:rPr>
                <w:sz w:val="20"/>
                <w:szCs w:val="20"/>
              </w:rPr>
            </w:r>
            <w:r>
              <w:rPr>
                <w:sz w:val="20"/>
                <w:szCs w:val="20"/>
              </w:rPr>
            </w:r>
          </w:p>
        </w:tc>
        <w:tc>
          <w:tcPr>
            <w:shd w:val="clear" w:color="auto" w:fill="auto"/>
            <w:tcW w:w="829" w:type="pct"/>
            <w:vAlign w:val="center"/>
            <w:textDirection w:val="lrTb"/>
            <w:noWrap/>
          </w:tcPr>
          <w:p>
            <w:pPr>
              <w:jc w:val="center"/>
              <w:rPr>
                <w:sz w:val="20"/>
                <w:szCs w:val="20"/>
              </w:rPr>
            </w:pPr>
            <w:r>
              <w:rPr>
                <w:sz w:val="20"/>
                <w:szCs w:val="20"/>
              </w:rPr>
              <w:t xml:space="preserve">1</w:t>
            </w:r>
            <w:r>
              <w:rPr>
                <w:sz w:val="20"/>
                <w:szCs w:val="20"/>
              </w:rPr>
            </w:r>
            <w:r>
              <w:rPr>
                <w:sz w:val="20"/>
                <w:szCs w:val="20"/>
              </w:rPr>
            </w:r>
          </w:p>
        </w:tc>
      </w:tr>
      <w:tr>
        <w:tblPrEx/>
        <w:trPr>
          <w:trHeight w:val="20"/>
        </w:trPr>
        <w:tc>
          <w:tcPr>
            <w:shd w:val="clear" w:color="auto" w:fill="auto"/>
            <w:tcW w:w="1237" w:type="pct"/>
            <w:vAlign w:val="bottom"/>
            <w:textDirection w:val="lrTb"/>
            <w:noWrap w:val="false"/>
          </w:tcPr>
          <w:p>
            <w:pPr>
              <w:jc w:val="center"/>
              <w:rPr>
                <w:sz w:val="20"/>
                <w:szCs w:val="20"/>
              </w:rPr>
            </w:pPr>
            <w:r>
              <w:rPr>
                <w:sz w:val="20"/>
                <w:szCs w:val="20"/>
              </w:rPr>
              <w:t xml:space="preserve">ВЦ 4-70 №3,15</w:t>
            </w:r>
            <w:r>
              <w:rPr>
                <w:sz w:val="20"/>
                <w:szCs w:val="20"/>
              </w:rPr>
            </w:r>
            <w:r>
              <w:rPr>
                <w:sz w:val="20"/>
                <w:szCs w:val="20"/>
              </w:rPr>
            </w:r>
          </w:p>
        </w:tc>
        <w:tc>
          <w:tcPr>
            <w:shd w:val="clear" w:color="auto" w:fill="auto"/>
            <w:tcW w:w="1336" w:type="pct"/>
            <w:vAlign w:val="center"/>
            <w:textDirection w:val="lrTb"/>
            <w:noWrap w:val="false"/>
          </w:tcPr>
          <w:p>
            <w:pPr>
              <w:jc w:val="center"/>
              <w:rPr>
                <w:sz w:val="20"/>
                <w:szCs w:val="20"/>
              </w:rPr>
            </w:pPr>
            <w:r>
              <w:rPr>
                <w:sz w:val="20"/>
                <w:szCs w:val="20"/>
              </w:rPr>
              <w:t xml:space="preserve">вентилятор дутьевой</w:t>
            </w:r>
            <w:r>
              <w:rPr>
                <w:sz w:val="20"/>
                <w:szCs w:val="20"/>
              </w:rPr>
            </w:r>
            <w:r>
              <w:rPr>
                <w:sz w:val="20"/>
                <w:szCs w:val="20"/>
              </w:rPr>
            </w:r>
          </w:p>
        </w:tc>
        <w:tc>
          <w:tcPr>
            <w:shd w:val="clear" w:color="auto" w:fill="auto"/>
            <w:tcW w:w="764" w:type="pct"/>
            <w:vAlign w:val="center"/>
            <w:textDirection w:val="lrTb"/>
            <w:noWrap w:val="false"/>
          </w:tcPr>
          <w:p>
            <w:pPr>
              <w:jc w:val="center"/>
              <w:rPr>
                <w:sz w:val="20"/>
                <w:szCs w:val="20"/>
              </w:rPr>
            </w:pPr>
            <w:r>
              <w:rPr>
                <w:sz w:val="20"/>
                <w:szCs w:val="20"/>
              </w:rPr>
              <w:t xml:space="preserve">7890-4100</w:t>
            </w:r>
            <w:r>
              <w:rPr>
                <w:sz w:val="20"/>
                <w:szCs w:val="20"/>
              </w:rPr>
            </w:r>
            <w:r>
              <w:rPr>
                <w:sz w:val="20"/>
                <w:szCs w:val="20"/>
              </w:rPr>
            </w:r>
          </w:p>
        </w:tc>
        <w:tc>
          <w:tcPr>
            <w:shd w:val="clear" w:color="auto" w:fill="auto"/>
            <w:tcW w:w="834" w:type="pct"/>
            <w:vAlign w:val="center"/>
            <w:textDirection w:val="lrTb"/>
            <w:noWrap/>
          </w:tcPr>
          <w:p>
            <w:pPr>
              <w:jc w:val="center"/>
              <w:rPr>
                <w:sz w:val="20"/>
                <w:szCs w:val="20"/>
              </w:rPr>
            </w:pPr>
            <w:r>
              <w:rPr>
                <w:sz w:val="20"/>
                <w:szCs w:val="20"/>
              </w:rPr>
              <w:t xml:space="preserve">2,2</w:t>
            </w:r>
            <w:r>
              <w:rPr>
                <w:sz w:val="20"/>
                <w:szCs w:val="20"/>
              </w:rPr>
            </w:r>
            <w:r>
              <w:rPr>
                <w:sz w:val="20"/>
                <w:szCs w:val="20"/>
              </w:rPr>
            </w:r>
          </w:p>
        </w:tc>
        <w:tc>
          <w:tcPr>
            <w:shd w:val="clear" w:color="auto" w:fill="auto"/>
            <w:tcW w:w="829" w:type="pct"/>
            <w:vAlign w:val="center"/>
            <w:textDirection w:val="lrTb"/>
            <w:noWrap/>
          </w:tcPr>
          <w:p>
            <w:pPr>
              <w:jc w:val="center"/>
              <w:rPr>
                <w:sz w:val="20"/>
                <w:szCs w:val="20"/>
              </w:rPr>
            </w:pPr>
            <w:r>
              <w:rPr>
                <w:sz w:val="20"/>
                <w:szCs w:val="20"/>
              </w:rPr>
              <w:t xml:space="preserve">1</w:t>
            </w:r>
            <w:r>
              <w:rPr>
                <w:sz w:val="20"/>
                <w:szCs w:val="20"/>
              </w:rPr>
            </w:r>
            <w:r>
              <w:rPr>
                <w:sz w:val="20"/>
                <w:szCs w:val="20"/>
              </w:rPr>
            </w:r>
          </w:p>
        </w:tc>
      </w:tr>
      <w:tr>
        <w:tblPrEx/>
        <w:trPr>
          <w:trHeight w:val="20"/>
        </w:trPr>
        <w:tc>
          <w:tcPr>
            <w:gridSpan w:val="5"/>
            <w:shd w:val="clear" w:color="auto" w:fill="auto"/>
            <w:tcW w:w="5000" w:type="pct"/>
            <w:vAlign w:val="center"/>
            <w:textDirection w:val="lrTb"/>
            <w:noWrap w:val="false"/>
          </w:tcPr>
          <w:p>
            <w:pPr>
              <w:jc w:val="center"/>
              <w:rPr>
                <w:sz w:val="20"/>
                <w:szCs w:val="20"/>
              </w:rPr>
            </w:pPr>
            <w:r>
              <w:rPr>
                <w:sz w:val="20"/>
                <w:szCs w:val="20"/>
              </w:rPr>
              <w:t xml:space="preserve">Котельная ФКУ ИК №7 УФСИН России по Курганской области,</w:t>
            </w:r>
            <w:r>
              <w:rPr>
                <w:rFonts w:ascii="Liberation Serif" w:hAnsi="Liberation Serif" w:cs="Calibri"/>
                <w:color w:val="000000"/>
                <w:sz w:val="20"/>
                <w:szCs w:val="20"/>
              </w:rPr>
              <w:t xml:space="preserve"> Курганская область, р.п. Юргамыш, ул. Труда, 147</w:t>
            </w:r>
            <w:r>
              <w:rPr>
                <w:sz w:val="20"/>
                <w:szCs w:val="20"/>
              </w:rPr>
            </w:r>
            <w:r>
              <w:rPr>
                <w:sz w:val="20"/>
                <w:szCs w:val="20"/>
              </w:rPr>
            </w:r>
          </w:p>
        </w:tc>
      </w:tr>
      <w:tr>
        <w:tblPrEx/>
        <w:trPr>
          <w:trHeight w:val="20"/>
        </w:trPr>
        <w:tc>
          <w:tcPr>
            <w:shd w:val="clear" w:color="auto" w:fill="auto"/>
            <w:tcW w:w="1237" w:type="pct"/>
            <w:textDirection w:val="lrTb"/>
            <w:noWrap w:val="false"/>
          </w:tcPr>
          <w:p>
            <w:pPr>
              <w:jc w:val="center"/>
            </w:pPr>
            <w:r>
              <w:rPr>
                <w:sz w:val="20"/>
                <w:szCs w:val="20"/>
              </w:rPr>
              <w:t xml:space="preserve">н/д</w:t>
            </w:r>
            <w:r/>
          </w:p>
        </w:tc>
        <w:tc>
          <w:tcPr>
            <w:shd w:val="clear" w:color="auto" w:fill="auto"/>
            <w:tcW w:w="1336" w:type="pct"/>
            <w:textDirection w:val="lrTb"/>
            <w:noWrap w:val="false"/>
          </w:tcPr>
          <w:p>
            <w:pPr>
              <w:jc w:val="center"/>
            </w:pPr>
            <w:r>
              <w:rPr>
                <w:sz w:val="20"/>
                <w:szCs w:val="20"/>
              </w:rPr>
              <w:t xml:space="preserve">н/д</w:t>
            </w:r>
            <w:r/>
          </w:p>
        </w:tc>
        <w:tc>
          <w:tcPr>
            <w:shd w:val="clear" w:color="auto" w:fill="auto"/>
            <w:tcW w:w="764" w:type="pct"/>
            <w:textDirection w:val="lrTb"/>
            <w:noWrap w:val="false"/>
          </w:tcPr>
          <w:p>
            <w:pPr>
              <w:jc w:val="center"/>
            </w:pPr>
            <w:r>
              <w:rPr>
                <w:sz w:val="20"/>
                <w:szCs w:val="20"/>
              </w:rPr>
              <w:t xml:space="preserve">н/д</w:t>
            </w:r>
            <w:r/>
          </w:p>
        </w:tc>
        <w:tc>
          <w:tcPr>
            <w:shd w:val="clear" w:color="auto" w:fill="auto"/>
            <w:tcW w:w="834" w:type="pct"/>
            <w:textDirection w:val="lrTb"/>
            <w:noWrap/>
          </w:tcPr>
          <w:p>
            <w:pPr>
              <w:jc w:val="center"/>
            </w:pPr>
            <w:r>
              <w:rPr>
                <w:sz w:val="20"/>
                <w:szCs w:val="20"/>
              </w:rPr>
              <w:t xml:space="preserve">н/д</w:t>
            </w:r>
            <w:r/>
          </w:p>
        </w:tc>
        <w:tc>
          <w:tcPr>
            <w:shd w:val="clear" w:color="auto" w:fill="auto"/>
            <w:tcW w:w="829" w:type="pct"/>
            <w:textDirection w:val="lrTb"/>
            <w:noWrap/>
          </w:tcPr>
          <w:p>
            <w:pPr>
              <w:jc w:val="center"/>
            </w:pPr>
            <w:r>
              <w:rPr>
                <w:sz w:val="20"/>
                <w:szCs w:val="20"/>
              </w:rPr>
              <w:t xml:space="preserve">н/д</w:t>
            </w:r>
            <w:r/>
          </w:p>
        </w:tc>
      </w:tr>
      <w:tr>
        <w:tblPrEx/>
        <w:trPr>
          <w:trHeight w:val="20"/>
        </w:trPr>
        <w:tc>
          <w:tcPr>
            <w:gridSpan w:val="5"/>
            <w:shd w:val="clear" w:color="auto" w:fill="auto"/>
            <w:tcW w:w="5000" w:type="pct"/>
            <w:vAlign w:val="center"/>
            <w:textDirection w:val="lrTb"/>
            <w:noWrap w:val="false"/>
          </w:tcPr>
          <w:p>
            <w:pPr>
              <w:jc w:val="center"/>
              <w:rPr>
                <w:sz w:val="20"/>
                <w:szCs w:val="20"/>
              </w:rPr>
            </w:pPr>
            <w:r>
              <w:rPr>
                <w:sz w:val="20"/>
                <w:szCs w:val="20"/>
              </w:rPr>
              <w:t xml:space="preserve">Котельная </w:t>
            </w:r>
            <w:r>
              <w:rPr>
                <w:rFonts w:ascii="Liberation Serif" w:hAnsi="Liberation Serif" w:cs="Calibri"/>
                <w:color w:val="000000"/>
                <w:sz w:val="20"/>
                <w:szCs w:val="20"/>
              </w:rPr>
              <w:t xml:space="preserve">р.п. Юргамыш, ул. Ленина, 47а</w:t>
            </w:r>
            <w:r>
              <w:rPr>
                <w:sz w:val="20"/>
                <w:szCs w:val="20"/>
              </w:rPr>
            </w:r>
            <w:r>
              <w:rPr>
                <w:sz w:val="20"/>
                <w:szCs w:val="20"/>
              </w:rPr>
            </w:r>
          </w:p>
        </w:tc>
      </w:tr>
      <w:tr>
        <w:tblPrEx/>
        <w:trPr>
          <w:trHeight w:val="20"/>
        </w:trPr>
        <w:tc>
          <w:tcPr>
            <w:shd w:val="clear" w:color="auto" w:fill="auto"/>
            <w:tcW w:w="1237" w:type="pct"/>
            <w:textDirection w:val="lrTb"/>
            <w:noWrap w:val="false"/>
          </w:tcPr>
          <w:p>
            <w:pPr>
              <w:jc w:val="center"/>
            </w:pPr>
            <w:r>
              <w:rPr>
                <w:sz w:val="20"/>
                <w:szCs w:val="20"/>
              </w:rPr>
              <w:t xml:space="preserve">н/д</w:t>
            </w:r>
            <w:r/>
          </w:p>
        </w:tc>
        <w:tc>
          <w:tcPr>
            <w:shd w:val="clear" w:color="auto" w:fill="auto"/>
            <w:tcW w:w="1336" w:type="pct"/>
            <w:textDirection w:val="lrTb"/>
            <w:noWrap w:val="false"/>
          </w:tcPr>
          <w:p>
            <w:pPr>
              <w:jc w:val="center"/>
            </w:pPr>
            <w:r>
              <w:rPr>
                <w:sz w:val="20"/>
                <w:szCs w:val="20"/>
              </w:rPr>
              <w:t xml:space="preserve">н/д</w:t>
            </w:r>
            <w:r/>
          </w:p>
        </w:tc>
        <w:tc>
          <w:tcPr>
            <w:shd w:val="clear" w:color="auto" w:fill="auto"/>
            <w:tcW w:w="764" w:type="pct"/>
            <w:textDirection w:val="lrTb"/>
            <w:noWrap w:val="false"/>
          </w:tcPr>
          <w:p>
            <w:pPr>
              <w:jc w:val="center"/>
            </w:pPr>
            <w:r>
              <w:rPr>
                <w:sz w:val="20"/>
                <w:szCs w:val="20"/>
              </w:rPr>
              <w:t xml:space="preserve">н/д</w:t>
            </w:r>
            <w:r/>
          </w:p>
        </w:tc>
        <w:tc>
          <w:tcPr>
            <w:shd w:val="clear" w:color="auto" w:fill="auto"/>
            <w:tcW w:w="834" w:type="pct"/>
            <w:textDirection w:val="lrTb"/>
            <w:noWrap/>
          </w:tcPr>
          <w:p>
            <w:pPr>
              <w:jc w:val="center"/>
            </w:pPr>
            <w:r>
              <w:rPr>
                <w:sz w:val="20"/>
                <w:szCs w:val="20"/>
              </w:rPr>
              <w:t xml:space="preserve">н/д</w:t>
            </w:r>
            <w:r/>
          </w:p>
        </w:tc>
        <w:tc>
          <w:tcPr>
            <w:shd w:val="clear" w:color="auto" w:fill="auto"/>
            <w:tcW w:w="829" w:type="pct"/>
            <w:textDirection w:val="lrTb"/>
            <w:noWrap/>
          </w:tcPr>
          <w:p>
            <w:pPr>
              <w:jc w:val="center"/>
            </w:pPr>
            <w:r>
              <w:rPr>
                <w:sz w:val="20"/>
                <w:szCs w:val="20"/>
              </w:rPr>
              <w:t xml:space="preserve">н/д</w:t>
            </w:r>
            <w:r/>
          </w:p>
        </w:tc>
      </w:tr>
    </w:tbl>
    <w:p>
      <w:pPr>
        <w:jc w:val="center"/>
        <w:spacing w:before="72"/>
        <w:rPr>
          <w:sz w:val="24"/>
          <w:szCs w:val="24"/>
        </w:rPr>
      </w:pPr>
      <w:r>
        <w:rPr>
          <w:sz w:val="24"/>
          <w:szCs w:val="24"/>
        </w:rPr>
      </w:r>
      <w:r>
        <w:rPr>
          <w:sz w:val="24"/>
          <w:szCs w:val="24"/>
        </w:rPr>
      </w:r>
      <w:r>
        <w:rPr>
          <w:sz w:val="24"/>
          <w:szCs w:val="24"/>
        </w:rPr>
      </w:r>
    </w:p>
    <w:p>
      <w:pPr>
        <w:ind w:left="1395"/>
        <w:jc w:val="right"/>
        <w:spacing w:before="72"/>
        <w:rPr>
          <w:sz w:val="24"/>
          <w:szCs w:val="24"/>
        </w:rPr>
      </w:pPr>
      <w:r>
        <w:rPr>
          <w:sz w:val="24"/>
          <w:szCs w:val="24"/>
        </w:rPr>
        <w:t xml:space="preserve">Продолжение таблицы 1.2.1.4</w:t>
      </w:r>
      <w:r>
        <w:rPr>
          <w:spacing w:val="-8"/>
          <w:sz w:val="24"/>
          <w:szCs w:val="24"/>
        </w:rPr>
        <w:t xml:space="preserve"> </w:t>
      </w:r>
      <w:r>
        <w:rPr>
          <w:sz w:val="24"/>
          <w:szCs w:val="24"/>
        </w:rPr>
      </w:r>
      <w:r>
        <w:rPr>
          <w:sz w:val="24"/>
          <w:szCs w:val="24"/>
        </w:rPr>
      </w:r>
    </w:p>
    <w:p>
      <w:pPr>
        <w:jc w:val="center"/>
        <w:spacing w:before="72"/>
        <w:rPr>
          <w:sz w:val="24"/>
          <w:szCs w:val="24"/>
        </w:rPr>
      </w:pPr>
      <w:r>
        <w:rPr>
          <w:sz w:val="24"/>
          <w:szCs w:val="24"/>
        </w:rPr>
        <w:t xml:space="preserve">Технические параметры вспомогательного оборудования централизованных источников теплоснабжения Юргамышского муниципального округа</w:t>
      </w:r>
      <w:r>
        <w:rPr>
          <w:sz w:val="24"/>
          <w:szCs w:val="24"/>
        </w:rPr>
      </w:r>
      <w:r>
        <w:rPr>
          <w:sz w:val="24"/>
          <w:szCs w:val="24"/>
        </w:rPr>
      </w:r>
    </w:p>
    <w:tbl>
      <w:tblPr>
        <w:tblW w:w="4991" w:type="pct"/>
        <w:tblInd w:w="-10" w:type="dxa"/>
        <w:tblLayout w:type="fixed"/>
        <w:tblLook w:val="04A0" w:firstRow="1" w:lastRow="0" w:firstColumn="1" w:lastColumn="0" w:noHBand="0" w:noVBand="1"/>
      </w:tblPr>
      <w:tblGrid>
        <w:gridCol w:w="3779"/>
        <w:gridCol w:w="2176"/>
        <w:gridCol w:w="1783"/>
        <w:gridCol w:w="2259"/>
        <w:gridCol w:w="2356"/>
        <w:gridCol w:w="2409"/>
      </w:tblGrid>
      <w:tr>
        <w:tblPrEx/>
        <w:trPr>
          <w:trHeight w:val="20"/>
        </w:trPr>
        <w:tc>
          <w:tcPr>
            <w:gridSpan w:val="6"/>
            <w:shd w:val="clear" w:color="auto" w:fill="auto"/>
            <w:tcBorders>
              <w:top w:val="single" w:color="auto" w:sz="8" w:space="0"/>
              <w:left w:val="single" w:color="auto" w:sz="8" w:space="0"/>
              <w:bottom w:val="single" w:color="auto" w:sz="8" w:space="0"/>
              <w:right w:val="single" w:color="000000" w:sz="8" w:space="0"/>
            </w:tcBorders>
            <w:tcW w:w="5000" w:type="pct"/>
            <w:vAlign w:val="center"/>
            <w:textDirection w:val="lrTb"/>
            <w:noWrap w:val="false"/>
          </w:tcPr>
          <w:p>
            <w:pPr>
              <w:jc w:val="center"/>
              <w:rPr>
                <w:sz w:val="20"/>
                <w:szCs w:val="20"/>
              </w:rPr>
            </w:pPr>
            <w:r>
              <w:rPr>
                <w:sz w:val="20"/>
                <w:szCs w:val="20"/>
              </w:rPr>
              <w:t xml:space="preserve">Деаэраторы, теплообменники, баки и др.</w:t>
            </w:r>
            <w:r>
              <w:rPr>
                <w:sz w:val="20"/>
                <w:szCs w:val="20"/>
              </w:rPr>
            </w:r>
            <w:r>
              <w:rPr>
                <w:sz w:val="20"/>
                <w:szCs w:val="20"/>
              </w:rPr>
            </w:r>
          </w:p>
        </w:tc>
      </w:tr>
      <w:tr>
        <w:tblPrEx/>
        <w:trPr>
          <w:trHeight w:val="253"/>
        </w:trPr>
        <w:tc>
          <w:tcPr>
            <w:shd w:val="clear" w:color="auto" w:fill="auto"/>
            <w:tcBorders>
              <w:top w:val="single" w:color="auto" w:sz="8" w:space="0"/>
              <w:left w:val="single" w:color="auto" w:sz="8" w:space="0"/>
              <w:bottom w:val="single" w:color="000000" w:sz="8" w:space="0"/>
              <w:right w:val="single" w:color="auto" w:sz="4" w:space="0"/>
            </w:tcBorders>
            <w:tcW w:w="1280" w:type="pct"/>
            <w:vAlign w:val="center"/>
            <w:vMerge w:val="restart"/>
            <w:textDirection w:val="lrTb"/>
            <w:noWrap w:val="false"/>
          </w:tcPr>
          <w:p>
            <w:pPr>
              <w:jc w:val="center"/>
              <w:rPr>
                <w:sz w:val="20"/>
                <w:szCs w:val="20"/>
              </w:rPr>
            </w:pPr>
            <w:r>
              <w:rPr>
                <w:sz w:val="20"/>
                <w:szCs w:val="20"/>
              </w:rPr>
              <w:t xml:space="preserve">Назначение</w:t>
            </w:r>
            <w:r>
              <w:rPr>
                <w:sz w:val="20"/>
                <w:szCs w:val="20"/>
              </w:rPr>
            </w:r>
            <w:r>
              <w:rPr>
                <w:sz w:val="20"/>
                <w:szCs w:val="20"/>
              </w:rPr>
            </w:r>
          </w:p>
        </w:tc>
        <w:tc>
          <w:tcPr>
            <w:gridSpan w:val="2"/>
            <w:shd w:val="clear" w:color="auto" w:fill="auto"/>
            <w:tcBorders>
              <w:top w:val="single" w:color="auto" w:sz="8" w:space="0"/>
              <w:left w:val="single" w:color="auto" w:sz="8" w:space="0"/>
              <w:bottom w:val="single" w:color="000000" w:sz="8" w:space="0"/>
              <w:right w:val="single" w:color="000000" w:sz="8" w:space="0"/>
            </w:tcBorders>
            <w:tcW w:w="1341" w:type="pct"/>
            <w:vAlign w:val="center"/>
            <w:vMerge w:val="restart"/>
            <w:textDirection w:val="lrTb"/>
            <w:noWrap w:val="false"/>
          </w:tcPr>
          <w:p>
            <w:pPr>
              <w:jc w:val="center"/>
              <w:rPr>
                <w:sz w:val="20"/>
                <w:szCs w:val="20"/>
              </w:rPr>
            </w:pPr>
            <w:r>
              <w:rPr>
                <w:sz w:val="20"/>
                <w:szCs w:val="20"/>
              </w:rPr>
              <w:t xml:space="preserve">Марка, поверхность нагрева</w:t>
            </w:r>
            <w:r>
              <w:rPr>
                <w:sz w:val="20"/>
                <w:szCs w:val="20"/>
              </w:rPr>
            </w:r>
            <w:r>
              <w:rPr>
                <w:sz w:val="20"/>
                <w:szCs w:val="20"/>
              </w:rPr>
            </w:r>
          </w:p>
        </w:tc>
        <w:tc>
          <w:tcPr>
            <w:shd w:val="clear" w:color="auto" w:fill="auto"/>
            <w:tcBorders>
              <w:top w:val="none" w:color="000000" w:sz="4" w:space="0"/>
              <w:left w:val="single" w:color="auto" w:sz="8" w:space="0"/>
              <w:bottom w:val="single" w:color="000000" w:sz="8" w:space="0"/>
              <w:right w:val="single" w:color="auto" w:sz="4" w:space="0"/>
            </w:tcBorders>
            <w:tcW w:w="765" w:type="pct"/>
            <w:vAlign w:val="center"/>
            <w:vMerge w:val="restart"/>
            <w:textDirection w:val="lrTb"/>
            <w:noWrap w:val="false"/>
          </w:tcPr>
          <w:p>
            <w:pPr>
              <w:jc w:val="center"/>
              <w:rPr>
                <w:sz w:val="20"/>
                <w:szCs w:val="20"/>
              </w:rPr>
            </w:pPr>
            <w:r>
              <w:rPr>
                <w:sz w:val="20"/>
                <w:szCs w:val="20"/>
              </w:rPr>
              <w:t xml:space="preserve">Производительность</w:t>
            </w:r>
            <w:r>
              <w:rPr>
                <w:sz w:val="20"/>
                <w:szCs w:val="20"/>
              </w:rPr>
              <w:t xml:space="preserve">,</w:t>
            </w:r>
            <w:r>
              <w:rPr>
                <w:sz w:val="20"/>
                <w:szCs w:val="20"/>
              </w:rPr>
              <w:t xml:space="preserve">   м³/ч</w:t>
            </w:r>
            <w:r>
              <w:rPr>
                <w:sz w:val="20"/>
                <w:szCs w:val="20"/>
              </w:rPr>
            </w:r>
            <w:r>
              <w:rPr>
                <w:sz w:val="20"/>
                <w:szCs w:val="20"/>
              </w:rPr>
            </w:r>
          </w:p>
        </w:tc>
        <w:tc>
          <w:tcPr>
            <w:shd w:val="clear" w:color="auto" w:fill="auto"/>
            <w:tcBorders>
              <w:top w:val="none" w:color="000000" w:sz="4" w:space="0"/>
              <w:left w:val="single" w:color="auto" w:sz="4" w:space="0"/>
              <w:bottom w:val="single" w:color="000000" w:sz="8" w:space="0"/>
              <w:right w:val="single" w:color="auto" w:sz="4" w:space="0"/>
            </w:tcBorders>
            <w:tcW w:w="798" w:type="pct"/>
            <w:vAlign w:val="center"/>
            <w:vMerge w:val="restart"/>
            <w:textDirection w:val="lrTb"/>
            <w:noWrap w:val="false"/>
          </w:tcPr>
          <w:p>
            <w:pPr>
              <w:jc w:val="center"/>
              <w:rPr>
                <w:sz w:val="20"/>
                <w:szCs w:val="20"/>
              </w:rPr>
            </w:pPr>
            <w:r>
              <w:rPr>
                <w:sz w:val="20"/>
                <w:szCs w:val="20"/>
              </w:rPr>
              <w:t xml:space="preserve">Мощность двигателя</w:t>
            </w:r>
            <w:r>
              <w:rPr>
                <w:sz w:val="20"/>
                <w:szCs w:val="20"/>
              </w:rPr>
              <w:t xml:space="preserve">,</w:t>
            </w:r>
            <w:r>
              <w:rPr>
                <w:sz w:val="20"/>
                <w:szCs w:val="20"/>
              </w:rPr>
              <w:t xml:space="preserve">   кВтч</w:t>
            </w:r>
            <w:r>
              <w:rPr>
                <w:sz w:val="20"/>
                <w:szCs w:val="20"/>
              </w:rPr>
            </w:r>
            <w:r>
              <w:rPr>
                <w:sz w:val="20"/>
                <w:szCs w:val="20"/>
              </w:rPr>
            </w:r>
          </w:p>
        </w:tc>
        <w:tc>
          <w:tcPr>
            <w:shd w:val="clear" w:color="auto" w:fill="auto"/>
            <w:tcBorders>
              <w:top w:val="none" w:color="000000" w:sz="4" w:space="0"/>
              <w:left w:val="single" w:color="auto" w:sz="4" w:space="0"/>
              <w:bottom w:val="single" w:color="000000" w:sz="8" w:space="0"/>
              <w:right w:val="single" w:color="auto" w:sz="8" w:space="0"/>
            </w:tcBorders>
            <w:tcW w:w="816" w:type="pct"/>
            <w:vAlign w:val="center"/>
            <w:vMerge w:val="restart"/>
            <w:textDirection w:val="lrTb"/>
            <w:noWrap w:val="false"/>
          </w:tcPr>
          <w:p>
            <w:pPr>
              <w:jc w:val="center"/>
              <w:rPr>
                <w:sz w:val="20"/>
                <w:szCs w:val="20"/>
              </w:rPr>
            </w:pPr>
            <w:r>
              <w:rPr>
                <w:sz w:val="20"/>
                <w:szCs w:val="20"/>
              </w:rPr>
              <w:t xml:space="preserve">Кол-во</w:t>
            </w:r>
            <w:r>
              <w:rPr>
                <w:sz w:val="20"/>
                <w:szCs w:val="20"/>
              </w:rPr>
            </w:r>
            <w:r>
              <w:rPr>
                <w:sz w:val="20"/>
                <w:szCs w:val="20"/>
              </w:rPr>
            </w:r>
          </w:p>
        </w:tc>
      </w:tr>
      <w:tr>
        <w:tblPrEx/>
        <w:trPr>
          <w:trHeight w:val="20"/>
        </w:trPr>
        <w:tc>
          <w:tcPr>
            <w:gridSpan w:val="6"/>
            <w:shd w:val="clear" w:color="auto" w:fill="auto"/>
            <w:tcBorders>
              <w:top w:val="none" w:color="000000" w:sz="4" w:space="0"/>
              <w:left w:val="single" w:color="auto" w:sz="8" w:space="0"/>
              <w:bottom w:val="single" w:color="auto" w:sz="4" w:space="0"/>
              <w:right w:val="single" w:color="auto" w:sz="8" w:space="0"/>
            </w:tcBorders>
            <w:tcW w:w="5000" w:type="pct"/>
            <w:vAlign w:val="center"/>
            <w:textDirection w:val="lrTb"/>
            <w:noWrap w:val="false"/>
          </w:tcPr>
          <w:p>
            <w:pPr>
              <w:jc w:val="center"/>
              <w:rPr>
                <w:sz w:val="20"/>
                <w:szCs w:val="20"/>
              </w:rPr>
            </w:pPr>
            <w:r>
              <w:rPr>
                <w:color w:val="000000"/>
                <w:sz w:val="20"/>
                <w:szCs w:val="20"/>
              </w:rPr>
              <w:t xml:space="preserve">Котельная </w:t>
            </w:r>
            <w:r>
              <w:rPr>
                <w:rFonts w:ascii="Liberation Serif" w:hAnsi="Liberation Serif" w:cs="Calibri"/>
                <w:color w:val="000000"/>
                <w:sz w:val="20"/>
                <w:szCs w:val="20"/>
              </w:rPr>
              <w:t xml:space="preserve">п. Новый Мир, ЛПДС «Юргамыш»</w:t>
            </w:r>
            <w:r>
              <w:rPr>
                <w:sz w:val="20"/>
                <w:szCs w:val="20"/>
              </w:rPr>
            </w:r>
            <w:r>
              <w:rPr>
                <w:sz w:val="20"/>
                <w:szCs w:val="20"/>
              </w:rPr>
            </w:r>
          </w:p>
        </w:tc>
      </w:tr>
      <w:tr>
        <w:tblPrEx/>
        <w:trPr>
          <w:trHeight w:val="20"/>
        </w:trPr>
        <w:tc>
          <w:tcPr>
            <w:shd w:val="clear" w:color="auto" w:fill="auto"/>
            <w:tcBorders>
              <w:top w:val="none" w:color="000000" w:sz="4" w:space="0"/>
              <w:left w:val="single" w:color="auto" w:sz="8" w:space="0"/>
              <w:bottom w:val="single" w:color="auto" w:sz="4" w:space="0"/>
              <w:right w:val="none" w:color="000000" w:sz="4" w:space="0"/>
            </w:tcBorders>
            <w:tcW w:w="1280" w:type="pct"/>
            <w:vAlign w:val="center"/>
            <w:textDirection w:val="lrTb"/>
            <w:noWrap w:val="false"/>
          </w:tcPr>
          <w:p>
            <w:pPr>
              <w:jc w:val="center"/>
              <w:rPr>
                <w:sz w:val="20"/>
                <w:szCs w:val="20"/>
              </w:rPr>
            </w:pPr>
            <w:r>
              <w:rPr>
                <w:sz w:val="20"/>
                <w:szCs w:val="20"/>
              </w:rPr>
              <w:t xml:space="preserve">Аккумбак</w:t>
            </w:r>
            <w:r>
              <w:rPr>
                <w:sz w:val="20"/>
                <w:szCs w:val="20"/>
              </w:rPr>
            </w:r>
            <w:r>
              <w:rPr>
                <w:sz w:val="20"/>
                <w:szCs w:val="20"/>
              </w:rPr>
            </w:r>
          </w:p>
        </w:tc>
        <w:tc>
          <w:tcPr>
            <w:gridSpan w:val="2"/>
            <w:shd w:val="clear" w:color="auto" w:fill="auto"/>
            <w:tcBorders>
              <w:top w:val="none" w:color="000000" w:sz="4" w:space="0"/>
              <w:left w:val="single" w:color="auto" w:sz="8" w:space="0"/>
              <w:bottom w:val="single" w:color="auto" w:sz="4" w:space="0"/>
              <w:right w:val="single" w:color="000000" w:sz="8" w:space="0"/>
            </w:tcBorders>
            <w:tcW w:w="1341" w:type="pct"/>
            <w:vAlign w:val="center"/>
            <w:textDirection w:val="lrTb"/>
            <w:noWrap w:val="false"/>
          </w:tcPr>
          <w:p>
            <w:pPr>
              <w:jc w:val="center"/>
              <w:rPr>
                <w:sz w:val="20"/>
                <w:szCs w:val="20"/>
              </w:rPr>
            </w:pPr>
            <w:r>
              <w:rPr>
                <w:sz w:val="20"/>
                <w:szCs w:val="20"/>
              </w:rPr>
            </w:r>
            <w:r>
              <w:rPr>
                <w:sz w:val="20"/>
                <w:szCs w:val="20"/>
              </w:rPr>
            </w:r>
            <w:r>
              <w:rPr>
                <w:sz w:val="20"/>
                <w:szCs w:val="20"/>
              </w:rPr>
            </w:r>
          </w:p>
        </w:tc>
        <w:tc>
          <w:tcPr>
            <w:shd w:val="clear" w:color="auto" w:fill="auto"/>
            <w:tcBorders>
              <w:top w:val="none" w:color="000000" w:sz="4" w:space="0"/>
              <w:left w:val="none" w:color="000000" w:sz="4" w:space="0"/>
              <w:bottom w:val="single" w:color="auto" w:sz="4" w:space="0"/>
              <w:right w:val="single" w:color="auto" w:sz="4" w:space="0"/>
            </w:tcBorders>
            <w:tcW w:w="765" w:type="pct"/>
            <w:vAlign w:val="center"/>
            <w:textDirection w:val="lrTb"/>
            <w:noWrap w:val="false"/>
          </w:tcPr>
          <w:p>
            <w:pPr>
              <w:jc w:val="center"/>
              <w:rPr>
                <w:sz w:val="20"/>
                <w:szCs w:val="20"/>
              </w:rPr>
            </w:pPr>
            <w:r>
              <w:rPr>
                <w:sz w:val="20"/>
                <w:szCs w:val="20"/>
              </w:rPr>
              <w:t xml:space="preserve">100</w:t>
            </w:r>
            <w:r>
              <w:rPr>
                <w:sz w:val="20"/>
                <w:szCs w:val="20"/>
              </w:rPr>
            </w:r>
            <w:r>
              <w:rPr>
                <w:sz w:val="20"/>
                <w:szCs w:val="20"/>
              </w:rPr>
            </w:r>
          </w:p>
        </w:tc>
        <w:tc>
          <w:tcPr>
            <w:shd w:val="clear" w:color="auto" w:fill="auto"/>
            <w:tcBorders>
              <w:top w:val="none" w:color="000000" w:sz="4" w:space="0"/>
              <w:left w:val="none" w:color="000000" w:sz="4" w:space="0"/>
              <w:bottom w:val="single" w:color="auto" w:sz="4" w:space="0"/>
              <w:right w:val="single" w:color="auto" w:sz="4" w:space="0"/>
            </w:tcBorders>
            <w:tcW w:w="798" w:type="pct"/>
            <w:vAlign w:val="center"/>
            <w:textDirection w:val="lrTb"/>
            <w:noWrap w:val="false"/>
          </w:tcPr>
          <w:p>
            <w:pPr>
              <w:jc w:val="center"/>
              <w:rPr>
                <w:sz w:val="20"/>
                <w:szCs w:val="20"/>
              </w:rPr>
            </w:pPr>
            <w:r>
              <w:rPr>
                <w:sz w:val="20"/>
                <w:szCs w:val="20"/>
              </w:rPr>
            </w:r>
            <w:r>
              <w:rPr>
                <w:sz w:val="20"/>
                <w:szCs w:val="20"/>
              </w:rPr>
            </w:r>
            <w:r>
              <w:rPr>
                <w:sz w:val="20"/>
                <w:szCs w:val="20"/>
              </w:rPr>
            </w:r>
          </w:p>
        </w:tc>
        <w:tc>
          <w:tcPr>
            <w:shd w:val="clear" w:color="auto" w:fill="auto"/>
            <w:tcBorders>
              <w:top w:val="none" w:color="000000" w:sz="4" w:space="0"/>
              <w:left w:val="none" w:color="000000" w:sz="4" w:space="0"/>
              <w:bottom w:val="single" w:color="auto" w:sz="4" w:space="0"/>
              <w:right w:val="single" w:color="auto" w:sz="8" w:space="0"/>
            </w:tcBorders>
            <w:tcW w:w="816" w:type="pct"/>
            <w:vAlign w:val="center"/>
            <w:textDirection w:val="lrTb"/>
            <w:noWrap w:val="false"/>
          </w:tcPr>
          <w:p>
            <w:pPr>
              <w:jc w:val="center"/>
              <w:rPr>
                <w:sz w:val="20"/>
                <w:szCs w:val="20"/>
              </w:rPr>
            </w:pPr>
            <w:r>
              <w:rPr>
                <w:sz w:val="20"/>
                <w:szCs w:val="20"/>
              </w:rPr>
              <w:t xml:space="preserve">1</w:t>
            </w:r>
            <w:r>
              <w:rPr>
                <w:sz w:val="20"/>
                <w:szCs w:val="20"/>
              </w:rPr>
            </w:r>
            <w:r>
              <w:rPr>
                <w:sz w:val="20"/>
                <w:szCs w:val="20"/>
              </w:rPr>
            </w:r>
          </w:p>
        </w:tc>
      </w:tr>
      <w:tr>
        <w:tblPrEx/>
        <w:trPr>
          <w:trHeight w:val="20"/>
        </w:trPr>
        <w:tc>
          <w:tcPr>
            <w:shd w:val="clear" w:color="auto" w:fill="auto"/>
            <w:tcBorders>
              <w:top w:val="single" w:color="auto" w:sz="4" w:space="0"/>
              <w:left w:val="single" w:color="auto" w:sz="8" w:space="0"/>
              <w:bottom w:val="single" w:color="auto" w:sz="4" w:space="0"/>
              <w:right w:val="none" w:color="000000" w:sz="4" w:space="0"/>
            </w:tcBorders>
            <w:tcW w:w="1280" w:type="pct"/>
            <w:vAlign w:val="center"/>
            <w:textDirection w:val="lrTb"/>
            <w:noWrap w:val="false"/>
          </w:tcPr>
          <w:p>
            <w:pPr>
              <w:jc w:val="center"/>
              <w:rPr>
                <w:sz w:val="20"/>
                <w:szCs w:val="20"/>
              </w:rPr>
            </w:pPr>
            <w:r>
              <w:rPr>
                <w:sz w:val="20"/>
                <w:szCs w:val="20"/>
              </w:rPr>
              <w:t xml:space="preserve">Деаэратор</w:t>
            </w:r>
            <w:r>
              <w:rPr>
                <w:sz w:val="20"/>
                <w:szCs w:val="20"/>
              </w:rPr>
            </w:r>
            <w:r>
              <w:rPr>
                <w:sz w:val="20"/>
                <w:szCs w:val="20"/>
              </w:rPr>
            </w:r>
          </w:p>
        </w:tc>
        <w:tc>
          <w:tcPr>
            <w:gridSpan w:val="2"/>
            <w:shd w:val="clear" w:color="auto" w:fill="auto"/>
            <w:tcBorders>
              <w:top w:val="single" w:color="auto" w:sz="4" w:space="0"/>
              <w:left w:val="single" w:color="auto" w:sz="8" w:space="0"/>
              <w:bottom w:val="single" w:color="auto" w:sz="4" w:space="0"/>
              <w:right w:val="single" w:color="000000" w:sz="8" w:space="0"/>
            </w:tcBorders>
            <w:tcW w:w="1341" w:type="pct"/>
            <w:vAlign w:val="center"/>
            <w:textDirection w:val="lrTb"/>
            <w:noWrap w:val="false"/>
          </w:tcPr>
          <w:p>
            <w:pPr>
              <w:jc w:val="center"/>
              <w:rPr>
                <w:sz w:val="20"/>
                <w:szCs w:val="20"/>
              </w:rPr>
            </w:pPr>
            <w:r>
              <w:rPr>
                <w:sz w:val="20"/>
                <w:szCs w:val="20"/>
              </w:rPr>
              <w:t xml:space="preserve">БДА-25</w:t>
            </w:r>
            <w:r>
              <w:rPr>
                <w:sz w:val="20"/>
                <w:szCs w:val="20"/>
              </w:rPr>
            </w:r>
            <w:r>
              <w:rPr>
                <w:sz w:val="20"/>
                <w:szCs w:val="20"/>
              </w:rPr>
            </w:r>
          </w:p>
        </w:tc>
        <w:tc>
          <w:tcPr>
            <w:shd w:val="clear" w:color="auto" w:fill="auto"/>
            <w:tcBorders>
              <w:top w:val="none" w:color="000000" w:sz="4" w:space="0"/>
              <w:left w:val="none" w:color="000000" w:sz="4" w:space="0"/>
              <w:bottom w:val="single" w:color="auto" w:sz="4" w:space="0"/>
              <w:right w:val="single" w:color="auto" w:sz="4" w:space="0"/>
            </w:tcBorders>
            <w:tcW w:w="765" w:type="pct"/>
            <w:vAlign w:val="center"/>
            <w:textDirection w:val="lrTb"/>
            <w:noWrap w:val="false"/>
          </w:tcPr>
          <w:p>
            <w:pPr>
              <w:jc w:val="center"/>
              <w:rPr>
                <w:sz w:val="20"/>
                <w:szCs w:val="20"/>
              </w:rPr>
            </w:pPr>
            <w:r>
              <w:rPr>
                <w:sz w:val="20"/>
                <w:szCs w:val="20"/>
              </w:rPr>
              <w:t xml:space="preserve">30</w:t>
            </w:r>
            <w:r>
              <w:rPr>
                <w:sz w:val="20"/>
                <w:szCs w:val="20"/>
              </w:rPr>
            </w:r>
            <w:r>
              <w:rPr>
                <w:sz w:val="20"/>
                <w:szCs w:val="20"/>
              </w:rPr>
            </w:r>
          </w:p>
        </w:tc>
        <w:tc>
          <w:tcPr>
            <w:shd w:val="clear" w:color="auto" w:fill="auto"/>
            <w:tcBorders>
              <w:top w:val="none" w:color="000000" w:sz="4" w:space="0"/>
              <w:left w:val="none" w:color="000000" w:sz="4" w:space="0"/>
              <w:bottom w:val="single" w:color="auto" w:sz="4" w:space="0"/>
              <w:right w:val="single" w:color="auto" w:sz="4" w:space="0"/>
            </w:tcBorders>
            <w:tcW w:w="798" w:type="pct"/>
            <w:vAlign w:val="center"/>
            <w:textDirection w:val="lrTb"/>
            <w:noWrap w:val="false"/>
          </w:tcPr>
          <w:p>
            <w:pPr>
              <w:jc w:val="center"/>
              <w:rPr>
                <w:sz w:val="20"/>
                <w:szCs w:val="20"/>
              </w:rPr>
            </w:pPr>
            <w:r>
              <w:rPr>
                <w:sz w:val="20"/>
                <w:szCs w:val="20"/>
              </w:rPr>
            </w:r>
            <w:r>
              <w:rPr>
                <w:sz w:val="20"/>
                <w:szCs w:val="20"/>
              </w:rPr>
            </w:r>
            <w:r>
              <w:rPr>
                <w:sz w:val="20"/>
                <w:szCs w:val="20"/>
              </w:rPr>
            </w:r>
          </w:p>
        </w:tc>
        <w:tc>
          <w:tcPr>
            <w:shd w:val="clear" w:color="auto" w:fill="auto"/>
            <w:tcBorders>
              <w:top w:val="none" w:color="000000" w:sz="4" w:space="0"/>
              <w:left w:val="none" w:color="000000" w:sz="4" w:space="0"/>
              <w:bottom w:val="single" w:color="auto" w:sz="4" w:space="0"/>
              <w:right w:val="single" w:color="auto" w:sz="8" w:space="0"/>
            </w:tcBorders>
            <w:tcW w:w="816" w:type="pct"/>
            <w:vAlign w:val="center"/>
            <w:textDirection w:val="lrTb"/>
            <w:noWrap w:val="false"/>
          </w:tcPr>
          <w:p>
            <w:pPr>
              <w:jc w:val="center"/>
              <w:rPr>
                <w:sz w:val="20"/>
                <w:szCs w:val="20"/>
              </w:rPr>
            </w:pPr>
            <w:r>
              <w:rPr>
                <w:sz w:val="20"/>
                <w:szCs w:val="20"/>
              </w:rPr>
              <w:t xml:space="preserve">1</w:t>
            </w:r>
            <w:r>
              <w:rPr>
                <w:sz w:val="20"/>
                <w:szCs w:val="20"/>
              </w:rPr>
            </w:r>
            <w:r>
              <w:rPr>
                <w:sz w:val="20"/>
                <w:szCs w:val="20"/>
              </w:rPr>
            </w:r>
          </w:p>
        </w:tc>
      </w:tr>
      <w:tr>
        <w:tblPrEx/>
        <w:trPr>
          <w:trHeight w:val="20"/>
        </w:trPr>
        <w:tc>
          <w:tcPr>
            <w:shd w:val="clear" w:color="auto" w:fill="auto"/>
            <w:tcBorders>
              <w:top w:val="none" w:color="000000" w:sz="4" w:space="0"/>
              <w:left w:val="single" w:color="auto" w:sz="8" w:space="0"/>
              <w:bottom w:val="single" w:color="auto" w:sz="4" w:space="0"/>
              <w:right w:val="none" w:color="000000" w:sz="4" w:space="0"/>
            </w:tcBorders>
            <w:tcW w:w="1280" w:type="pct"/>
            <w:vAlign w:val="center"/>
            <w:textDirection w:val="lrTb"/>
            <w:noWrap w:val="false"/>
          </w:tcPr>
          <w:p>
            <w:pPr>
              <w:jc w:val="center"/>
              <w:rPr>
                <w:sz w:val="20"/>
                <w:szCs w:val="20"/>
              </w:rPr>
            </w:pPr>
            <w:r>
              <w:rPr>
                <w:sz w:val="20"/>
                <w:szCs w:val="20"/>
              </w:rPr>
              <w:t xml:space="preserve">Теплообменник</w:t>
            </w:r>
            <w:r>
              <w:rPr>
                <w:sz w:val="20"/>
                <w:szCs w:val="20"/>
              </w:rPr>
            </w:r>
            <w:r>
              <w:rPr>
                <w:sz w:val="20"/>
                <w:szCs w:val="20"/>
              </w:rPr>
            </w:r>
          </w:p>
        </w:tc>
        <w:tc>
          <w:tcPr>
            <w:shd w:val="clear" w:color="auto" w:fill="auto"/>
            <w:tcBorders>
              <w:top w:val="none" w:color="000000" w:sz="4" w:space="0"/>
              <w:left w:val="single" w:color="auto" w:sz="4" w:space="0"/>
              <w:bottom w:val="single" w:color="auto" w:sz="4" w:space="0"/>
              <w:right w:val="single" w:color="auto" w:sz="4" w:space="0"/>
            </w:tcBorders>
            <w:tcW w:w="737" w:type="pct"/>
            <w:vAlign w:val="center"/>
            <w:textDirection w:val="lrTb"/>
            <w:noWrap w:val="false"/>
          </w:tcPr>
          <w:p>
            <w:pPr>
              <w:jc w:val="center"/>
              <w:rPr>
                <w:sz w:val="20"/>
                <w:szCs w:val="20"/>
              </w:rPr>
            </w:pPr>
            <w:r>
              <w:rPr>
                <w:sz w:val="20"/>
                <w:szCs w:val="20"/>
              </w:rPr>
              <w:t xml:space="preserve">VT10VK/COS16/12</w:t>
            </w:r>
            <w:r>
              <w:rPr>
                <w:sz w:val="20"/>
                <w:szCs w:val="20"/>
              </w:rPr>
            </w:r>
            <w:r>
              <w:rPr>
                <w:sz w:val="20"/>
                <w:szCs w:val="20"/>
              </w:rPr>
            </w:r>
          </w:p>
        </w:tc>
        <w:tc>
          <w:tcPr>
            <w:shd w:val="clear" w:color="auto" w:fill="auto"/>
            <w:tcBorders>
              <w:top w:val="none" w:color="000000" w:sz="4" w:space="0"/>
              <w:left w:val="none" w:color="000000" w:sz="4" w:space="0"/>
              <w:bottom w:val="single" w:color="auto" w:sz="4" w:space="0"/>
              <w:right w:val="single" w:color="auto" w:sz="8" w:space="0"/>
            </w:tcBorders>
            <w:tcW w:w="604" w:type="pct"/>
            <w:vAlign w:val="center"/>
            <w:textDirection w:val="lrTb"/>
            <w:noWrap w:val="false"/>
          </w:tcPr>
          <w:p>
            <w:pPr>
              <w:jc w:val="center"/>
              <w:rPr>
                <w:sz w:val="20"/>
                <w:szCs w:val="20"/>
              </w:rPr>
            </w:pPr>
            <w:r>
              <w:rPr>
                <w:sz w:val="20"/>
                <w:szCs w:val="20"/>
              </w:rPr>
              <w:t xml:space="preserve">1,15</w:t>
            </w:r>
            <w:r>
              <w:rPr>
                <w:sz w:val="20"/>
                <w:szCs w:val="20"/>
              </w:rPr>
            </w:r>
            <w:r>
              <w:rPr>
                <w:sz w:val="20"/>
                <w:szCs w:val="20"/>
              </w:rPr>
            </w:r>
          </w:p>
        </w:tc>
        <w:tc>
          <w:tcPr>
            <w:shd w:val="clear" w:color="auto" w:fill="auto"/>
            <w:tcBorders>
              <w:top w:val="none" w:color="000000" w:sz="4" w:space="0"/>
              <w:left w:val="none" w:color="000000" w:sz="4" w:space="0"/>
              <w:bottom w:val="single" w:color="auto" w:sz="4" w:space="0"/>
              <w:right w:val="single" w:color="auto" w:sz="4" w:space="0"/>
            </w:tcBorders>
            <w:tcW w:w="765" w:type="pct"/>
            <w:vAlign w:val="center"/>
            <w:textDirection w:val="lrTb"/>
            <w:noWrap w:val="false"/>
          </w:tcPr>
          <w:p>
            <w:pPr>
              <w:jc w:val="center"/>
              <w:rPr>
                <w:sz w:val="20"/>
                <w:szCs w:val="20"/>
              </w:rPr>
            </w:pPr>
            <w:r>
              <w:rPr>
                <w:sz w:val="20"/>
                <w:szCs w:val="20"/>
              </w:rPr>
            </w:r>
            <w:r>
              <w:rPr>
                <w:sz w:val="20"/>
                <w:szCs w:val="20"/>
              </w:rPr>
            </w:r>
            <w:r>
              <w:rPr>
                <w:sz w:val="20"/>
                <w:szCs w:val="20"/>
              </w:rPr>
            </w:r>
          </w:p>
        </w:tc>
        <w:tc>
          <w:tcPr>
            <w:shd w:val="clear" w:color="auto" w:fill="auto"/>
            <w:tcBorders>
              <w:top w:val="none" w:color="000000" w:sz="4" w:space="0"/>
              <w:left w:val="none" w:color="000000" w:sz="4" w:space="0"/>
              <w:bottom w:val="single" w:color="auto" w:sz="4" w:space="0"/>
              <w:right w:val="single" w:color="auto" w:sz="4" w:space="0"/>
            </w:tcBorders>
            <w:tcW w:w="798" w:type="pct"/>
            <w:vAlign w:val="center"/>
            <w:textDirection w:val="lrTb"/>
            <w:noWrap w:val="false"/>
          </w:tcPr>
          <w:p>
            <w:pPr>
              <w:jc w:val="center"/>
              <w:rPr>
                <w:sz w:val="20"/>
                <w:szCs w:val="20"/>
              </w:rPr>
            </w:pPr>
            <w:r>
              <w:rPr>
                <w:sz w:val="20"/>
                <w:szCs w:val="20"/>
              </w:rPr>
            </w:r>
            <w:r>
              <w:rPr>
                <w:sz w:val="20"/>
                <w:szCs w:val="20"/>
              </w:rPr>
            </w:r>
            <w:r>
              <w:rPr>
                <w:sz w:val="20"/>
                <w:szCs w:val="20"/>
              </w:rPr>
            </w:r>
          </w:p>
        </w:tc>
        <w:tc>
          <w:tcPr>
            <w:shd w:val="clear" w:color="auto" w:fill="auto"/>
            <w:tcBorders>
              <w:top w:val="none" w:color="000000" w:sz="4" w:space="0"/>
              <w:left w:val="none" w:color="000000" w:sz="4" w:space="0"/>
              <w:bottom w:val="single" w:color="auto" w:sz="4" w:space="0"/>
              <w:right w:val="single" w:color="auto" w:sz="8" w:space="0"/>
            </w:tcBorders>
            <w:tcW w:w="816" w:type="pct"/>
            <w:vAlign w:val="center"/>
            <w:textDirection w:val="lrTb"/>
            <w:noWrap w:val="false"/>
          </w:tcPr>
          <w:p>
            <w:pPr>
              <w:jc w:val="center"/>
              <w:rPr>
                <w:sz w:val="20"/>
                <w:szCs w:val="20"/>
              </w:rPr>
            </w:pPr>
            <w:r>
              <w:rPr>
                <w:sz w:val="20"/>
                <w:szCs w:val="20"/>
              </w:rPr>
              <w:t xml:space="preserve">2</w:t>
            </w:r>
            <w:r>
              <w:rPr>
                <w:sz w:val="20"/>
                <w:szCs w:val="20"/>
              </w:rPr>
            </w:r>
            <w:r>
              <w:rPr>
                <w:sz w:val="20"/>
                <w:szCs w:val="20"/>
              </w:rPr>
            </w:r>
          </w:p>
        </w:tc>
      </w:tr>
      <w:tr>
        <w:tblPrEx/>
        <w:trPr>
          <w:trHeight w:val="20"/>
        </w:trPr>
        <w:tc>
          <w:tcPr>
            <w:shd w:val="clear" w:color="auto" w:fill="auto"/>
            <w:tcBorders>
              <w:top w:val="single" w:color="auto" w:sz="4" w:space="0"/>
              <w:left w:val="single" w:color="auto" w:sz="4" w:space="0"/>
              <w:bottom w:val="single" w:color="auto" w:sz="4" w:space="0"/>
              <w:right w:val="single" w:color="auto" w:sz="4" w:space="0"/>
            </w:tcBorders>
            <w:tcW w:w="1280" w:type="pct"/>
            <w:vAlign w:val="center"/>
            <w:textDirection w:val="lrTb"/>
            <w:noWrap w:val="false"/>
          </w:tcPr>
          <w:p>
            <w:pPr>
              <w:jc w:val="center"/>
              <w:rPr>
                <w:sz w:val="20"/>
                <w:szCs w:val="20"/>
              </w:rPr>
            </w:pPr>
            <w:r>
              <w:rPr>
                <w:sz w:val="20"/>
                <w:szCs w:val="20"/>
              </w:rPr>
              <w:t xml:space="preserve">Теплообменник</w:t>
            </w:r>
            <w:r>
              <w:rPr>
                <w:sz w:val="20"/>
                <w:szCs w:val="20"/>
              </w:rPr>
            </w:r>
            <w:r>
              <w:rPr>
                <w:sz w:val="20"/>
                <w:szCs w:val="20"/>
              </w:rPr>
            </w:r>
          </w:p>
        </w:tc>
        <w:tc>
          <w:tcPr>
            <w:shd w:val="clear" w:color="auto" w:fill="auto"/>
            <w:tcBorders>
              <w:top w:val="single" w:color="auto" w:sz="4" w:space="0"/>
              <w:left w:val="single" w:color="auto" w:sz="4" w:space="0"/>
              <w:bottom w:val="single" w:color="auto" w:sz="4" w:space="0"/>
              <w:right w:val="single" w:color="auto" w:sz="4" w:space="0"/>
            </w:tcBorders>
            <w:tcW w:w="737" w:type="pct"/>
            <w:vAlign w:val="center"/>
            <w:textDirection w:val="lrTb"/>
            <w:noWrap w:val="false"/>
          </w:tcPr>
          <w:p>
            <w:pPr>
              <w:jc w:val="center"/>
              <w:rPr>
                <w:sz w:val="20"/>
                <w:szCs w:val="20"/>
              </w:rPr>
            </w:pPr>
            <w:r>
              <w:rPr>
                <w:sz w:val="20"/>
                <w:szCs w:val="20"/>
              </w:rPr>
              <w:t xml:space="preserve">NT150SHV/CO-16/106</w:t>
            </w:r>
            <w:r>
              <w:rPr>
                <w:sz w:val="20"/>
                <w:szCs w:val="20"/>
              </w:rPr>
            </w:r>
            <w:r>
              <w:rPr>
                <w:sz w:val="20"/>
                <w:szCs w:val="20"/>
              </w:rPr>
            </w:r>
          </w:p>
        </w:tc>
        <w:tc>
          <w:tcPr>
            <w:shd w:val="clear" w:color="auto" w:fill="auto"/>
            <w:tcBorders>
              <w:top w:val="single" w:color="auto" w:sz="4" w:space="0"/>
              <w:left w:val="single" w:color="auto" w:sz="4" w:space="0"/>
              <w:bottom w:val="single" w:color="auto" w:sz="4" w:space="0"/>
              <w:right w:val="single" w:color="auto" w:sz="4" w:space="0"/>
            </w:tcBorders>
            <w:tcW w:w="604" w:type="pct"/>
            <w:vAlign w:val="center"/>
            <w:textDirection w:val="lrTb"/>
            <w:noWrap w:val="false"/>
          </w:tcPr>
          <w:p>
            <w:pPr>
              <w:jc w:val="center"/>
              <w:rPr>
                <w:sz w:val="20"/>
                <w:szCs w:val="20"/>
              </w:rPr>
            </w:pPr>
            <w:r>
              <w:rPr>
                <w:sz w:val="20"/>
                <w:szCs w:val="20"/>
              </w:rPr>
              <w:t xml:space="preserve">54,08</w:t>
            </w:r>
            <w:r>
              <w:rPr>
                <w:sz w:val="20"/>
                <w:szCs w:val="20"/>
              </w:rPr>
            </w:r>
            <w:r>
              <w:rPr>
                <w:sz w:val="20"/>
                <w:szCs w:val="20"/>
              </w:rPr>
            </w:r>
          </w:p>
        </w:tc>
        <w:tc>
          <w:tcPr>
            <w:shd w:val="clear" w:color="auto" w:fill="auto"/>
            <w:tcBorders>
              <w:top w:val="single" w:color="auto" w:sz="4" w:space="0"/>
              <w:left w:val="single" w:color="auto" w:sz="4" w:space="0"/>
              <w:bottom w:val="single" w:color="auto" w:sz="4" w:space="0"/>
              <w:right w:val="single" w:color="auto" w:sz="4" w:space="0"/>
            </w:tcBorders>
            <w:tcW w:w="765" w:type="pct"/>
            <w:vAlign w:val="center"/>
            <w:textDirection w:val="lrTb"/>
            <w:noWrap w:val="false"/>
          </w:tcPr>
          <w:p>
            <w:pPr>
              <w:jc w:val="center"/>
              <w:rPr>
                <w:sz w:val="20"/>
                <w:szCs w:val="20"/>
              </w:rPr>
            </w:pPr>
            <w:r>
              <w:rPr>
                <w:sz w:val="20"/>
                <w:szCs w:val="20"/>
              </w:rPr>
            </w:r>
            <w:r>
              <w:rPr>
                <w:sz w:val="20"/>
                <w:szCs w:val="20"/>
              </w:rPr>
            </w:r>
            <w:r>
              <w:rPr>
                <w:sz w:val="20"/>
                <w:szCs w:val="20"/>
              </w:rPr>
            </w:r>
          </w:p>
        </w:tc>
        <w:tc>
          <w:tcPr>
            <w:shd w:val="clear" w:color="auto" w:fill="auto"/>
            <w:tcBorders>
              <w:top w:val="single" w:color="auto" w:sz="4" w:space="0"/>
              <w:left w:val="single" w:color="auto" w:sz="4" w:space="0"/>
              <w:bottom w:val="single" w:color="auto" w:sz="4" w:space="0"/>
              <w:right w:val="single" w:color="auto" w:sz="4" w:space="0"/>
            </w:tcBorders>
            <w:tcW w:w="798" w:type="pct"/>
            <w:vAlign w:val="center"/>
            <w:textDirection w:val="lrTb"/>
            <w:noWrap w:val="false"/>
          </w:tcPr>
          <w:p>
            <w:pPr>
              <w:jc w:val="center"/>
              <w:rPr>
                <w:sz w:val="20"/>
                <w:szCs w:val="20"/>
              </w:rPr>
            </w:pPr>
            <w:r>
              <w:rPr>
                <w:sz w:val="20"/>
                <w:szCs w:val="20"/>
              </w:rPr>
            </w:r>
            <w:r>
              <w:rPr>
                <w:sz w:val="20"/>
                <w:szCs w:val="20"/>
              </w:rPr>
            </w:r>
            <w:r>
              <w:rPr>
                <w:sz w:val="20"/>
                <w:szCs w:val="20"/>
              </w:rPr>
            </w:r>
          </w:p>
        </w:tc>
        <w:tc>
          <w:tcPr>
            <w:shd w:val="clear" w:color="auto" w:fill="auto"/>
            <w:tcBorders>
              <w:top w:val="single" w:color="auto" w:sz="4" w:space="0"/>
              <w:left w:val="single" w:color="auto" w:sz="4" w:space="0"/>
              <w:bottom w:val="single" w:color="auto" w:sz="4" w:space="0"/>
              <w:right w:val="single" w:color="auto" w:sz="4" w:space="0"/>
            </w:tcBorders>
            <w:tcW w:w="816" w:type="pct"/>
            <w:vAlign w:val="center"/>
            <w:textDirection w:val="lrTb"/>
            <w:noWrap w:val="false"/>
          </w:tcPr>
          <w:p>
            <w:pPr>
              <w:jc w:val="center"/>
              <w:rPr>
                <w:sz w:val="20"/>
                <w:szCs w:val="20"/>
              </w:rPr>
            </w:pPr>
            <w:r>
              <w:rPr>
                <w:sz w:val="20"/>
                <w:szCs w:val="20"/>
              </w:rPr>
              <w:t xml:space="preserve">3</w:t>
            </w:r>
            <w:r>
              <w:rPr>
                <w:sz w:val="20"/>
                <w:szCs w:val="20"/>
              </w:rPr>
            </w:r>
            <w:r>
              <w:rPr>
                <w:sz w:val="20"/>
                <w:szCs w:val="20"/>
              </w:rPr>
            </w:r>
          </w:p>
        </w:tc>
      </w:tr>
      <w:tr>
        <w:tblPrEx/>
        <w:trPr>
          <w:trHeight w:val="20"/>
        </w:trPr>
        <w:tc>
          <w:tcPr>
            <w:gridSpan w:val="6"/>
            <w:shd w:val="clear" w:color="auto" w:fill="auto"/>
            <w:tcBorders>
              <w:top w:val="single" w:color="auto" w:sz="4" w:space="0"/>
              <w:left w:val="single" w:color="auto" w:sz="4" w:space="0"/>
              <w:bottom w:val="single" w:color="auto" w:sz="4" w:space="0"/>
              <w:right w:val="single" w:color="auto" w:sz="4" w:space="0"/>
            </w:tcBorders>
            <w:tcW w:w="5000" w:type="pct"/>
            <w:vAlign w:val="center"/>
            <w:textDirection w:val="lrTb"/>
            <w:noWrap w:val="false"/>
          </w:tcPr>
          <w:p>
            <w:pPr>
              <w:jc w:val="center"/>
              <w:rPr>
                <w:sz w:val="20"/>
                <w:szCs w:val="20"/>
              </w:rPr>
            </w:pPr>
            <w:r>
              <w:rPr>
                <w:color w:val="000000"/>
                <w:sz w:val="20"/>
                <w:szCs w:val="20"/>
              </w:rPr>
              <w:t xml:space="preserve">Котельная </w:t>
            </w:r>
            <w:r>
              <w:rPr>
                <w:rFonts w:ascii="Liberation Serif" w:hAnsi="Liberation Serif" w:cs="Calibri"/>
                <w:color w:val="000000"/>
                <w:sz w:val="20"/>
                <w:szCs w:val="20"/>
              </w:rPr>
              <w:t xml:space="preserve">р.п.  Юргамыш, ул. Железнодорожная, территория тягловой подстанции ОАО «РЖД»</w:t>
            </w:r>
            <w:r>
              <w:rPr>
                <w:sz w:val="20"/>
                <w:szCs w:val="20"/>
              </w:rPr>
            </w:r>
            <w:r>
              <w:rPr>
                <w:sz w:val="20"/>
                <w:szCs w:val="20"/>
              </w:rPr>
            </w:r>
          </w:p>
        </w:tc>
      </w:tr>
      <w:tr>
        <w:tblPrEx/>
        <w:trPr>
          <w:trHeight w:val="20"/>
        </w:trPr>
        <w:tc>
          <w:tcPr>
            <w:shd w:val="clear" w:color="auto" w:fill="auto"/>
            <w:tcBorders>
              <w:top w:val="none" w:color="000000" w:sz="4" w:space="0"/>
              <w:left w:val="single" w:color="auto" w:sz="8" w:space="0"/>
              <w:bottom w:val="single" w:color="auto" w:sz="4" w:space="0"/>
              <w:right w:val="none" w:color="000000" w:sz="4" w:space="0"/>
            </w:tcBorders>
            <w:tcW w:w="1280" w:type="pct"/>
            <w:vAlign w:val="center"/>
            <w:textDirection w:val="lrTb"/>
            <w:noWrap w:val="false"/>
          </w:tcPr>
          <w:p>
            <w:pPr>
              <w:jc w:val="center"/>
              <w:rPr>
                <w:sz w:val="20"/>
                <w:szCs w:val="20"/>
              </w:rPr>
            </w:pPr>
            <w:r>
              <w:rPr>
                <w:sz w:val="20"/>
                <w:szCs w:val="20"/>
              </w:rPr>
              <w:t xml:space="preserve">отсутствуют</w:t>
            </w:r>
            <w:r>
              <w:rPr>
                <w:sz w:val="20"/>
                <w:szCs w:val="20"/>
              </w:rPr>
            </w:r>
            <w:r>
              <w:rPr>
                <w:sz w:val="20"/>
                <w:szCs w:val="20"/>
              </w:rPr>
            </w:r>
          </w:p>
        </w:tc>
        <w:tc>
          <w:tcPr>
            <w:shd w:val="clear" w:color="auto" w:fill="auto"/>
            <w:tcBorders>
              <w:top w:val="none" w:color="000000" w:sz="4" w:space="0"/>
              <w:left w:val="single" w:color="auto" w:sz="4" w:space="0"/>
              <w:bottom w:val="single" w:color="auto" w:sz="4" w:space="0"/>
              <w:right w:val="single" w:color="auto" w:sz="4" w:space="0"/>
            </w:tcBorders>
            <w:tcW w:w="737"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c>
          <w:tcPr>
            <w:shd w:val="clear" w:color="auto" w:fill="auto"/>
            <w:tcBorders>
              <w:top w:val="none" w:color="000000" w:sz="4" w:space="0"/>
              <w:left w:val="none" w:color="000000" w:sz="4" w:space="0"/>
              <w:bottom w:val="single" w:color="auto" w:sz="4" w:space="0"/>
              <w:right w:val="single" w:color="auto" w:sz="8" w:space="0"/>
            </w:tcBorders>
            <w:tcW w:w="604"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c>
          <w:tcPr>
            <w:shd w:val="clear" w:color="auto" w:fill="auto"/>
            <w:tcBorders>
              <w:top w:val="none" w:color="000000" w:sz="4" w:space="0"/>
              <w:left w:val="none" w:color="000000" w:sz="4" w:space="0"/>
              <w:bottom w:val="single" w:color="auto" w:sz="4" w:space="0"/>
              <w:right w:val="single" w:color="auto" w:sz="4" w:space="0"/>
            </w:tcBorders>
            <w:tcW w:w="765"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c>
          <w:tcPr>
            <w:shd w:val="clear" w:color="auto" w:fill="auto"/>
            <w:tcBorders>
              <w:top w:val="none" w:color="000000" w:sz="4" w:space="0"/>
              <w:left w:val="none" w:color="000000" w:sz="4" w:space="0"/>
              <w:bottom w:val="single" w:color="auto" w:sz="4" w:space="0"/>
              <w:right w:val="single" w:color="auto" w:sz="4" w:space="0"/>
            </w:tcBorders>
            <w:tcW w:w="798"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c>
          <w:tcPr>
            <w:shd w:val="clear" w:color="auto" w:fill="auto"/>
            <w:tcBorders>
              <w:top w:val="none" w:color="000000" w:sz="4" w:space="0"/>
              <w:left w:val="none" w:color="000000" w:sz="4" w:space="0"/>
              <w:bottom w:val="single" w:color="auto" w:sz="4" w:space="0"/>
              <w:right w:val="single" w:color="auto" w:sz="8" w:space="0"/>
            </w:tcBorders>
            <w:tcW w:w="816"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r>
      <w:tr>
        <w:tblPrEx/>
        <w:trPr>
          <w:trHeight w:val="20"/>
        </w:trPr>
        <w:tc>
          <w:tcPr>
            <w:gridSpan w:val="6"/>
            <w:shd w:val="clear" w:color="auto" w:fill="auto"/>
            <w:tcBorders>
              <w:top w:val="single" w:color="auto" w:sz="4" w:space="0"/>
              <w:left w:val="single" w:color="auto" w:sz="4" w:space="0"/>
              <w:bottom w:val="single" w:color="auto" w:sz="4" w:space="0"/>
              <w:right w:val="single" w:color="auto" w:sz="4" w:space="0"/>
            </w:tcBorders>
            <w:tcW w:w="5000" w:type="pct"/>
            <w:vAlign w:val="center"/>
            <w:textDirection w:val="lrTb"/>
            <w:noWrap w:val="false"/>
          </w:tcPr>
          <w:p>
            <w:pPr>
              <w:jc w:val="center"/>
              <w:rPr>
                <w:sz w:val="20"/>
                <w:szCs w:val="20"/>
              </w:rPr>
            </w:pPr>
            <w:r>
              <w:rPr>
                <w:sz w:val="20"/>
                <w:szCs w:val="20"/>
              </w:rPr>
              <w:t xml:space="preserve">Котельная ФКУ ИК №7 УФСИН России по Курганской области,</w:t>
            </w:r>
            <w:r>
              <w:rPr>
                <w:rFonts w:ascii="Liberation Serif" w:hAnsi="Liberation Serif" w:cs="Calibri"/>
                <w:color w:val="000000"/>
                <w:sz w:val="20"/>
                <w:szCs w:val="20"/>
              </w:rPr>
              <w:t xml:space="preserve"> Курганская область, р.п. Юргамыш, ул. Труда, 147</w:t>
            </w:r>
            <w:r>
              <w:rPr>
                <w:sz w:val="20"/>
                <w:szCs w:val="20"/>
              </w:rPr>
            </w:r>
            <w:r>
              <w:rPr>
                <w:sz w:val="20"/>
                <w:szCs w:val="20"/>
              </w:rPr>
            </w:r>
          </w:p>
        </w:tc>
      </w:tr>
      <w:tr>
        <w:tblPrEx/>
        <w:trPr>
          <w:trHeight w:val="20"/>
        </w:trPr>
        <w:tc>
          <w:tcPr>
            <w:shd w:val="clear" w:color="auto" w:fill="auto"/>
            <w:tcBorders>
              <w:top w:val="none" w:color="000000" w:sz="4" w:space="0"/>
              <w:left w:val="single" w:color="auto" w:sz="8" w:space="0"/>
              <w:bottom w:val="single" w:color="auto" w:sz="4" w:space="0"/>
              <w:right w:val="none" w:color="000000" w:sz="4" w:space="0"/>
            </w:tcBorders>
            <w:tcW w:w="1280" w:type="pct"/>
            <w:textDirection w:val="lrTb"/>
            <w:noWrap w:val="false"/>
          </w:tcPr>
          <w:p>
            <w:pPr>
              <w:jc w:val="center"/>
            </w:pPr>
            <w:r>
              <w:rPr>
                <w:sz w:val="20"/>
                <w:szCs w:val="20"/>
              </w:rPr>
              <w:t xml:space="preserve">н/д</w:t>
            </w:r>
            <w:r/>
          </w:p>
        </w:tc>
        <w:tc>
          <w:tcPr>
            <w:shd w:val="clear" w:color="auto" w:fill="auto"/>
            <w:tcBorders>
              <w:top w:val="none" w:color="000000" w:sz="4" w:space="0"/>
              <w:left w:val="single" w:color="auto" w:sz="4" w:space="0"/>
              <w:bottom w:val="single" w:color="auto" w:sz="4" w:space="0"/>
              <w:right w:val="single" w:color="auto" w:sz="4" w:space="0"/>
            </w:tcBorders>
            <w:tcW w:w="737" w:type="pct"/>
            <w:textDirection w:val="lrTb"/>
            <w:noWrap w:val="false"/>
          </w:tcPr>
          <w:p>
            <w:pPr>
              <w:jc w:val="center"/>
            </w:pPr>
            <w:r>
              <w:rPr>
                <w:sz w:val="20"/>
                <w:szCs w:val="20"/>
              </w:rPr>
              <w:t xml:space="preserve">н/д</w:t>
            </w:r>
            <w:r/>
          </w:p>
        </w:tc>
        <w:tc>
          <w:tcPr>
            <w:shd w:val="clear" w:color="auto" w:fill="auto"/>
            <w:tcBorders>
              <w:top w:val="none" w:color="000000" w:sz="4" w:space="0"/>
              <w:left w:val="none" w:color="000000" w:sz="4" w:space="0"/>
              <w:bottom w:val="single" w:color="auto" w:sz="4" w:space="0"/>
              <w:right w:val="single" w:color="auto" w:sz="8" w:space="0"/>
            </w:tcBorders>
            <w:tcW w:w="604" w:type="pct"/>
            <w:textDirection w:val="lrTb"/>
            <w:noWrap w:val="false"/>
          </w:tcPr>
          <w:p>
            <w:pPr>
              <w:jc w:val="center"/>
            </w:pPr>
            <w:r>
              <w:rPr>
                <w:sz w:val="20"/>
                <w:szCs w:val="20"/>
              </w:rPr>
              <w:t xml:space="preserve">н/д</w:t>
            </w:r>
            <w:r/>
          </w:p>
        </w:tc>
        <w:tc>
          <w:tcPr>
            <w:shd w:val="clear" w:color="auto" w:fill="auto"/>
            <w:tcBorders>
              <w:top w:val="none" w:color="000000" w:sz="4" w:space="0"/>
              <w:left w:val="none" w:color="000000" w:sz="4" w:space="0"/>
              <w:bottom w:val="single" w:color="auto" w:sz="4" w:space="0"/>
              <w:right w:val="single" w:color="auto" w:sz="4" w:space="0"/>
            </w:tcBorders>
            <w:tcW w:w="765" w:type="pct"/>
            <w:textDirection w:val="lrTb"/>
            <w:noWrap w:val="false"/>
          </w:tcPr>
          <w:p>
            <w:pPr>
              <w:jc w:val="center"/>
            </w:pPr>
            <w:r>
              <w:rPr>
                <w:sz w:val="20"/>
                <w:szCs w:val="20"/>
              </w:rPr>
              <w:t xml:space="preserve">н/д</w:t>
            </w:r>
            <w:r/>
          </w:p>
        </w:tc>
        <w:tc>
          <w:tcPr>
            <w:shd w:val="clear" w:color="auto" w:fill="auto"/>
            <w:tcBorders>
              <w:top w:val="none" w:color="000000" w:sz="4" w:space="0"/>
              <w:left w:val="none" w:color="000000" w:sz="4" w:space="0"/>
              <w:bottom w:val="single" w:color="auto" w:sz="4" w:space="0"/>
              <w:right w:val="single" w:color="auto" w:sz="4" w:space="0"/>
            </w:tcBorders>
            <w:tcW w:w="798" w:type="pct"/>
            <w:textDirection w:val="lrTb"/>
            <w:noWrap w:val="false"/>
          </w:tcPr>
          <w:p>
            <w:pPr>
              <w:jc w:val="center"/>
            </w:pPr>
            <w:r>
              <w:rPr>
                <w:sz w:val="20"/>
                <w:szCs w:val="20"/>
              </w:rPr>
              <w:t xml:space="preserve">н/д</w:t>
            </w:r>
            <w:r/>
          </w:p>
        </w:tc>
        <w:tc>
          <w:tcPr>
            <w:shd w:val="clear" w:color="auto" w:fill="auto"/>
            <w:tcBorders>
              <w:top w:val="none" w:color="000000" w:sz="4" w:space="0"/>
              <w:left w:val="none" w:color="000000" w:sz="4" w:space="0"/>
              <w:bottom w:val="single" w:color="auto" w:sz="4" w:space="0"/>
              <w:right w:val="single" w:color="auto" w:sz="8" w:space="0"/>
            </w:tcBorders>
            <w:tcW w:w="816" w:type="pct"/>
            <w:vAlign w:val="center"/>
            <w:textDirection w:val="lrTb"/>
            <w:noWrap w:val="false"/>
          </w:tcPr>
          <w:p>
            <w:pPr>
              <w:jc w:val="center"/>
              <w:rPr>
                <w:sz w:val="20"/>
                <w:szCs w:val="20"/>
              </w:rPr>
            </w:pPr>
            <w:r>
              <w:rPr>
                <w:sz w:val="20"/>
                <w:szCs w:val="20"/>
              </w:rPr>
              <w:t xml:space="preserve">н/д</w:t>
            </w:r>
            <w:r>
              <w:rPr>
                <w:sz w:val="20"/>
                <w:szCs w:val="20"/>
              </w:rPr>
            </w:r>
            <w:r>
              <w:rPr>
                <w:sz w:val="20"/>
                <w:szCs w:val="20"/>
              </w:rPr>
            </w:r>
          </w:p>
        </w:tc>
      </w:tr>
      <w:tr>
        <w:tblPrEx/>
        <w:trPr>
          <w:trHeight w:val="20"/>
        </w:trPr>
        <w:tc>
          <w:tcPr>
            <w:gridSpan w:val="6"/>
            <w:shd w:val="clear" w:color="auto" w:fill="auto"/>
            <w:tcBorders>
              <w:top w:val="none" w:color="000000" w:sz="4" w:space="0"/>
              <w:left w:val="single" w:color="auto" w:sz="8" w:space="0"/>
              <w:bottom w:val="single" w:color="auto" w:sz="4" w:space="0"/>
              <w:right w:val="single" w:color="auto" w:sz="8" w:space="0"/>
            </w:tcBorders>
            <w:tcW w:w="5000" w:type="pct"/>
            <w:vAlign w:val="center"/>
            <w:textDirection w:val="lrTb"/>
            <w:noWrap w:val="false"/>
          </w:tcPr>
          <w:p>
            <w:pPr>
              <w:jc w:val="center"/>
              <w:rPr>
                <w:sz w:val="20"/>
                <w:szCs w:val="20"/>
              </w:rPr>
            </w:pPr>
            <w:r>
              <w:rPr>
                <w:sz w:val="20"/>
                <w:szCs w:val="20"/>
              </w:rPr>
              <w:t xml:space="preserve">Котельная </w:t>
            </w:r>
            <w:r>
              <w:rPr>
                <w:rFonts w:ascii="Liberation Serif" w:hAnsi="Liberation Serif" w:cs="Calibri"/>
                <w:color w:val="000000"/>
                <w:sz w:val="20"/>
                <w:szCs w:val="20"/>
              </w:rPr>
              <w:t xml:space="preserve">р.п. Юргамыш, ул. Ленина, 47а</w:t>
            </w:r>
            <w:r>
              <w:rPr>
                <w:sz w:val="20"/>
                <w:szCs w:val="20"/>
              </w:rPr>
            </w:r>
            <w:r>
              <w:rPr>
                <w:sz w:val="20"/>
                <w:szCs w:val="20"/>
              </w:rPr>
            </w:r>
          </w:p>
        </w:tc>
      </w:tr>
      <w:tr>
        <w:tblPrEx/>
        <w:trPr>
          <w:trHeight w:val="20"/>
        </w:trPr>
        <w:tc>
          <w:tcPr>
            <w:shd w:val="clear" w:color="auto" w:fill="auto"/>
            <w:tcBorders>
              <w:top w:val="single" w:color="auto" w:sz="4" w:space="0"/>
              <w:left w:val="single" w:color="auto" w:sz="4" w:space="0"/>
              <w:bottom w:val="single" w:color="auto" w:sz="4" w:space="0"/>
              <w:right w:val="single" w:color="auto" w:sz="4" w:space="0"/>
            </w:tcBorders>
            <w:tcW w:w="1280" w:type="pct"/>
            <w:textDirection w:val="lrTb"/>
            <w:noWrap w:val="false"/>
          </w:tcPr>
          <w:p>
            <w:pPr>
              <w:jc w:val="center"/>
            </w:pPr>
            <w:r>
              <w:rPr>
                <w:sz w:val="20"/>
                <w:szCs w:val="20"/>
              </w:rPr>
              <w:t xml:space="preserve">н/д</w:t>
            </w:r>
            <w:r/>
          </w:p>
        </w:tc>
        <w:tc>
          <w:tcPr>
            <w:shd w:val="clear" w:color="auto" w:fill="auto"/>
            <w:tcBorders>
              <w:top w:val="single" w:color="auto" w:sz="4" w:space="0"/>
              <w:left w:val="single" w:color="auto" w:sz="4" w:space="0"/>
              <w:bottom w:val="single" w:color="auto" w:sz="4" w:space="0"/>
              <w:right w:val="single" w:color="auto" w:sz="4" w:space="0"/>
            </w:tcBorders>
            <w:tcW w:w="737" w:type="pct"/>
            <w:textDirection w:val="lrTb"/>
            <w:noWrap w:val="false"/>
          </w:tcPr>
          <w:p>
            <w:pPr>
              <w:jc w:val="center"/>
            </w:pPr>
            <w:r>
              <w:rPr>
                <w:sz w:val="20"/>
                <w:szCs w:val="20"/>
              </w:rPr>
              <w:t xml:space="preserve">н/д</w:t>
            </w:r>
            <w:r/>
          </w:p>
        </w:tc>
        <w:tc>
          <w:tcPr>
            <w:shd w:val="clear" w:color="auto" w:fill="auto"/>
            <w:tcBorders>
              <w:top w:val="single" w:color="auto" w:sz="4" w:space="0"/>
              <w:left w:val="single" w:color="auto" w:sz="4" w:space="0"/>
              <w:bottom w:val="single" w:color="auto" w:sz="4" w:space="0"/>
              <w:right w:val="single" w:color="auto" w:sz="4" w:space="0"/>
            </w:tcBorders>
            <w:tcW w:w="604" w:type="pct"/>
            <w:textDirection w:val="lrTb"/>
            <w:noWrap w:val="false"/>
          </w:tcPr>
          <w:p>
            <w:pPr>
              <w:jc w:val="center"/>
            </w:pPr>
            <w:r>
              <w:rPr>
                <w:sz w:val="20"/>
                <w:szCs w:val="20"/>
              </w:rPr>
              <w:t xml:space="preserve">н/д</w:t>
            </w:r>
            <w:r/>
          </w:p>
        </w:tc>
        <w:tc>
          <w:tcPr>
            <w:shd w:val="clear" w:color="auto" w:fill="auto"/>
            <w:tcBorders>
              <w:top w:val="single" w:color="auto" w:sz="4" w:space="0"/>
              <w:left w:val="single" w:color="auto" w:sz="4" w:space="0"/>
              <w:bottom w:val="single" w:color="auto" w:sz="4" w:space="0"/>
              <w:right w:val="single" w:color="auto" w:sz="4" w:space="0"/>
            </w:tcBorders>
            <w:tcW w:w="765" w:type="pct"/>
            <w:textDirection w:val="lrTb"/>
            <w:noWrap w:val="false"/>
          </w:tcPr>
          <w:p>
            <w:pPr>
              <w:jc w:val="center"/>
            </w:pPr>
            <w:r>
              <w:rPr>
                <w:sz w:val="20"/>
                <w:szCs w:val="20"/>
              </w:rPr>
              <w:t xml:space="preserve">н/д</w:t>
            </w:r>
            <w:r/>
          </w:p>
        </w:tc>
        <w:tc>
          <w:tcPr>
            <w:shd w:val="clear" w:color="auto" w:fill="auto"/>
            <w:tcBorders>
              <w:top w:val="single" w:color="auto" w:sz="4" w:space="0"/>
              <w:left w:val="single" w:color="auto" w:sz="4" w:space="0"/>
              <w:bottom w:val="single" w:color="auto" w:sz="4" w:space="0"/>
              <w:right w:val="single" w:color="auto" w:sz="4" w:space="0"/>
            </w:tcBorders>
            <w:tcW w:w="798" w:type="pct"/>
            <w:textDirection w:val="lrTb"/>
            <w:noWrap w:val="false"/>
          </w:tcPr>
          <w:p>
            <w:pPr>
              <w:jc w:val="center"/>
            </w:pPr>
            <w:r>
              <w:rPr>
                <w:sz w:val="20"/>
                <w:szCs w:val="20"/>
              </w:rPr>
              <w:t xml:space="preserve">н/д</w:t>
            </w:r>
            <w:r/>
          </w:p>
        </w:tc>
        <w:tc>
          <w:tcPr>
            <w:shd w:val="clear" w:color="auto" w:fill="auto"/>
            <w:tcBorders>
              <w:top w:val="single" w:color="auto" w:sz="4" w:space="0"/>
              <w:left w:val="single" w:color="auto" w:sz="4" w:space="0"/>
              <w:bottom w:val="single" w:color="auto" w:sz="4" w:space="0"/>
              <w:right w:val="single" w:color="auto" w:sz="4" w:space="0"/>
            </w:tcBorders>
            <w:tcW w:w="816" w:type="pct"/>
            <w:vAlign w:val="center"/>
            <w:textDirection w:val="lrTb"/>
            <w:noWrap w:val="false"/>
          </w:tcPr>
          <w:p>
            <w:pPr>
              <w:jc w:val="center"/>
              <w:rPr>
                <w:sz w:val="20"/>
                <w:szCs w:val="20"/>
              </w:rPr>
            </w:pPr>
            <w:r>
              <w:rPr>
                <w:sz w:val="20"/>
                <w:szCs w:val="20"/>
              </w:rPr>
              <w:t xml:space="preserve">н/д</w:t>
            </w:r>
            <w:r>
              <w:rPr>
                <w:sz w:val="20"/>
                <w:szCs w:val="20"/>
              </w:rPr>
            </w:r>
            <w:r>
              <w:rPr>
                <w:sz w:val="20"/>
                <w:szCs w:val="20"/>
              </w:rPr>
            </w:r>
          </w:p>
        </w:tc>
      </w:tr>
    </w:tbl>
    <w:p>
      <w:pPr>
        <w:jc w:val="center"/>
        <w:spacing w:before="72"/>
        <w:rPr>
          <w:sz w:val="24"/>
          <w:szCs w:val="24"/>
        </w:rPr>
      </w:pPr>
      <w:r>
        <w:rPr>
          <w:sz w:val="24"/>
          <w:szCs w:val="24"/>
        </w:rPr>
      </w:r>
      <w:r>
        <w:rPr>
          <w:sz w:val="24"/>
          <w:szCs w:val="24"/>
        </w:rPr>
      </w:r>
      <w:r>
        <w:rPr>
          <w:sz w:val="24"/>
          <w:szCs w:val="24"/>
        </w:rPr>
      </w:r>
    </w:p>
    <w:p>
      <w:pPr>
        <w:ind w:left="1395"/>
        <w:jc w:val="right"/>
        <w:spacing w:before="72"/>
        <w:rPr>
          <w:sz w:val="24"/>
          <w:szCs w:val="24"/>
        </w:rPr>
      </w:pPr>
      <w:r>
        <w:rPr>
          <w:sz w:val="24"/>
          <w:szCs w:val="24"/>
        </w:rPr>
        <w:t xml:space="preserve">Таблица</w:t>
      </w:r>
      <w:r>
        <w:rPr>
          <w:spacing w:val="-8"/>
          <w:sz w:val="24"/>
          <w:szCs w:val="24"/>
        </w:rPr>
        <w:t xml:space="preserve"> </w:t>
      </w:r>
      <w:r>
        <w:rPr>
          <w:sz w:val="24"/>
          <w:szCs w:val="24"/>
        </w:rPr>
        <w:t xml:space="preserve">1.2.1.</w:t>
      </w:r>
      <w:r>
        <w:rPr>
          <w:sz w:val="24"/>
          <w:szCs w:val="24"/>
        </w:rPr>
        <w:t xml:space="preserve">5</w:t>
      </w:r>
      <w:r>
        <w:rPr>
          <w:spacing w:val="-8"/>
          <w:sz w:val="24"/>
          <w:szCs w:val="24"/>
        </w:rPr>
        <w:t xml:space="preserve"> </w:t>
      </w:r>
      <w:r>
        <w:rPr>
          <w:sz w:val="24"/>
          <w:szCs w:val="24"/>
        </w:rPr>
      </w:r>
      <w:r>
        <w:rPr>
          <w:sz w:val="24"/>
          <w:szCs w:val="24"/>
        </w:rPr>
      </w:r>
    </w:p>
    <w:p>
      <w:pPr>
        <w:jc w:val="center"/>
        <w:spacing w:before="72"/>
        <w:rPr>
          <w:sz w:val="24"/>
          <w:szCs w:val="24"/>
        </w:rPr>
      </w:pPr>
      <w:r>
        <w:rPr>
          <w:sz w:val="24"/>
          <w:szCs w:val="24"/>
        </w:rPr>
        <w:t xml:space="preserve">Основные характеристики децентрализованных источников теплоснабжения Юргамышского муниципального округа</w:t>
      </w:r>
      <w:r>
        <w:rPr>
          <w:sz w:val="24"/>
          <w:szCs w:val="24"/>
        </w:rPr>
      </w:r>
      <w:r>
        <w:rPr>
          <w:sz w:val="24"/>
          <w:szCs w:val="24"/>
        </w:rPr>
      </w:r>
    </w:p>
    <w:tbl>
      <w:tblPr>
        <w:tblW w:w="5000" w:type="pct"/>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000" w:firstRow="0" w:lastRow="0" w:firstColumn="0" w:lastColumn="0" w:noHBand="0" w:noVBand="0"/>
      </w:tblPr>
      <w:tblGrid>
        <w:gridCol w:w="3587"/>
        <w:gridCol w:w="1488"/>
        <w:gridCol w:w="1361"/>
        <w:gridCol w:w="1514"/>
        <w:gridCol w:w="1452"/>
        <w:gridCol w:w="1109"/>
        <w:gridCol w:w="1284"/>
        <w:gridCol w:w="1503"/>
        <w:gridCol w:w="1491"/>
      </w:tblGrid>
      <w:tr>
        <w:tblPrEx/>
        <w:trPr>
          <w:cantSplit/>
          <w:trHeight w:val="145"/>
        </w:trPr>
        <w:tc>
          <w:tcPr>
            <w:tcW w:w="1213" w:type="pct"/>
            <w:vAlign w:val="center"/>
            <w:vMerge w:val="restart"/>
            <w:textDirection w:val="lrTb"/>
            <w:noWrap w:val="false"/>
          </w:tcPr>
          <w:p>
            <w:pPr>
              <w:ind w:left="-142" w:right="-142" w:firstLine="34"/>
              <w:jc w:val="center"/>
              <w:rPr>
                <w:sz w:val="20"/>
                <w:szCs w:val="20"/>
              </w:rPr>
            </w:pPr>
            <w:r>
              <w:rPr>
                <w:sz w:val="20"/>
                <w:szCs w:val="20"/>
              </w:rPr>
              <w:t xml:space="preserve">Наименование и адрес теплового источника </w:t>
            </w:r>
            <w:r>
              <w:rPr>
                <w:sz w:val="20"/>
                <w:szCs w:val="20"/>
              </w:rPr>
            </w:r>
            <w:r>
              <w:rPr>
                <w:sz w:val="20"/>
                <w:szCs w:val="20"/>
              </w:rPr>
            </w:r>
          </w:p>
        </w:tc>
        <w:tc>
          <w:tcPr>
            <w:tcW w:w="503" w:type="pct"/>
            <w:vAlign w:val="center"/>
            <w:vMerge w:val="restart"/>
            <w:textDirection w:val="lrTb"/>
            <w:noWrap w:val="false"/>
          </w:tcPr>
          <w:p>
            <w:pPr>
              <w:ind w:left="-142" w:right="-142"/>
              <w:jc w:val="center"/>
              <w:rPr>
                <w:sz w:val="20"/>
                <w:szCs w:val="20"/>
              </w:rPr>
            </w:pPr>
            <w:r>
              <w:rPr>
                <w:sz w:val="20"/>
                <w:szCs w:val="20"/>
              </w:rPr>
              <w:t xml:space="preserve">Год строительства</w:t>
            </w:r>
            <w:r>
              <w:rPr>
                <w:sz w:val="20"/>
                <w:szCs w:val="20"/>
              </w:rPr>
            </w:r>
            <w:r>
              <w:rPr>
                <w:sz w:val="20"/>
                <w:szCs w:val="20"/>
              </w:rPr>
            </w:r>
          </w:p>
          <w:p>
            <w:pPr>
              <w:ind w:left="-142" w:right="-142"/>
              <w:jc w:val="center"/>
              <w:rPr>
                <w:sz w:val="20"/>
                <w:szCs w:val="20"/>
              </w:rPr>
            </w:pPr>
            <w:r>
              <w:rPr>
                <w:sz w:val="20"/>
                <w:szCs w:val="20"/>
              </w:rPr>
              <w:t xml:space="preserve"> котельной </w:t>
            </w:r>
            <w:r>
              <w:rPr>
                <w:sz w:val="20"/>
                <w:szCs w:val="20"/>
              </w:rPr>
            </w:r>
            <w:r>
              <w:rPr>
                <w:sz w:val="20"/>
                <w:szCs w:val="20"/>
              </w:rPr>
            </w:r>
          </w:p>
        </w:tc>
        <w:tc>
          <w:tcPr>
            <w:gridSpan w:val="5"/>
            <w:tcW w:w="2272" w:type="pct"/>
            <w:vAlign w:val="center"/>
            <w:textDirection w:val="lrTb"/>
            <w:noWrap w:val="false"/>
          </w:tcPr>
          <w:p>
            <w:pPr>
              <w:ind w:left="-142" w:right="-142"/>
              <w:jc w:val="center"/>
              <w:rPr>
                <w:sz w:val="20"/>
                <w:szCs w:val="20"/>
              </w:rPr>
            </w:pPr>
            <w:r>
              <w:rPr>
                <w:sz w:val="20"/>
                <w:szCs w:val="20"/>
              </w:rPr>
              <w:t xml:space="preserve">Характеристика котлоагрегатов</w:t>
            </w:r>
            <w:r>
              <w:rPr>
                <w:sz w:val="20"/>
                <w:szCs w:val="20"/>
              </w:rPr>
            </w:r>
            <w:r>
              <w:rPr>
                <w:sz w:val="20"/>
                <w:szCs w:val="20"/>
              </w:rPr>
            </w:r>
          </w:p>
        </w:tc>
        <w:tc>
          <w:tcPr>
            <w:tcW w:w="508" w:type="pct"/>
            <w:vAlign w:val="center"/>
            <w:vMerge w:val="restart"/>
            <w:textDirection w:val="lrTb"/>
            <w:noWrap w:val="false"/>
          </w:tcPr>
          <w:p>
            <w:pPr>
              <w:ind w:left="-142" w:right="-142"/>
              <w:jc w:val="center"/>
              <w:rPr>
                <w:sz w:val="20"/>
                <w:szCs w:val="20"/>
              </w:rPr>
            </w:pPr>
            <w:r>
              <w:rPr>
                <w:sz w:val="20"/>
                <w:szCs w:val="20"/>
              </w:rPr>
              <w:t xml:space="preserve">Присоединённая</w:t>
            </w:r>
            <w:r>
              <w:rPr>
                <w:sz w:val="20"/>
                <w:szCs w:val="20"/>
              </w:rPr>
            </w:r>
            <w:r>
              <w:rPr>
                <w:sz w:val="20"/>
                <w:szCs w:val="20"/>
              </w:rPr>
            </w:r>
          </w:p>
          <w:p>
            <w:pPr>
              <w:ind w:left="-142" w:right="-142"/>
              <w:jc w:val="center"/>
              <w:rPr>
                <w:sz w:val="20"/>
                <w:szCs w:val="20"/>
              </w:rPr>
            </w:pPr>
            <w:r>
              <w:rPr>
                <w:sz w:val="20"/>
                <w:szCs w:val="20"/>
              </w:rPr>
              <w:t xml:space="preserve"> нагрузка, Гкал.час.</w:t>
            </w:r>
            <w:r>
              <w:rPr>
                <w:sz w:val="20"/>
                <w:szCs w:val="20"/>
              </w:rPr>
            </w:r>
            <w:r>
              <w:rPr>
                <w:sz w:val="20"/>
                <w:szCs w:val="20"/>
              </w:rPr>
            </w:r>
          </w:p>
        </w:tc>
        <w:tc>
          <w:tcPr>
            <w:tcW w:w="504" w:type="pct"/>
            <w:vAlign w:val="center"/>
            <w:vMerge w:val="restart"/>
            <w:textDirection w:val="lrTb"/>
            <w:noWrap w:val="false"/>
          </w:tcPr>
          <w:p>
            <w:pPr>
              <w:ind w:left="-142" w:right="-142"/>
              <w:jc w:val="center"/>
              <w:rPr>
                <w:sz w:val="20"/>
                <w:szCs w:val="20"/>
              </w:rPr>
            </w:pPr>
            <w:r>
              <w:rPr>
                <w:sz w:val="20"/>
                <w:szCs w:val="20"/>
              </w:rPr>
              <w:t xml:space="preserve">Общая протяженность тепловых сетей в 2-х трубном исчислении, км</w:t>
            </w:r>
            <w:r>
              <w:rPr>
                <w:sz w:val="20"/>
                <w:szCs w:val="20"/>
              </w:rPr>
            </w:r>
            <w:r>
              <w:rPr>
                <w:sz w:val="20"/>
                <w:szCs w:val="20"/>
              </w:rPr>
            </w:r>
          </w:p>
        </w:tc>
      </w:tr>
      <w:tr>
        <w:tblPrEx/>
        <w:trPr>
          <w:cantSplit/>
          <w:trHeight w:val="855"/>
        </w:trPr>
        <w:tc>
          <w:tcPr>
            <w:tcBorders>
              <w:bottom w:val="single" w:color="auto" w:sz="4" w:space="0"/>
            </w:tcBorders>
            <w:tcW w:w="1213" w:type="pct"/>
            <w:vAlign w:val="center"/>
            <w:vMerge w:val="continue"/>
            <w:textDirection w:val="lrTb"/>
            <w:noWrap w:val="false"/>
          </w:tcPr>
          <w:p>
            <w:pPr>
              <w:ind w:left="-142" w:right="-142"/>
              <w:rPr>
                <w:sz w:val="20"/>
                <w:szCs w:val="20"/>
              </w:rPr>
            </w:pPr>
            <w:r>
              <w:rPr>
                <w:sz w:val="20"/>
                <w:szCs w:val="20"/>
              </w:rPr>
            </w:r>
            <w:r>
              <w:rPr>
                <w:sz w:val="20"/>
                <w:szCs w:val="20"/>
              </w:rPr>
            </w:r>
            <w:r>
              <w:rPr>
                <w:sz w:val="20"/>
                <w:szCs w:val="20"/>
              </w:rPr>
            </w:r>
          </w:p>
        </w:tc>
        <w:tc>
          <w:tcPr>
            <w:tcBorders>
              <w:bottom w:val="single" w:color="auto" w:sz="4" w:space="0"/>
            </w:tcBorders>
            <w:tcW w:w="503" w:type="pct"/>
            <w:vAlign w:val="center"/>
            <w:vMerge w:val="continue"/>
            <w:textDirection w:val="lrTb"/>
            <w:noWrap w:val="false"/>
          </w:tcPr>
          <w:p>
            <w:pPr>
              <w:ind w:left="-142" w:right="-142"/>
              <w:rPr>
                <w:sz w:val="20"/>
                <w:szCs w:val="20"/>
              </w:rPr>
            </w:pPr>
            <w:r>
              <w:rPr>
                <w:sz w:val="20"/>
                <w:szCs w:val="20"/>
              </w:rPr>
            </w:r>
            <w:r>
              <w:rPr>
                <w:sz w:val="20"/>
                <w:szCs w:val="20"/>
              </w:rPr>
            </w:r>
            <w:r>
              <w:rPr>
                <w:sz w:val="20"/>
                <w:szCs w:val="20"/>
              </w:rPr>
            </w:r>
          </w:p>
        </w:tc>
        <w:tc>
          <w:tcPr>
            <w:tcBorders>
              <w:bottom w:val="single" w:color="auto" w:sz="4" w:space="0"/>
            </w:tcBorders>
            <w:tcW w:w="460" w:type="pct"/>
            <w:vAlign w:val="center"/>
            <w:textDirection w:val="lrTb"/>
            <w:noWrap w:val="false"/>
          </w:tcPr>
          <w:p>
            <w:pPr>
              <w:ind w:left="-109" w:right="-97"/>
              <w:jc w:val="center"/>
              <w:rPr>
                <w:sz w:val="20"/>
                <w:szCs w:val="20"/>
              </w:rPr>
            </w:pPr>
            <w:r>
              <w:rPr>
                <w:sz w:val="20"/>
                <w:szCs w:val="20"/>
              </w:rPr>
              <w:t xml:space="preserve">Марка</w:t>
            </w:r>
            <w:r>
              <w:rPr>
                <w:sz w:val="20"/>
                <w:szCs w:val="20"/>
              </w:rPr>
            </w:r>
            <w:r>
              <w:rPr>
                <w:sz w:val="20"/>
                <w:szCs w:val="20"/>
              </w:rPr>
            </w:r>
          </w:p>
        </w:tc>
        <w:tc>
          <w:tcPr>
            <w:tcBorders>
              <w:bottom w:val="single" w:color="auto" w:sz="4" w:space="0"/>
            </w:tcBorders>
            <w:tcW w:w="512" w:type="pct"/>
            <w:vAlign w:val="center"/>
            <w:textDirection w:val="lrTb"/>
            <w:noWrap w:val="false"/>
          </w:tcPr>
          <w:p>
            <w:pPr>
              <w:ind w:left="-109" w:right="-97"/>
              <w:jc w:val="center"/>
              <w:rPr>
                <w:sz w:val="20"/>
                <w:szCs w:val="20"/>
              </w:rPr>
            </w:pPr>
            <w:r>
              <w:rPr>
                <w:sz w:val="20"/>
                <w:szCs w:val="20"/>
              </w:rPr>
              <w:t xml:space="preserve">Год ввода </w:t>
            </w:r>
            <w:r>
              <w:rPr>
                <w:sz w:val="20"/>
                <w:szCs w:val="20"/>
              </w:rPr>
            </w:r>
            <w:r>
              <w:rPr>
                <w:sz w:val="20"/>
                <w:szCs w:val="20"/>
              </w:rPr>
            </w:r>
          </w:p>
          <w:p>
            <w:pPr>
              <w:ind w:left="-109" w:right="-97"/>
              <w:jc w:val="center"/>
              <w:rPr>
                <w:sz w:val="20"/>
                <w:szCs w:val="20"/>
              </w:rPr>
            </w:pPr>
            <w:r>
              <w:rPr>
                <w:sz w:val="20"/>
                <w:szCs w:val="20"/>
              </w:rPr>
              <w:t xml:space="preserve">в эксплуатацию</w:t>
            </w:r>
            <w:r>
              <w:rPr>
                <w:sz w:val="20"/>
                <w:szCs w:val="20"/>
              </w:rPr>
            </w:r>
            <w:r>
              <w:rPr>
                <w:sz w:val="20"/>
                <w:szCs w:val="20"/>
              </w:rPr>
            </w:r>
          </w:p>
        </w:tc>
        <w:tc>
          <w:tcPr>
            <w:tcBorders>
              <w:bottom w:val="single" w:color="auto" w:sz="4" w:space="0"/>
            </w:tcBorders>
            <w:tcW w:w="491" w:type="pct"/>
            <w:vAlign w:val="center"/>
            <w:textDirection w:val="lrTb"/>
            <w:noWrap w:val="false"/>
          </w:tcPr>
          <w:p>
            <w:pPr>
              <w:ind w:left="-109" w:right="-97"/>
              <w:jc w:val="center"/>
              <w:rPr>
                <w:sz w:val="20"/>
                <w:szCs w:val="20"/>
              </w:rPr>
            </w:pPr>
            <w:r>
              <w:rPr>
                <w:sz w:val="20"/>
                <w:szCs w:val="20"/>
              </w:rPr>
              <w:t xml:space="preserve">Год последнего </w:t>
            </w:r>
            <w:r>
              <w:rPr>
                <w:sz w:val="20"/>
                <w:szCs w:val="20"/>
              </w:rPr>
            </w:r>
            <w:r>
              <w:rPr>
                <w:sz w:val="20"/>
                <w:szCs w:val="20"/>
              </w:rPr>
            </w:r>
          </w:p>
          <w:p>
            <w:pPr>
              <w:ind w:left="-109" w:right="-97"/>
              <w:jc w:val="center"/>
              <w:rPr>
                <w:sz w:val="20"/>
                <w:szCs w:val="20"/>
              </w:rPr>
            </w:pPr>
            <w:r>
              <w:rPr>
                <w:sz w:val="20"/>
                <w:szCs w:val="20"/>
              </w:rPr>
              <w:t xml:space="preserve">капитального </w:t>
            </w:r>
            <w:r>
              <w:rPr>
                <w:sz w:val="20"/>
                <w:szCs w:val="20"/>
              </w:rPr>
            </w:r>
            <w:r>
              <w:rPr>
                <w:sz w:val="20"/>
                <w:szCs w:val="20"/>
              </w:rPr>
            </w:r>
          </w:p>
          <w:p>
            <w:pPr>
              <w:ind w:left="-109" w:right="-97"/>
              <w:jc w:val="center"/>
              <w:rPr>
                <w:sz w:val="20"/>
                <w:szCs w:val="20"/>
              </w:rPr>
            </w:pPr>
            <w:r>
              <w:rPr>
                <w:sz w:val="20"/>
                <w:szCs w:val="20"/>
              </w:rPr>
              <w:t xml:space="preserve">ремонта </w:t>
            </w:r>
            <w:r>
              <w:rPr>
                <w:sz w:val="20"/>
                <w:szCs w:val="20"/>
              </w:rPr>
            </w:r>
            <w:r>
              <w:rPr>
                <w:sz w:val="20"/>
                <w:szCs w:val="20"/>
              </w:rPr>
            </w:r>
          </w:p>
        </w:tc>
        <w:tc>
          <w:tcPr>
            <w:tcBorders>
              <w:bottom w:val="single" w:color="auto" w:sz="4" w:space="0"/>
            </w:tcBorders>
            <w:tcW w:w="375" w:type="pct"/>
            <w:vAlign w:val="center"/>
            <w:textDirection w:val="lrTb"/>
            <w:noWrap w:val="false"/>
          </w:tcPr>
          <w:p>
            <w:pPr>
              <w:ind w:left="-109" w:right="-97"/>
              <w:jc w:val="center"/>
              <w:rPr>
                <w:sz w:val="20"/>
                <w:szCs w:val="20"/>
              </w:rPr>
            </w:pPr>
            <w:r>
              <w:rPr>
                <w:sz w:val="20"/>
                <w:szCs w:val="20"/>
              </w:rPr>
              <w:t xml:space="preserve">Уровень износа</w:t>
            </w:r>
            <w:r>
              <w:rPr>
                <w:sz w:val="20"/>
                <w:szCs w:val="20"/>
              </w:rPr>
            </w:r>
            <w:r>
              <w:rPr>
                <w:sz w:val="20"/>
                <w:szCs w:val="20"/>
              </w:rPr>
            </w:r>
          </w:p>
          <w:p>
            <w:pPr>
              <w:ind w:left="-109" w:right="-97"/>
              <w:jc w:val="center"/>
              <w:rPr>
                <w:sz w:val="20"/>
                <w:szCs w:val="20"/>
              </w:rPr>
            </w:pPr>
            <w:r>
              <w:rPr>
                <w:sz w:val="20"/>
                <w:szCs w:val="20"/>
              </w:rPr>
              <w:t xml:space="preserve"> (%)</w:t>
            </w:r>
            <w:r>
              <w:rPr>
                <w:sz w:val="20"/>
                <w:szCs w:val="20"/>
              </w:rPr>
            </w:r>
            <w:r>
              <w:rPr>
                <w:sz w:val="20"/>
                <w:szCs w:val="20"/>
              </w:rPr>
            </w:r>
          </w:p>
        </w:tc>
        <w:tc>
          <w:tcPr>
            <w:tcBorders>
              <w:bottom w:val="single" w:color="auto" w:sz="4" w:space="0"/>
            </w:tcBorders>
            <w:tcW w:w="434" w:type="pct"/>
            <w:vAlign w:val="center"/>
            <w:textDirection w:val="lrTb"/>
            <w:noWrap w:val="false"/>
          </w:tcPr>
          <w:p>
            <w:pPr>
              <w:ind w:left="-109" w:right="-97"/>
              <w:jc w:val="center"/>
              <w:rPr>
                <w:sz w:val="20"/>
                <w:szCs w:val="20"/>
              </w:rPr>
            </w:pPr>
            <w:r>
              <w:rPr>
                <w:sz w:val="20"/>
                <w:szCs w:val="20"/>
              </w:rPr>
              <w:t xml:space="preserve">Мощность котлов, Гкал.час.</w:t>
            </w:r>
            <w:r>
              <w:rPr>
                <w:sz w:val="20"/>
                <w:szCs w:val="20"/>
              </w:rPr>
            </w:r>
            <w:r>
              <w:rPr>
                <w:sz w:val="20"/>
                <w:szCs w:val="20"/>
              </w:rPr>
            </w:r>
          </w:p>
        </w:tc>
        <w:tc>
          <w:tcPr>
            <w:tcBorders>
              <w:bottom w:val="single" w:color="auto" w:sz="4" w:space="0"/>
            </w:tcBorders>
            <w:tcW w:w="508" w:type="pct"/>
            <w:vAlign w:val="center"/>
            <w:vMerge w:val="continue"/>
            <w:textDirection w:val="lrTb"/>
            <w:noWrap w:val="false"/>
          </w:tcPr>
          <w:p>
            <w:pPr>
              <w:ind w:left="-142" w:right="-142"/>
              <w:rPr>
                <w:sz w:val="20"/>
                <w:szCs w:val="20"/>
              </w:rPr>
            </w:pPr>
            <w:r>
              <w:rPr>
                <w:sz w:val="20"/>
                <w:szCs w:val="20"/>
              </w:rPr>
            </w:r>
            <w:r>
              <w:rPr>
                <w:sz w:val="20"/>
                <w:szCs w:val="20"/>
              </w:rPr>
            </w:r>
            <w:r>
              <w:rPr>
                <w:sz w:val="20"/>
                <w:szCs w:val="20"/>
              </w:rPr>
            </w:r>
          </w:p>
        </w:tc>
        <w:tc>
          <w:tcPr>
            <w:tcBorders>
              <w:bottom w:val="single" w:color="auto" w:sz="4" w:space="0"/>
            </w:tcBorders>
            <w:tcW w:w="504" w:type="pct"/>
            <w:vAlign w:val="center"/>
            <w:vMerge w:val="continue"/>
            <w:textDirection w:val="lrTb"/>
            <w:noWrap w:val="false"/>
          </w:tcPr>
          <w:p>
            <w:pPr>
              <w:ind w:left="-142" w:right="-142"/>
              <w:rPr>
                <w:sz w:val="20"/>
                <w:szCs w:val="20"/>
              </w:rPr>
            </w:pPr>
            <w:r>
              <w:rPr>
                <w:sz w:val="20"/>
                <w:szCs w:val="20"/>
              </w:rPr>
            </w:r>
            <w:r>
              <w:rPr>
                <w:sz w:val="20"/>
                <w:szCs w:val="20"/>
              </w:rPr>
            </w:r>
            <w:r>
              <w:rPr>
                <w:sz w:val="20"/>
                <w:szCs w:val="20"/>
              </w:rPr>
            </w:r>
          </w:p>
        </w:tc>
      </w:tr>
      <w:tr>
        <w:tblPrEx/>
        <w:trPr>
          <w:cantSplit/>
          <w:trHeight w:val="255"/>
        </w:trPr>
        <w:tc>
          <w:tcPr>
            <w:tcW w:w="1213" w:type="pct"/>
            <w:vAlign w:val="center"/>
            <w:vMerge w:val="restart"/>
            <w:textDirection w:val="lrTb"/>
            <w:noWrap w:val="false"/>
          </w:tcPr>
          <w:p>
            <w:pPr>
              <w:ind w:left="-142" w:right="-142"/>
              <w:jc w:val="center"/>
              <w:rPr>
                <w:sz w:val="20"/>
                <w:szCs w:val="20"/>
              </w:rPr>
            </w:pPr>
            <w:r>
              <w:rPr>
                <w:color w:val="000000"/>
                <w:sz w:val="20"/>
                <w:szCs w:val="20"/>
              </w:rPr>
              <w:t xml:space="preserve">Котельная р.п. Юргамыш, ул. Свободы 25А</w:t>
            </w:r>
            <w:r>
              <w:rPr>
                <w:sz w:val="20"/>
                <w:szCs w:val="20"/>
              </w:rPr>
            </w:r>
            <w:r>
              <w:rPr>
                <w:sz w:val="20"/>
                <w:szCs w:val="20"/>
              </w:rPr>
            </w:r>
          </w:p>
        </w:tc>
        <w:tc>
          <w:tcPr>
            <w:tcW w:w="503" w:type="pct"/>
            <w:vAlign w:val="center"/>
            <w:vMerge w:val="restart"/>
            <w:textDirection w:val="lrTb"/>
            <w:noWrap w:val="false"/>
          </w:tcPr>
          <w:p>
            <w:pPr>
              <w:ind w:left="-142" w:right="-142"/>
              <w:jc w:val="center"/>
              <w:rPr>
                <w:sz w:val="20"/>
                <w:szCs w:val="20"/>
              </w:rPr>
            </w:pPr>
            <w:r>
              <w:rPr>
                <w:sz w:val="20"/>
                <w:szCs w:val="20"/>
              </w:rPr>
              <w:t xml:space="preserve">2016</w:t>
            </w:r>
            <w:r>
              <w:rPr>
                <w:sz w:val="20"/>
                <w:szCs w:val="20"/>
              </w:rPr>
            </w:r>
            <w:r>
              <w:rPr>
                <w:sz w:val="20"/>
                <w:szCs w:val="20"/>
              </w:rPr>
            </w:r>
          </w:p>
        </w:tc>
        <w:tc>
          <w:tcPr>
            <w:tcW w:w="460" w:type="pct"/>
            <w:vAlign w:val="center"/>
            <w:textDirection w:val="lrTb"/>
            <w:noWrap w:val="false"/>
          </w:tcPr>
          <w:p>
            <w:pPr>
              <w:jc w:val="center"/>
              <w:rPr>
                <w:sz w:val="20"/>
                <w:szCs w:val="20"/>
              </w:rPr>
            </w:pPr>
            <w:r>
              <w:rPr>
                <w:sz w:val="20"/>
                <w:szCs w:val="20"/>
                <w:lang w:val="en-US" w:bidi="ru-RU"/>
              </w:rPr>
              <w:t xml:space="preserve">RS – A200</w:t>
            </w:r>
            <w:r>
              <w:rPr>
                <w:sz w:val="20"/>
                <w:szCs w:val="20"/>
              </w:rPr>
            </w:r>
            <w:r>
              <w:rPr>
                <w:sz w:val="20"/>
                <w:szCs w:val="20"/>
              </w:rPr>
            </w:r>
          </w:p>
        </w:tc>
        <w:tc>
          <w:tcPr>
            <w:tcW w:w="512" w:type="pct"/>
            <w:vAlign w:val="center"/>
            <w:textDirection w:val="lrTb"/>
            <w:noWrap w:val="false"/>
          </w:tcPr>
          <w:p>
            <w:pPr>
              <w:ind w:left="-142" w:right="-142"/>
              <w:jc w:val="center"/>
              <w:rPr>
                <w:sz w:val="20"/>
                <w:szCs w:val="20"/>
              </w:rPr>
            </w:pPr>
            <w:r>
              <w:rPr>
                <w:sz w:val="20"/>
                <w:szCs w:val="20"/>
              </w:rPr>
              <w:t xml:space="preserve">2021</w:t>
            </w:r>
            <w:r>
              <w:rPr>
                <w:sz w:val="20"/>
                <w:szCs w:val="20"/>
              </w:rPr>
            </w:r>
            <w:r>
              <w:rPr>
                <w:sz w:val="20"/>
                <w:szCs w:val="20"/>
              </w:rPr>
            </w:r>
          </w:p>
        </w:tc>
        <w:tc>
          <w:tcPr>
            <w:tcW w:w="491" w:type="pct"/>
            <w:vAlign w:val="center"/>
            <w:textDirection w:val="lrTb"/>
            <w:noWrap w:val="false"/>
          </w:tcPr>
          <w:p>
            <w:pPr>
              <w:ind w:left="-142" w:right="-142"/>
              <w:jc w:val="center"/>
              <w:rPr>
                <w:sz w:val="20"/>
                <w:szCs w:val="20"/>
              </w:rPr>
            </w:pPr>
            <w:r>
              <w:rPr>
                <w:sz w:val="20"/>
                <w:szCs w:val="20"/>
              </w:rPr>
              <w:t xml:space="preserve">- </w:t>
            </w:r>
            <w:r>
              <w:rPr>
                <w:sz w:val="20"/>
                <w:szCs w:val="20"/>
              </w:rPr>
            </w:r>
            <w:r>
              <w:rPr>
                <w:sz w:val="20"/>
                <w:szCs w:val="20"/>
              </w:rPr>
            </w:r>
          </w:p>
        </w:tc>
        <w:tc>
          <w:tcPr>
            <w:tcW w:w="375" w:type="pct"/>
            <w:vAlign w:val="center"/>
            <w:textDirection w:val="lrTb"/>
            <w:noWrap w:val="false"/>
          </w:tcPr>
          <w:p>
            <w:pPr>
              <w:ind w:left="-142" w:right="-142"/>
              <w:jc w:val="center"/>
              <w:rPr>
                <w:sz w:val="20"/>
                <w:szCs w:val="20"/>
              </w:rPr>
            </w:pPr>
            <w:r>
              <w:rPr>
                <w:sz w:val="20"/>
                <w:szCs w:val="20"/>
              </w:rPr>
              <w:t xml:space="preserve">- </w:t>
            </w:r>
            <w:r>
              <w:rPr>
                <w:sz w:val="20"/>
                <w:szCs w:val="20"/>
              </w:rPr>
            </w:r>
            <w:r>
              <w:rPr>
                <w:sz w:val="20"/>
                <w:szCs w:val="20"/>
              </w:rPr>
            </w:r>
          </w:p>
        </w:tc>
        <w:tc>
          <w:tcPr>
            <w:tcW w:w="434" w:type="pct"/>
            <w:vAlign w:val="center"/>
            <w:textDirection w:val="lrTb"/>
            <w:noWrap w:val="false"/>
          </w:tcPr>
          <w:p>
            <w:pPr>
              <w:ind w:left="-142" w:right="-142"/>
              <w:jc w:val="center"/>
              <w:rPr>
                <w:sz w:val="20"/>
                <w:szCs w:val="20"/>
              </w:rPr>
            </w:pPr>
            <w:r>
              <w:rPr>
                <w:sz w:val="20"/>
                <w:szCs w:val="20"/>
              </w:rPr>
              <w:t xml:space="preserve">0,172</w:t>
            </w:r>
            <w:r>
              <w:rPr>
                <w:sz w:val="20"/>
                <w:szCs w:val="20"/>
              </w:rPr>
            </w:r>
            <w:r>
              <w:rPr>
                <w:sz w:val="20"/>
                <w:szCs w:val="20"/>
              </w:rPr>
            </w:r>
          </w:p>
        </w:tc>
        <w:tc>
          <w:tcPr>
            <w:tcW w:w="508" w:type="pct"/>
            <w:vAlign w:val="center"/>
            <w:vMerge w:val="restart"/>
            <w:textDirection w:val="lrTb"/>
            <w:noWrap w:val="false"/>
          </w:tcPr>
          <w:p>
            <w:pPr>
              <w:ind w:left="-142" w:right="-142"/>
              <w:jc w:val="center"/>
              <w:rPr>
                <w:sz w:val="20"/>
                <w:szCs w:val="20"/>
              </w:rPr>
            </w:pPr>
            <w:r>
              <w:rPr>
                <w:sz w:val="20"/>
                <w:szCs w:val="20"/>
              </w:rPr>
              <w:t xml:space="preserve">0,4767</w:t>
            </w:r>
            <w:r>
              <w:rPr>
                <w:sz w:val="20"/>
                <w:szCs w:val="20"/>
              </w:rPr>
            </w:r>
            <w:r>
              <w:rPr>
                <w:sz w:val="20"/>
                <w:szCs w:val="20"/>
              </w:rPr>
            </w:r>
          </w:p>
        </w:tc>
        <w:tc>
          <w:tcPr>
            <w:tcW w:w="504" w:type="pct"/>
            <w:vAlign w:val="center"/>
            <w:vMerge w:val="restart"/>
            <w:textDirection w:val="lrTb"/>
            <w:noWrap w:val="false"/>
          </w:tcPr>
          <w:p>
            <w:pPr>
              <w:ind w:left="-142" w:right="-142"/>
              <w:jc w:val="center"/>
              <w:rPr>
                <w:sz w:val="20"/>
                <w:szCs w:val="20"/>
              </w:rPr>
            </w:pPr>
            <w:r>
              <w:rPr>
                <w:sz w:val="20"/>
                <w:szCs w:val="20"/>
              </w:rPr>
              <w:t xml:space="preserve">0,143</w:t>
            </w:r>
            <w:r>
              <w:rPr>
                <w:sz w:val="20"/>
                <w:szCs w:val="20"/>
              </w:rPr>
            </w:r>
            <w:r>
              <w:rPr>
                <w:sz w:val="20"/>
                <w:szCs w:val="20"/>
              </w:rPr>
            </w:r>
          </w:p>
        </w:tc>
      </w:tr>
      <w:tr>
        <w:tblPrEx/>
        <w:trPr>
          <w:cantSplit/>
          <w:trHeight w:val="255"/>
        </w:trPr>
        <w:tc>
          <w:tcPr>
            <w:tcW w:w="1213" w:type="pct"/>
            <w:vAlign w:val="center"/>
            <w:vMerge w:val="continue"/>
            <w:textDirection w:val="lrTb"/>
            <w:noWrap w:val="false"/>
          </w:tcPr>
          <w:p>
            <w:pPr>
              <w:ind w:left="-142" w:right="-142"/>
              <w:jc w:val="center"/>
              <w:rPr>
                <w:color w:val="000000"/>
                <w:sz w:val="20"/>
                <w:szCs w:val="20"/>
              </w:rPr>
            </w:pPr>
            <w:r>
              <w:rPr>
                <w:color w:val="000000"/>
                <w:sz w:val="20"/>
                <w:szCs w:val="20"/>
              </w:rPr>
            </w:r>
            <w:r>
              <w:rPr>
                <w:color w:val="000000"/>
                <w:sz w:val="20"/>
                <w:szCs w:val="20"/>
              </w:rPr>
            </w:r>
            <w:r>
              <w:rPr>
                <w:color w:val="000000"/>
                <w:sz w:val="20"/>
                <w:szCs w:val="20"/>
              </w:rPr>
            </w:r>
          </w:p>
        </w:tc>
        <w:tc>
          <w:tcPr>
            <w:tcW w:w="503"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60" w:type="pct"/>
            <w:vAlign w:val="center"/>
            <w:textDirection w:val="lrTb"/>
            <w:noWrap w:val="false"/>
          </w:tcPr>
          <w:p>
            <w:pPr>
              <w:jc w:val="center"/>
              <w:rPr>
                <w:sz w:val="20"/>
                <w:szCs w:val="20"/>
              </w:rPr>
            </w:pPr>
            <w:r>
              <w:rPr>
                <w:sz w:val="20"/>
                <w:szCs w:val="20"/>
                <w:lang w:val="en-US" w:bidi="ru-RU"/>
              </w:rPr>
              <w:t xml:space="preserve">RS – A200</w:t>
            </w:r>
            <w:r>
              <w:rPr>
                <w:sz w:val="20"/>
                <w:szCs w:val="20"/>
              </w:rPr>
            </w:r>
            <w:r>
              <w:rPr>
                <w:sz w:val="20"/>
                <w:szCs w:val="20"/>
              </w:rPr>
            </w:r>
          </w:p>
        </w:tc>
        <w:tc>
          <w:tcPr>
            <w:tcW w:w="512" w:type="pct"/>
            <w:vAlign w:val="center"/>
            <w:textDirection w:val="lrTb"/>
            <w:noWrap w:val="false"/>
          </w:tcPr>
          <w:p>
            <w:pPr>
              <w:ind w:left="-142" w:right="-142"/>
              <w:jc w:val="center"/>
              <w:rPr>
                <w:sz w:val="20"/>
                <w:szCs w:val="20"/>
              </w:rPr>
            </w:pPr>
            <w:r>
              <w:rPr>
                <w:sz w:val="20"/>
                <w:szCs w:val="20"/>
              </w:rPr>
              <w:t xml:space="preserve">2021</w:t>
            </w:r>
            <w:r>
              <w:rPr>
                <w:sz w:val="20"/>
                <w:szCs w:val="20"/>
              </w:rPr>
            </w:r>
            <w:r>
              <w:rPr>
                <w:sz w:val="20"/>
                <w:szCs w:val="20"/>
              </w:rPr>
            </w:r>
          </w:p>
        </w:tc>
        <w:tc>
          <w:tcPr>
            <w:tcW w:w="491" w:type="pct"/>
            <w:vAlign w:val="center"/>
            <w:textDirection w:val="lrTb"/>
            <w:noWrap w:val="false"/>
          </w:tcPr>
          <w:p>
            <w:pPr>
              <w:ind w:left="-142" w:right="-142"/>
              <w:jc w:val="center"/>
              <w:rPr>
                <w:sz w:val="20"/>
                <w:szCs w:val="20"/>
              </w:rPr>
            </w:pPr>
            <w:r>
              <w:rPr>
                <w:sz w:val="20"/>
                <w:szCs w:val="20"/>
              </w:rPr>
              <w:t xml:space="preserve">-</w:t>
            </w:r>
            <w:r>
              <w:rPr>
                <w:sz w:val="20"/>
                <w:szCs w:val="20"/>
              </w:rPr>
            </w:r>
            <w:r>
              <w:rPr>
                <w:sz w:val="20"/>
                <w:szCs w:val="20"/>
              </w:rPr>
            </w:r>
          </w:p>
        </w:tc>
        <w:tc>
          <w:tcPr>
            <w:tcW w:w="375" w:type="pct"/>
            <w:vAlign w:val="center"/>
            <w:textDirection w:val="lrTb"/>
            <w:noWrap w:val="false"/>
          </w:tcPr>
          <w:p>
            <w:pPr>
              <w:ind w:left="-142" w:right="-142"/>
              <w:jc w:val="center"/>
              <w:rPr>
                <w:sz w:val="20"/>
                <w:szCs w:val="20"/>
              </w:rPr>
            </w:pPr>
            <w:r>
              <w:rPr>
                <w:sz w:val="20"/>
                <w:szCs w:val="20"/>
              </w:rPr>
              <w:t xml:space="preserve">-</w:t>
            </w:r>
            <w:r>
              <w:rPr>
                <w:sz w:val="20"/>
                <w:szCs w:val="20"/>
              </w:rPr>
            </w:r>
            <w:r>
              <w:rPr>
                <w:sz w:val="20"/>
                <w:szCs w:val="20"/>
              </w:rPr>
            </w:r>
          </w:p>
        </w:tc>
        <w:tc>
          <w:tcPr>
            <w:tcW w:w="434" w:type="pct"/>
            <w:vAlign w:val="center"/>
            <w:textDirection w:val="lrTb"/>
            <w:noWrap w:val="false"/>
          </w:tcPr>
          <w:p>
            <w:pPr>
              <w:ind w:left="-142" w:right="-142"/>
              <w:jc w:val="center"/>
              <w:rPr>
                <w:sz w:val="20"/>
                <w:szCs w:val="20"/>
              </w:rPr>
            </w:pPr>
            <w:r>
              <w:rPr>
                <w:sz w:val="20"/>
                <w:szCs w:val="20"/>
              </w:rPr>
              <w:t xml:space="preserve">0,172</w:t>
            </w:r>
            <w:r>
              <w:rPr>
                <w:sz w:val="20"/>
                <w:szCs w:val="20"/>
              </w:rPr>
            </w:r>
            <w:r>
              <w:rPr>
                <w:sz w:val="20"/>
                <w:szCs w:val="20"/>
              </w:rPr>
            </w:r>
          </w:p>
        </w:tc>
        <w:tc>
          <w:tcPr>
            <w:tcW w:w="508"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c>
          <w:tcPr>
            <w:tcW w:w="504"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r>
      <w:tr>
        <w:tblPrEx/>
        <w:trPr>
          <w:cantSplit/>
          <w:trHeight w:val="255"/>
        </w:trPr>
        <w:tc>
          <w:tcPr>
            <w:tcW w:w="1213"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c>
          <w:tcPr>
            <w:tcW w:w="503"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60" w:type="pct"/>
            <w:vAlign w:val="center"/>
            <w:textDirection w:val="lrTb"/>
            <w:noWrap w:val="false"/>
          </w:tcPr>
          <w:p>
            <w:pPr>
              <w:jc w:val="center"/>
              <w:rPr>
                <w:sz w:val="20"/>
                <w:szCs w:val="20"/>
              </w:rPr>
            </w:pPr>
            <w:r>
              <w:rPr>
                <w:sz w:val="20"/>
                <w:szCs w:val="20"/>
                <w:lang w:val="en-US" w:bidi="ru-RU"/>
              </w:rPr>
              <w:t xml:space="preserve">RS – A</w:t>
            </w:r>
            <w:r>
              <w:rPr>
                <w:sz w:val="20"/>
                <w:szCs w:val="20"/>
                <w:lang w:bidi="ru-RU"/>
              </w:rPr>
              <w:t xml:space="preserve">3</w:t>
            </w:r>
            <w:r>
              <w:rPr>
                <w:sz w:val="20"/>
                <w:szCs w:val="20"/>
                <w:lang w:val="en-US" w:bidi="ru-RU"/>
              </w:rPr>
              <w:t xml:space="preserve">00</w:t>
            </w:r>
            <w:r>
              <w:rPr>
                <w:sz w:val="20"/>
                <w:szCs w:val="20"/>
              </w:rPr>
            </w:r>
            <w:r>
              <w:rPr>
                <w:sz w:val="20"/>
                <w:szCs w:val="20"/>
              </w:rPr>
            </w:r>
          </w:p>
        </w:tc>
        <w:tc>
          <w:tcPr>
            <w:tcW w:w="512" w:type="pct"/>
            <w:vAlign w:val="center"/>
            <w:textDirection w:val="lrTb"/>
            <w:noWrap w:val="false"/>
          </w:tcPr>
          <w:p>
            <w:pPr>
              <w:ind w:left="-142" w:right="-142"/>
              <w:jc w:val="center"/>
              <w:rPr>
                <w:sz w:val="20"/>
                <w:szCs w:val="20"/>
              </w:rPr>
            </w:pPr>
            <w:r>
              <w:rPr>
                <w:sz w:val="20"/>
                <w:szCs w:val="20"/>
              </w:rPr>
              <w:t xml:space="preserve">2021</w:t>
            </w:r>
            <w:r>
              <w:rPr>
                <w:sz w:val="20"/>
                <w:szCs w:val="20"/>
              </w:rPr>
            </w:r>
            <w:r>
              <w:rPr>
                <w:sz w:val="20"/>
                <w:szCs w:val="20"/>
              </w:rPr>
            </w:r>
          </w:p>
        </w:tc>
        <w:tc>
          <w:tcPr>
            <w:tcW w:w="491" w:type="pct"/>
            <w:vAlign w:val="center"/>
            <w:textDirection w:val="lrTb"/>
            <w:noWrap w:val="false"/>
          </w:tcPr>
          <w:p>
            <w:pPr>
              <w:ind w:left="-142" w:right="-142"/>
              <w:jc w:val="center"/>
              <w:rPr>
                <w:sz w:val="20"/>
                <w:szCs w:val="20"/>
              </w:rPr>
            </w:pPr>
            <w:r>
              <w:rPr>
                <w:sz w:val="20"/>
                <w:szCs w:val="20"/>
              </w:rPr>
              <w:t xml:space="preserve">-</w:t>
            </w:r>
            <w:r>
              <w:rPr>
                <w:sz w:val="20"/>
                <w:szCs w:val="20"/>
              </w:rPr>
            </w:r>
            <w:r>
              <w:rPr>
                <w:sz w:val="20"/>
                <w:szCs w:val="20"/>
              </w:rPr>
            </w:r>
          </w:p>
        </w:tc>
        <w:tc>
          <w:tcPr>
            <w:tcW w:w="375" w:type="pct"/>
            <w:vAlign w:val="center"/>
            <w:textDirection w:val="lrTb"/>
            <w:noWrap w:val="false"/>
          </w:tcPr>
          <w:p>
            <w:pPr>
              <w:ind w:left="-142" w:right="-142"/>
              <w:jc w:val="center"/>
              <w:rPr>
                <w:sz w:val="20"/>
                <w:szCs w:val="20"/>
              </w:rPr>
            </w:pPr>
            <w:r>
              <w:rPr>
                <w:sz w:val="20"/>
                <w:szCs w:val="20"/>
              </w:rPr>
              <w:t xml:space="preserve">-</w:t>
            </w:r>
            <w:r>
              <w:rPr>
                <w:sz w:val="20"/>
                <w:szCs w:val="20"/>
              </w:rPr>
            </w:r>
            <w:r>
              <w:rPr>
                <w:sz w:val="20"/>
                <w:szCs w:val="20"/>
              </w:rPr>
            </w:r>
          </w:p>
        </w:tc>
        <w:tc>
          <w:tcPr>
            <w:tcW w:w="434" w:type="pct"/>
            <w:vAlign w:val="center"/>
            <w:textDirection w:val="lrTb"/>
            <w:noWrap w:val="false"/>
          </w:tcPr>
          <w:p>
            <w:pPr>
              <w:ind w:left="-142" w:right="-142"/>
              <w:jc w:val="center"/>
              <w:rPr>
                <w:sz w:val="20"/>
                <w:szCs w:val="20"/>
              </w:rPr>
            </w:pPr>
            <w:r>
              <w:rPr>
                <w:sz w:val="20"/>
                <w:szCs w:val="20"/>
              </w:rPr>
              <w:t xml:space="preserve">0,258</w:t>
            </w:r>
            <w:r>
              <w:rPr>
                <w:sz w:val="20"/>
                <w:szCs w:val="20"/>
              </w:rPr>
            </w:r>
            <w:r>
              <w:rPr>
                <w:sz w:val="20"/>
                <w:szCs w:val="20"/>
              </w:rPr>
            </w:r>
          </w:p>
        </w:tc>
        <w:tc>
          <w:tcPr>
            <w:tcW w:w="508"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c>
          <w:tcPr>
            <w:tcW w:w="504"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r>
      <w:tr>
        <w:tblPrEx/>
        <w:trPr>
          <w:cantSplit/>
          <w:trHeight w:val="255"/>
        </w:trPr>
        <w:tc>
          <w:tcPr>
            <w:tcW w:w="1213" w:type="pct"/>
            <w:vAlign w:val="center"/>
            <w:textDirection w:val="lrTb"/>
            <w:noWrap w:val="false"/>
          </w:tcPr>
          <w:p>
            <w:pPr>
              <w:ind w:left="-142" w:right="-142"/>
              <w:jc w:val="center"/>
              <w:rPr>
                <w:sz w:val="20"/>
                <w:szCs w:val="20"/>
              </w:rPr>
            </w:pPr>
            <w:r>
              <w:rPr>
                <w:sz w:val="20"/>
                <w:szCs w:val="20"/>
              </w:rPr>
              <w:t xml:space="preserve">Итого</w:t>
            </w:r>
            <w:r>
              <w:rPr>
                <w:sz w:val="20"/>
                <w:szCs w:val="20"/>
              </w:rPr>
            </w:r>
            <w:r>
              <w:rPr>
                <w:sz w:val="20"/>
                <w:szCs w:val="20"/>
              </w:rPr>
            </w:r>
          </w:p>
        </w:tc>
        <w:tc>
          <w:tcPr>
            <w:tcW w:w="503"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60" w:type="pct"/>
            <w:vAlign w:val="center"/>
            <w:textDirection w:val="lrTb"/>
            <w:noWrap w:val="false"/>
          </w:tcPr>
          <w:p>
            <w:pPr>
              <w:ind w:left="-142" w:right="-142"/>
              <w:jc w:val="center"/>
              <w:rPr>
                <w:sz w:val="20"/>
                <w:szCs w:val="20"/>
              </w:rPr>
            </w:pPr>
            <w:r>
              <w:rPr>
                <w:sz w:val="20"/>
                <w:szCs w:val="20"/>
              </w:rPr>
              <w:t xml:space="preserve">3 ед.</w:t>
            </w:r>
            <w:r>
              <w:rPr>
                <w:sz w:val="20"/>
                <w:szCs w:val="20"/>
              </w:rPr>
            </w:r>
            <w:r>
              <w:rPr>
                <w:sz w:val="20"/>
                <w:szCs w:val="20"/>
              </w:rPr>
            </w:r>
          </w:p>
        </w:tc>
        <w:tc>
          <w:tcPr>
            <w:tcW w:w="512"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91"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375"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34" w:type="pct"/>
            <w:vAlign w:val="center"/>
            <w:textDirection w:val="lrTb"/>
            <w:noWrap w:val="false"/>
          </w:tcPr>
          <w:p>
            <w:pPr>
              <w:ind w:left="-142" w:right="-142"/>
              <w:jc w:val="center"/>
              <w:rPr>
                <w:sz w:val="20"/>
                <w:szCs w:val="20"/>
              </w:rPr>
            </w:pPr>
            <w:r>
              <w:rPr>
                <w:sz w:val="20"/>
                <w:szCs w:val="20"/>
              </w:rPr>
              <w:t xml:space="preserve">0,602 </w:t>
            </w:r>
            <w:r>
              <w:rPr>
                <w:sz w:val="20"/>
                <w:szCs w:val="20"/>
              </w:rPr>
            </w:r>
            <w:r>
              <w:rPr>
                <w:sz w:val="20"/>
                <w:szCs w:val="20"/>
              </w:rPr>
            </w:r>
          </w:p>
        </w:tc>
        <w:tc>
          <w:tcPr>
            <w:tcW w:w="508"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c>
          <w:tcPr>
            <w:tcW w:w="504"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r>
      <w:tr>
        <w:tblPrEx/>
        <w:trPr>
          <w:cantSplit/>
          <w:trHeight w:val="122"/>
        </w:trPr>
        <w:tc>
          <w:tcPr>
            <w:tcW w:w="1213" w:type="pct"/>
            <w:vAlign w:val="center"/>
            <w:vMerge w:val="restart"/>
            <w:textDirection w:val="lrTb"/>
            <w:noWrap w:val="false"/>
          </w:tcPr>
          <w:p>
            <w:pPr>
              <w:ind w:left="-142" w:right="-142"/>
              <w:jc w:val="center"/>
              <w:rPr>
                <w:sz w:val="20"/>
                <w:szCs w:val="20"/>
              </w:rPr>
            </w:pPr>
            <w:r>
              <w:rPr>
                <w:color w:val="000000"/>
                <w:sz w:val="20"/>
                <w:szCs w:val="20"/>
              </w:rPr>
              <w:t xml:space="preserve">Котельная детского сада «Улыбка» р.п. Юргамыш, ул. Кирова, 38Г</w:t>
            </w:r>
            <w:r>
              <w:rPr>
                <w:sz w:val="20"/>
                <w:szCs w:val="20"/>
              </w:rPr>
            </w:r>
            <w:r>
              <w:rPr>
                <w:sz w:val="20"/>
                <w:szCs w:val="20"/>
              </w:rPr>
            </w:r>
          </w:p>
        </w:tc>
        <w:tc>
          <w:tcPr>
            <w:tcW w:w="503" w:type="pct"/>
            <w:vAlign w:val="center"/>
            <w:vMerge w:val="restart"/>
            <w:textDirection w:val="lrTb"/>
            <w:noWrap w:val="false"/>
          </w:tcPr>
          <w:p>
            <w:pPr>
              <w:ind w:left="-142" w:right="-142"/>
              <w:jc w:val="center"/>
              <w:rPr>
                <w:sz w:val="20"/>
                <w:szCs w:val="20"/>
              </w:rPr>
            </w:pPr>
            <w:r>
              <w:rPr>
                <w:sz w:val="20"/>
                <w:szCs w:val="20"/>
              </w:rPr>
              <w:t xml:space="preserve">2015</w:t>
            </w:r>
            <w:r>
              <w:rPr>
                <w:sz w:val="20"/>
                <w:szCs w:val="20"/>
              </w:rPr>
            </w:r>
            <w:r>
              <w:rPr>
                <w:sz w:val="20"/>
                <w:szCs w:val="20"/>
              </w:rPr>
            </w:r>
          </w:p>
        </w:tc>
        <w:tc>
          <w:tcPr>
            <w:tcW w:w="460" w:type="pct"/>
            <w:vAlign w:val="center"/>
            <w:textDirection w:val="lrTb"/>
            <w:noWrap w:val="false"/>
          </w:tcPr>
          <w:p>
            <w:pPr>
              <w:jc w:val="center"/>
              <w:rPr>
                <w:sz w:val="20"/>
                <w:szCs w:val="20"/>
              </w:rPr>
            </w:pPr>
            <w:r>
              <w:rPr>
                <w:sz w:val="20"/>
                <w:szCs w:val="20"/>
              </w:rPr>
              <w:t xml:space="preserve">КСВа 200</w:t>
            </w:r>
            <w:r>
              <w:rPr>
                <w:sz w:val="20"/>
                <w:szCs w:val="20"/>
              </w:rPr>
            </w:r>
            <w:r>
              <w:rPr>
                <w:sz w:val="20"/>
                <w:szCs w:val="20"/>
              </w:rPr>
            </w:r>
          </w:p>
        </w:tc>
        <w:tc>
          <w:tcPr>
            <w:tcW w:w="512" w:type="pct"/>
            <w:vAlign w:val="center"/>
            <w:textDirection w:val="lrTb"/>
            <w:noWrap w:val="false"/>
          </w:tcPr>
          <w:p>
            <w:pPr>
              <w:ind w:left="-142" w:right="-142"/>
              <w:jc w:val="center"/>
              <w:rPr>
                <w:sz w:val="20"/>
                <w:szCs w:val="20"/>
              </w:rPr>
            </w:pPr>
            <w:r>
              <w:rPr>
                <w:sz w:val="20"/>
                <w:szCs w:val="20"/>
              </w:rPr>
              <w:t xml:space="preserve">2015</w:t>
            </w:r>
            <w:r>
              <w:rPr>
                <w:sz w:val="20"/>
                <w:szCs w:val="20"/>
              </w:rPr>
            </w:r>
            <w:r>
              <w:rPr>
                <w:sz w:val="20"/>
                <w:szCs w:val="20"/>
              </w:rPr>
            </w:r>
          </w:p>
        </w:tc>
        <w:tc>
          <w:tcPr>
            <w:tcW w:w="491" w:type="pct"/>
            <w:vAlign w:val="center"/>
            <w:textDirection w:val="lrTb"/>
            <w:noWrap w:val="false"/>
          </w:tcPr>
          <w:p>
            <w:pPr>
              <w:ind w:left="-142" w:right="-142"/>
              <w:jc w:val="center"/>
              <w:rPr>
                <w:sz w:val="20"/>
                <w:szCs w:val="20"/>
              </w:rPr>
            </w:pPr>
            <w:r>
              <w:rPr>
                <w:sz w:val="20"/>
                <w:szCs w:val="20"/>
              </w:rPr>
              <w:t xml:space="preserve">н/д </w:t>
            </w:r>
            <w:r>
              <w:rPr>
                <w:sz w:val="20"/>
                <w:szCs w:val="20"/>
              </w:rPr>
            </w:r>
            <w:r>
              <w:rPr>
                <w:sz w:val="20"/>
                <w:szCs w:val="20"/>
              </w:rPr>
            </w:r>
          </w:p>
        </w:tc>
        <w:tc>
          <w:tcPr>
            <w:tcW w:w="375" w:type="pct"/>
            <w:vAlign w:val="center"/>
            <w:textDirection w:val="lrTb"/>
            <w:noWrap w:val="false"/>
          </w:tcPr>
          <w:p>
            <w:pPr>
              <w:ind w:left="-142" w:right="-142"/>
              <w:jc w:val="center"/>
              <w:rPr>
                <w:sz w:val="20"/>
                <w:szCs w:val="20"/>
              </w:rPr>
            </w:pPr>
            <w:r>
              <w:rPr>
                <w:sz w:val="20"/>
                <w:szCs w:val="20"/>
              </w:rPr>
              <w:t xml:space="preserve">н/д </w:t>
            </w:r>
            <w:r>
              <w:rPr>
                <w:sz w:val="20"/>
                <w:szCs w:val="20"/>
              </w:rPr>
            </w:r>
            <w:r>
              <w:rPr>
                <w:sz w:val="20"/>
                <w:szCs w:val="20"/>
              </w:rPr>
            </w:r>
          </w:p>
        </w:tc>
        <w:tc>
          <w:tcPr>
            <w:tcW w:w="434" w:type="pct"/>
            <w:vAlign w:val="center"/>
            <w:textDirection w:val="lrTb"/>
            <w:noWrap w:val="false"/>
          </w:tcPr>
          <w:p>
            <w:pPr>
              <w:ind w:left="-142" w:right="-142"/>
              <w:jc w:val="center"/>
              <w:rPr>
                <w:sz w:val="20"/>
                <w:szCs w:val="20"/>
              </w:rPr>
            </w:pPr>
            <w:r>
              <w:rPr>
                <w:sz w:val="20"/>
                <w:szCs w:val="20"/>
              </w:rPr>
              <w:t xml:space="preserve">0,172</w:t>
            </w:r>
            <w:r>
              <w:rPr>
                <w:sz w:val="20"/>
                <w:szCs w:val="20"/>
              </w:rPr>
            </w:r>
            <w:r>
              <w:rPr>
                <w:sz w:val="20"/>
                <w:szCs w:val="20"/>
              </w:rPr>
            </w:r>
          </w:p>
        </w:tc>
        <w:tc>
          <w:tcPr>
            <w:tcW w:w="508" w:type="pct"/>
            <w:vAlign w:val="center"/>
            <w:vMerge w:val="restart"/>
            <w:textDirection w:val="lrTb"/>
            <w:noWrap w:val="false"/>
          </w:tcPr>
          <w:p>
            <w:pPr>
              <w:ind w:left="-142" w:right="-142"/>
              <w:jc w:val="center"/>
              <w:rPr>
                <w:sz w:val="20"/>
                <w:szCs w:val="20"/>
              </w:rPr>
            </w:pPr>
            <w:r>
              <w:rPr>
                <w:sz w:val="20"/>
                <w:szCs w:val="20"/>
              </w:rPr>
              <w:t xml:space="preserve">0,430</w:t>
            </w:r>
            <w:r>
              <w:rPr>
                <w:sz w:val="20"/>
                <w:szCs w:val="20"/>
              </w:rPr>
            </w:r>
            <w:r>
              <w:rPr>
                <w:sz w:val="20"/>
                <w:szCs w:val="20"/>
              </w:rPr>
            </w:r>
          </w:p>
        </w:tc>
        <w:tc>
          <w:tcPr>
            <w:tcW w:w="504" w:type="pct"/>
            <w:vAlign w:val="center"/>
            <w:vMerge w:val="restart"/>
            <w:textDirection w:val="lrTb"/>
            <w:noWrap w:val="false"/>
          </w:tcPr>
          <w:p>
            <w:pPr>
              <w:ind w:left="-142" w:right="-142"/>
              <w:jc w:val="center"/>
              <w:rPr>
                <w:sz w:val="20"/>
                <w:szCs w:val="20"/>
              </w:rPr>
            </w:pPr>
            <w:r>
              <w:rPr>
                <w:sz w:val="20"/>
                <w:szCs w:val="20"/>
              </w:rPr>
              <w:t xml:space="preserve">0,042</w:t>
            </w:r>
            <w:r>
              <w:rPr>
                <w:sz w:val="20"/>
                <w:szCs w:val="20"/>
              </w:rPr>
            </w:r>
            <w:r>
              <w:rPr>
                <w:sz w:val="20"/>
                <w:szCs w:val="20"/>
              </w:rPr>
            </w:r>
          </w:p>
        </w:tc>
      </w:tr>
      <w:tr>
        <w:tblPrEx/>
        <w:trPr>
          <w:cantSplit/>
          <w:trHeight w:val="255"/>
        </w:trPr>
        <w:tc>
          <w:tcPr>
            <w:tcW w:w="1213"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c>
          <w:tcPr>
            <w:tcW w:w="503"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60" w:type="pct"/>
            <w:vAlign w:val="center"/>
            <w:textDirection w:val="lrTb"/>
            <w:noWrap w:val="false"/>
          </w:tcPr>
          <w:p>
            <w:pPr>
              <w:jc w:val="center"/>
              <w:rPr>
                <w:sz w:val="20"/>
                <w:szCs w:val="20"/>
              </w:rPr>
            </w:pPr>
            <w:r>
              <w:rPr>
                <w:sz w:val="20"/>
                <w:szCs w:val="20"/>
              </w:rPr>
              <w:t xml:space="preserve">КСВа 200</w:t>
            </w:r>
            <w:r>
              <w:rPr>
                <w:sz w:val="20"/>
                <w:szCs w:val="20"/>
              </w:rPr>
            </w:r>
            <w:r>
              <w:rPr>
                <w:sz w:val="20"/>
                <w:szCs w:val="20"/>
              </w:rPr>
            </w:r>
          </w:p>
        </w:tc>
        <w:tc>
          <w:tcPr>
            <w:tcW w:w="512" w:type="pct"/>
            <w:vAlign w:val="center"/>
            <w:textDirection w:val="lrTb"/>
            <w:noWrap w:val="false"/>
          </w:tcPr>
          <w:p>
            <w:pPr>
              <w:ind w:left="-142" w:right="-142"/>
              <w:jc w:val="center"/>
              <w:rPr>
                <w:sz w:val="20"/>
                <w:szCs w:val="20"/>
              </w:rPr>
            </w:pPr>
            <w:r>
              <w:rPr>
                <w:sz w:val="20"/>
                <w:szCs w:val="20"/>
              </w:rPr>
              <w:t xml:space="preserve">2015</w:t>
            </w:r>
            <w:r>
              <w:rPr>
                <w:sz w:val="20"/>
                <w:szCs w:val="20"/>
              </w:rPr>
            </w:r>
            <w:r>
              <w:rPr>
                <w:sz w:val="20"/>
                <w:szCs w:val="20"/>
              </w:rPr>
            </w:r>
          </w:p>
        </w:tc>
        <w:tc>
          <w:tcPr>
            <w:tcW w:w="491" w:type="pct"/>
            <w:vAlign w:val="center"/>
            <w:textDirection w:val="lrTb"/>
            <w:noWrap w:val="false"/>
          </w:tcPr>
          <w:p>
            <w:pPr>
              <w:ind w:left="-142" w:right="-142"/>
              <w:jc w:val="center"/>
              <w:rPr>
                <w:sz w:val="20"/>
                <w:szCs w:val="20"/>
              </w:rPr>
            </w:pPr>
            <w:r>
              <w:rPr>
                <w:sz w:val="20"/>
                <w:szCs w:val="20"/>
              </w:rPr>
              <w:t xml:space="preserve">н/д </w:t>
            </w:r>
            <w:r>
              <w:rPr>
                <w:sz w:val="20"/>
                <w:szCs w:val="20"/>
              </w:rPr>
            </w:r>
            <w:r>
              <w:rPr>
                <w:sz w:val="20"/>
                <w:szCs w:val="20"/>
              </w:rPr>
            </w:r>
          </w:p>
        </w:tc>
        <w:tc>
          <w:tcPr>
            <w:tcW w:w="375" w:type="pct"/>
            <w:vAlign w:val="center"/>
            <w:textDirection w:val="lrTb"/>
            <w:noWrap w:val="false"/>
          </w:tcPr>
          <w:p>
            <w:pPr>
              <w:ind w:left="-142" w:right="-142"/>
              <w:jc w:val="center"/>
              <w:rPr>
                <w:sz w:val="20"/>
                <w:szCs w:val="20"/>
              </w:rPr>
            </w:pPr>
            <w:r>
              <w:rPr>
                <w:sz w:val="20"/>
                <w:szCs w:val="20"/>
              </w:rPr>
              <w:t xml:space="preserve">н/д </w:t>
            </w:r>
            <w:r>
              <w:rPr>
                <w:sz w:val="20"/>
                <w:szCs w:val="20"/>
              </w:rPr>
            </w:r>
            <w:r>
              <w:rPr>
                <w:sz w:val="20"/>
                <w:szCs w:val="20"/>
              </w:rPr>
            </w:r>
          </w:p>
        </w:tc>
        <w:tc>
          <w:tcPr>
            <w:tcW w:w="434" w:type="pct"/>
            <w:vAlign w:val="center"/>
            <w:textDirection w:val="lrTb"/>
            <w:noWrap w:val="false"/>
          </w:tcPr>
          <w:p>
            <w:pPr>
              <w:ind w:left="-142" w:right="-142"/>
              <w:jc w:val="center"/>
              <w:rPr>
                <w:sz w:val="20"/>
                <w:szCs w:val="20"/>
              </w:rPr>
            </w:pPr>
            <w:r>
              <w:rPr>
                <w:sz w:val="20"/>
                <w:szCs w:val="20"/>
              </w:rPr>
              <w:t xml:space="preserve">0,172</w:t>
            </w:r>
            <w:r>
              <w:rPr>
                <w:sz w:val="20"/>
                <w:szCs w:val="20"/>
              </w:rPr>
            </w:r>
            <w:r>
              <w:rPr>
                <w:sz w:val="20"/>
                <w:szCs w:val="20"/>
              </w:rPr>
            </w:r>
          </w:p>
        </w:tc>
        <w:tc>
          <w:tcPr>
            <w:tcW w:w="508"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c>
          <w:tcPr>
            <w:tcW w:w="504"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r>
      <w:tr>
        <w:tblPrEx/>
        <w:trPr>
          <w:cantSplit/>
          <w:trHeight w:val="255"/>
        </w:trPr>
        <w:tc>
          <w:tcPr>
            <w:tcW w:w="1213"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c>
          <w:tcPr>
            <w:tcW w:w="503"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60" w:type="pct"/>
            <w:vAlign w:val="center"/>
            <w:textDirection w:val="lrTb"/>
            <w:noWrap w:val="false"/>
          </w:tcPr>
          <w:p>
            <w:pPr>
              <w:jc w:val="center"/>
              <w:rPr>
                <w:sz w:val="20"/>
                <w:szCs w:val="20"/>
              </w:rPr>
            </w:pPr>
            <w:r>
              <w:rPr>
                <w:sz w:val="20"/>
                <w:szCs w:val="20"/>
              </w:rPr>
              <w:t xml:space="preserve">КСВа 100</w:t>
            </w:r>
            <w:r>
              <w:rPr>
                <w:sz w:val="20"/>
                <w:szCs w:val="20"/>
              </w:rPr>
            </w:r>
            <w:r>
              <w:rPr>
                <w:sz w:val="20"/>
                <w:szCs w:val="20"/>
              </w:rPr>
            </w:r>
          </w:p>
        </w:tc>
        <w:tc>
          <w:tcPr>
            <w:tcW w:w="512" w:type="pct"/>
            <w:vAlign w:val="center"/>
            <w:textDirection w:val="lrTb"/>
            <w:noWrap w:val="false"/>
          </w:tcPr>
          <w:p>
            <w:pPr>
              <w:ind w:left="-142" w:right="-142"/>
              <w:jc w:val="center"/>
              <w:rPr>
                <w:sz w:val="20"/>
                <w:szCs w:val="20"/>
              </w:rPr>
            </w:pPr>
            <w:r>
              <w:rPr>
                <w:sz w:val="20"/>
                <w:szCs w:val="20"/>
              </w:rPr>
              <w:t xml:space="preserve">2015</w:t>
            </w:r>
            <w:r>
              <w:rPr>
                <w:sz w:val="20"/>
                <w:szCs w:val="20"/>
              </w:rPr>
            </w:r>
            <w:r>
              <w:rPr>
                <w:sz w:val="20"/>
                <w:szCs w:val="20"/>
              </w:rPr>
            </w:r>
          </w:p>
        </w:tc>
        <w:tc>
          <w:tcPr>
            <w:tcW w:w="491" w:type="pct"/>
            <w:vAlign w:val="center"/>
            <w:textDirection w:val="lrTb"/>
            <w:noWrap w:val="false"/>
          </w:tcPr>
          <w:p>
            <w:pPr>
              <w:ind w:left="-142" w:right="-142"/>
              <w:jc w:val="center"/>
              <w:rPr>
                <w:sz w:val="20"/>
                <w:szCs w:val="20"/>
              </w:rPr>
            </w:pPr>
            <w:r>
              <w:rPr>
                <w:sz w:val="20"/>
                <w:szCs w:val="20"/>
              </w:rPr>
              <w:t xml:space="preserve">н/д </w:t>
            </w:r>
            <w:r>
              <w:rPr>
                <w:sz w:val="20"/>
                <w:szCs w:val="20"/>
              </w:rPr>
            </w:r>
            <w:r>
              <w:rPr>
                <w:sz w:val="20"/>
                <w:szCs w:val="20"/>
              </w:rPr>
            </w:r>
          </w:p>
        </w:tc>
        <w:tc>
          <w:tcPr>
            <w:tcW w:w="375" w:type="pct"/>
            <w:vAlign w:val="center"/>
            <w:textDirection w:val="lrTb"/>
            <w:noWrap w:val="false"/>
          </w:tcPr>
          <w:p>
            <w:pPr>
              <w:ind w:left="-142" w:right="-142"/>
              <w:jc w:val="center"/>
              <w:rPr>
                <w:sz w:val="20"/>
                <w:szCs w:val="20"/>
              </w:rPr>
            </w:pPr>
            <w:r>
              <w:rPr>
                <w:sz w:val="20"/>
                <w:szCs w:val="20"/>
              </w:rPr>
              <w:t xml:space="preserve">н/д </w:t>
            </w:r>
            <w:r>
              <w:rPr>
                <w:sz w:val="20"/>
                <w:szCs w:val="20"/>
              </w:rPr>
            </w:r>
            <w:r>
              <w:rPr>
                <w:sz w:val="20"/>
                <w:szCs w:val="20"/>
              </w:rPr>
            </w:r>
          </w:p>
        </w:tc>
        <w:tc>
          <w:tcPr>
            <w:tcW w:w="434" w:type="pct"/>
            <w:vAlign w:val="center"/>
            <w:textDirection w:val="lrTb"/>
            <w:noWrap w:val="false"/>
          </w:tcPr>
          <w:p>
            <w:pPr>
              <w:ind w:left="-142" w:right="-142"/>
              <w:jc w:val="center"/>
              <w:rPr>
                <w:sz w:val="20"/>
                <w:szCs w:val="20"/>
              </w:rPr>
            </w:pPr>
            <w:r>
              <w:rPr>
                <w:sz w:val="20"/>
                <w:szCs w:val="20"/>
              </w:rPr>
              <w:t xml:space="preserve">0,086</w:t>
            </w:r>
            <w:r>
              <w:rPr>
                <w:sz w:val="20"/>
                <w:szCs w:val="20"/>
              </w:rPr>
            </w:r>
            <w:r>
              <w:rPr>
                <w:sz w:val="20"/>
                <w:szCs w:val="20"/>
              </w:rPr>
            </w:r>
          </w:p>
        </w:tc>
        <w:tc>
          <w:tcPr>
            <w:tcW w:w="508"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c>
          <w:tcPr>
            <w:tcW w:w="504"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r>
      <w:tr>
        <w:tblPrEx/>
        <w:trPr>
          <w:cantSplit/>
          <w:trHeight w:val="255"/>
        </w:trPr>
        <w:tc>
          <w:tcPr>
            <w:tcW w:w="1213" w:type="pct"/>
            <w:vAlign w:val="center"/>
            <w:textDirection w:val="lrTb"/>
            <w:noWrap w:val="false"/>
          </w:tcPr>
          <w:p>
            <w:pPr>
              <w:ind w:left="-142" w:right="-142"/>
              <w:jc w:val="center"/>
              <w:rPr>
                <w:sz w:val="20"/>
                <w:szCs w:val="20"/>
              </w:rPr>
            </w:pPr>
            <w:r>
              <w:rPr>
                <w:sz w:val="20"/>
                <w:szCs w:val="20"/>
              </w:rPr>
              <w:t xml:space="preserve">Итого</w:t>
            </w:r>
            <w:r>
              <w:rPr>
                <w:sz w:val="20"/>
                <w:szCs w:val="20"/>
              </w:rPr>
            </w:r>
            <w:r>
              <w:rPr>
                <w:sz w:val="20"/>
                <w:szCs w:val="20"/>
              </w:rPr>
            </w:r>
          </w:p>
        </w:tc>
        <w:tc>
          <w:tcPr>
            <w:tcW w:w="503"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60" w:type="pct"/>
            <w:vAlign w:val="center"/>
            <w:textDirection w:val="lrTb"/>
            <w:noWrap w:val="false"/>
          </w:tcPr>
          <w:p>
            <w:pPr>
              <w:ind w:left="-142" w:right="-142"/>
              <w:jc w:val="center"/>
              <w:rPr>
                <w:sz w:val="20"/>
                <w:szCs w:val="20"/>
              </w:rPr>
            </w:pPr>
            <w:r>
              <w:rPr>
                <w:sz w:val="20"/>
                <w:szCs w:val="20"/>
              </w:rPr>
              <w:t xml:space="preserve">3 ед.</w:t>
            </w:r>
            <w:r>
              <w:rPr>
                <w:sz w:val="20"/>
                <w:szCs w:val="20"/>
              </w:rPr>
            </w:r>
            <w:r>
              <w:rPr>
                <w:sz w:val="20"/>
                <w:szCs w:val="20"/>
              </w:rPr>
            </w:r>
          </w:p>
        </w:tc>
        <w:tc>
          <w:tcPr>
            <w:tcW w:w="512"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91"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375"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34" w:type="pct"/>
            <w:vAlign w:val="center"/>
            <w:textDirection w:val="lrTb"/>
            <w:noWrap w:val="false"/>
          </w:tcPr>
          <w:p>
            <w:pPr>
              <w:ind w:left="-142" w:right="-142"/>
              <w:jc w:val="center"/>
              <w:rPr>
                <w:sz w:val="20"/>
                <w:szCs w:val="20"/>
              </w:rPr>
            </w:pPr>
            <w:r>
              <w:rPr>
                <w:sz w:val="20"/>
                <w:szCs w:val="20"/>
              </w:rPr>
              <w:t xml:space="preserve">0,430</w:t>
            </w:r>
            <w:r>
              <w:rPr>
                <w:sz w:val="20"/>
                <w:szCs w:val="20"/>
              </w:rPr>
            </w:r>
            <w:r>
              <w:rPr>
                <w:sz w:val="20"/>
                <w:szCs w:val="20"/>
              </w:rPr>
            </w:r>
          </w:p>
        </w:tc>
        <w:tc>
          <w:tcPr>
            <w:tcW w:w="508"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c>
          <w:tcPr>
            <w:tcW w:w="504"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r>
      <w:tr>
        <w:tblPrEx/>
        <w:trPr>
          <w:cantSplit/>
          <w:trHeight w:val="80"/>
        </w:trPr>
        <w:tc>
          <w:tcPr>
            <w:tcW w:w="1213" w:type="pct"/>
            <w:vAlign w:val="center"/>
            <w:vMerge w:val="restart"/>
            <w:textDirection w:val="lrTb"/>
            <w:noWrap w:val="false"/>
          </w:tcPr>
          <w:p>
            <w:pPr>
              <w:ind w:left="-142" w:right="-142"/>
              <w:jc w:val="center"/>
              <w:rPr>
                <w:sz w:val="20"/>
                <w:szCs w:val="20"/>
              </w:rPr>
            </w:pPr>
            <w:r>
              <w:rPr>
                <w:color w:val="000000"/>
                <w:sz w:val="20"/>
                <w:szCs w:val="20"/>
              </w:rPr>
              <w:t xml:space="preserve">Котельная ЦРБ р.п. Юргамыш, ул. Леспромхоза, 4А</w:t>
            </w:r>
            <w:r>
              <w:rPr>
                <w:sz w:val="20"/>
                <w:szCs w:val="20"/>
              </w:rPr>
            </w:r>
            <w:r>
              <w:rPr>
                <w:sz w:val="20"/>
                <w:szCs w:val="20"/>
              </w:rPr>
            </w:r>
          </w:p>
        </w:tc>
        <w:tc>
          <w:tcPr>
            <w:tcW w:w="503" w:type="pct"/>
            <w:vAlign w:val="center"/>
            <w:vMerge w:val="restart"/>
            <w:textDirection w:val="lrTb"/>
            <w:noWrap w:val="false"/>
          </w:tcPr>
          <w:p>
            <w:pPr>
              <w:ind w:left="-142" w:right="-142"/>
              <w:jc w:val="center"/>
              <w:rPr>
                <w:sz w:val="20"/>
                <w:szCs w:val="20"/>
              </w:rPr>
            </w:pPr>
            <w:r>
              <w:rPr>
                <w:sz w:val="20"/>
                <w:szCs w:val="20"/>
              </w:rPr>
              <w:t xml:space="preserve">2011</w:t>
            </w:r>
            <w:r>
              <w:rPr>
                <w:sz w:val="20"/>
                <w:szCs w:val="20"/>
              </w:rPr>
            </w:r>
            <w:r>
              <w:rPr>
                <w:sz w:val="20"/>
                <w:szCs w:val="20"/>
              </w:rPr>
            </w:r>
          </w:p>
        </w:tc>
        <w:tc>
          <w:tcPr>
            <w:tcW w:w="460" w:type="pct"/>
            <w:vAlign w:val="center"/>
            <w:textDirection w:val="lrTb"/>
            <w:noWrap w:val="false"/>
          </w:tcPr>
          <w:p>
            <w:pPr>
              <w:jc w:val="center"/>
              <w:rPr>
                <w:sz w:val="20"/>
                <w:szCs w:val="20"/>
                <w:lang w:val="en-US"/>
              </w:rPr>
            </w:pPr>
            <w:r>
              <w:rPr>
                <w:sz w:val="20"/>
                <w:szCs w:val="20"/>
                <w:lang w:val="en-US"/>
              </w:rPr>
              <w:t xml:space="preserve">RS-A-300</w:t>
            </w:r>
            <w:r>
              <w:rPr>
                <w:sz w:val="20"/>
                <w:szCs w:val="20"/>
                <w:lang w:val="en-US"/>
              </w:rPr>
            </w:r>
            <w:r>
              <w:rPr>
                <w:sz w:val="20"/>
                <w:szCs w:val="20"/>
                <w:lang w:val="en-US"/>
              </w:rPr>
            </w:r>
          </w:p>
        </w:tc>
        <w:tc>
          <w:tcPr>
            <w:tcW w:w="512" w:type="pct"/>
            <w:vAlign w:val="center"/>
            <w:textDirection w:val="lrTb"/>
            <w:noWrap w:val="false"/>
          </w:tcPr>
          <w:p>
            <w:pPr>
              <w:ind w:left="-142" w:right="-142"/>
              <w:jc w:val="center"/>
              <w:rPr>
                <w:sz w:val="20"/>
                <w:szCs w:val="20"/>
              </w:rPr>
            </w:pPr>
            <w:r>
              <w:rPr>
                <w:sz w:val="20"/>
                <w:szCs w:val="20"/>
              </w:rPr>
              <w:t xml:space="preserve">2017</w:t>
            </w:r>
            <w:r>
              <w:rPr>
                <w:sz w:val="20"/>
                <w:szCs w:val="20"/>
              </w:rPr>
            </w:r>
            <w:r>
              <w:rPr>
                <w:sz w:val="20"/>
                <w:szCs w:val="20"/>
              </w:rPr>
            </w:r>
          </w:p>
        </w:tc>
        <w:tc>
          <w:tcPr>
            <w:tcW w:w="491" w:type="pct"/>
            <w:vAlign w:val="center"/>
            <w:textDirection w:val="lrTb"/>
            <w:noWrap w:val="false"/>
          </w:tcPr>
          <w:p>
            <w:pPr>
              <w:ind w:left="-142" w:right="-142"/>
              <w:jc w:val="center"/>
              <w:rPr>
                <w:sz w:val="20"/>
                <w:szCs w:val="20"/>
              </w:rPr>
            </w:pPr>
            <w:r>
              <w:rPr>
                <w:sz w:val="20"/>
                <w:szCs w:val="20"/>
              </w:rPr>
              <w:t xml:space="preserve">н/д </w:t>
            </w:r>
            <w:r>
              <w:rPr>
                <w:sz w:val="20"/>
                <w:szCs w:val="20"/>
              </w:rPr>
            </w:r>
            <w:r>
              <w:rPr>
                <w:sz w:val="20"/>
                <w:szCs w:val="20"/>
              </w:rPr>
            </w:r>
          </w:p>
        </w:tc>
        <w:tc>
          <w:tcPr>
            <w:tcW w:w="375" w:type="pct"/>
            <w:vAlign w:val="center"/>
            <w:textDirection w:val="lrTb"/>
            <w:noWrap w:val="false"/>
          </w:tcPr>
          <w:p>
            <w:pPr>
              <w:ind w:left="-142" w:right="-142"/>
              <w:jc w:val="center"/>
              <w:rPr>
                <w:sz w:val="20"/>
                <w:szCs w:val="20"/>
              </w:rPr>
            </w:pPr>
            <w:r>
              <w:rPr>
                <w:sz w:val="20"/>
                <w:szCs w:val="20"/>
              </w:rPr>
              <w:t xml:space="preserve">н/д </w:t>
            </w:r>
            <w:r>
              <w:rPr>
                <w:sz w:val="20"/>
                <w:szCs w:val="20"/>
              </w:rPr>
            </w:r>
            <w:r>
              <w:rPr>
                <w:sz w:val="20"/>
                <w:szCs w:val="20"/>
              </w:rPr>
            </w:r>
          </w:p>
        </w:tc>
        <w:tc>
          <w:tcPr>
            <w:tcW w:w="434" w:type="pct"/>
            <w:vAlign w:val="center"/>
            <w:textDirection w:val="lrTb"/>
            <w:noWrap w:val="false"/>
          </w:tcPr>
          <w:p>
            <w:pPr>
              <w:ind w:left="-142" w:right="-142"/>
              <w:jc w:val="center"/>
              <w:rPr>
                <w:sz w:val="20"/>
                <w:szCs w:val="20"/>
              </w:rPr>
            </w:pPr>
            <w:r>
              <w:rPr>
                <w:sz w:val="20"/>
                <w:szCs w:val="20"/>
              </w:rPr>
              <w:t xml:space="preserve">0,258</w:t>
            </w:r>
            <w:r>
              <w:rPr>
                <w:sz w:val="20"/>
                <w:szCs w:val="20"/>
              </w:rPr>
            </w:r>
            <w:r>
              <w:rPr>
                <w:sz w:val="20"/>
                <w:szCs w:val="20"/>
              </w:rPr>
            </w:r>
          </w:p>
        </w:tc>
        <w:tc>
          <w:tcPr>
            <w:tcW w:w="508" w:type="pct"/>
            <w:vAlign w:val="center"/>
            <w:vMerge w:val="restart"/>
            <w:textDirection w:val="lrTb"/>
            <w:noWrap w:val="false"/>
          </w:tcPr>
          <w:p>
            <w:pPr>
              <w:ind w:left="-142" w:right="-142"/>
              <w:jc w:val="center"/>
              <w:rPr>
                <w:sz w:val="20"/>
                <w:szCs w:val="20"/>
              </w:rPr>
            </w:pPr>
            <w:r>
              <w:rPr>
                <w:sz w:val="20"/>
                <w:szCs w:val="20"/>
              </w:rPr>
              <w:t xml:space="preserve">0,489</w:t>
            </w:r>
            <w:r>
              <w:rPr>
                <w:sz w:val="20"/>
                <w:szCs w:val="20"/>
              </w:rPr>
            </w:r>
            <w:r>
              <w:rPr>
                <w:sz w:val="20"/>
                <w:szCs w:val="20"/>
              </w:rPr>
            </w:r>
          </w:p>
        </w:tc>
        <w:tc>
          <w:tcPr>
            <w:tcW w:w="504" w:type="pct"/>
            <w:vAlign w:val="center"/>
            <w:vMerge w:val="restart"/>
            <w:textDirection w:val="lrTb"/>
            <w:noWrap w:val="false"/>
          </w:tcPr>
          <w:p>
            <w:pPr>
              <w:ind w:left="-142" w:right="-142"/>
              <w:jc w:val="center"/>
              <w:rPr>
                <w:sz w:val="20"/>
                <w:szCs w:val="20"/>
              </w:rPr>
            </w:pPr>
            <w:r>
              <w:rPr>
                <w:sz w:val="20"/>
                <w:szCs w:val="20"/>
              </w:rPr>
              <w:t xml:space="preserve">0,046</w:t>
            </w:r>
            <w:r>
              <w:rPr>
                <w:sz w:val="20"/>
                <w:szCs w:val="20"/>
              </w:rPr>
            </w:r>
            <w:r>
              <w:rPr>
                <w:sz w:val="20"/>
                <w:szCs w:val="20"/>
              </w:rPr>
            </w:r>
          </w:p>
        </w:tc>
      </w:tr>
      <w:tr>
        <w:tblPrEx/>
        <w:trPr>
          <w:cantSplit/>
          <w:trHeight w:val="255"/>
        </w:trPr>
        <w:tc>
          <w:tcPr>
            <w:tcW w:w="1213"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c>
          <w:tcPr>
            <w:tcW w:w="503"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60" w:type="pct"/>
            <w:vAlign w:val="center"/>
            <w:textDirection w:val="lrTb"/>
            <w:noWrap w:val="false"/>
          </w:tcPr>
          <w:p>
            <w:pPr>
              <w:jc w:val="center"/>
              <w:rPr>
                <w:sz w:val="20"/>
                <w:szCs w:val="20"/>
              </w:rPr>
            </w:pPr>
            <w:r>
              <w:rPr>
                <w:sz w:val="20"/>
                <w:szCs w:val="20"/>
                <w:lang w:val="en-US"/>
              </w:rPr>
              <w:t xml:space="preserve">RS-A-200</w:t>
            </w:r>
            <w:r>
              <w:rPr>
                <w:sz w:val="20"/>
                <w:szCs w:val="20"/>
              </w:rPr>
            </w:r>
            <w:r>
              <w:rPr>
                <w:sz w:val="20"/>
                <w:szCs w:val="20"/>
              </w:rPr>
            </w:r>
          </w:p>
        </w:tc>
        <w:tc>
          <w:tcPr>
            <w:tcW w:w="512" w:type="pct"/>
            <w:vAlign w:val="center"/>
            <w:textDirection w:val="lrTb"/>
            <w:noWrap w:val="false"/>
          </w:tcPr>
          <w:p>
            <w:pPr>
              <w:ind w:left="-142" w:right="-142"/>
              <w:jc w:val="center"/>
              <w:rPr>
                <w:sz w:val="20"/>
                <w:szCs w:val="20"/>
              </w:rPr>
            </w:pPr>
            <w:r>
              <w:rPr>
                <w:sz w:val="20"/>
                <w:szCs w:val="20"/>
              </w:rPr>
              <w:t xml:space="preserve">2017</w:t>
            </w:r>
            <w:r>
              <w:rPr>
                <w:sz w:val="20"/>
                <w:szCs w:val="20"/>
              </w:rPr>
            </w:r>
            <w:r>
              <w:rPr>
                <w:sz w:val="20"/>
                <w:szCs w:val="20"/>
              </w:rPr>
            </w:r>
          </w:p>
        </w:tc>
        <w:tc>
          <w:tcPr>
            <w:tcW w:w="491" w:type="pct"/>
            <w:vAlign w:val="center"/>
            <w:textDirection w:val="lrTb"/>
            <w:noWrap w:val="false"/>
          </w:tcPr>
          <w:p>
            <w:pPr>
              <w:ind w:left="-142" w:right="-142"/>
              <w:jc w:val="center"/>
              <w:rPr>
                <w:sz w:val="20"/>
                <w:szCs w:val="20"/>
              </w:rPr>
            </w:pPr>
            <w:r>
              <w:rPr>
                <w:sz w:val="20"/>
                <w:szCs w:val="20"/>
              </w:rPr>
              <w:t xml:space="preserve">н/д </w:t>
            </w:r>
            <w:r>
              <w:rPr>
                <w:sz w:val="20"/>
                <w:szCs w:val="20"/>
              </w:rPr>
            </w:r>
            <w:r>
              <w:rPr>
                <w:sz w:val="20"/>
                <w:szCs w:val="20"/>
              </w:rPr>
            </w:r>
          </w:p>
        </w:tc>
        <w:tc>
          <w:tcPr>
            <w:tcW w:w="375" w:type="pct"/>
            <w:vAlign w:val="center"/>
            <w:textDirection w:val="lrTb"/>
            <w:noWrap w:val="false"/>
          </w:tcPr>
          <w:p>
            <w:pPr>
              <w:ind w:left="-142" w:right="-142"/>
              <w:jc w:val="center"/>
              <w:rPr>
                <w:sz w:val="20"/>
                <w:szCs w:val="20"/>
              </w:rPr>
            </w:pPr>
            <w:r>
              <w:rPr>
                <w:sz w:val="20"/>
                <w:szCs w:val="20"/>
              </w:rPr>
              <w:t xml:space="preserve">н/д </w:t>
            </w:r>
            <w:r>
              <w:rPr>
                <w:sz w:val="20"/>
                <w:szCs w:val="20"/>
              </w:rPr>
            </w:r>
            <w:r>
              <w:rPr>
                <w:sz w:val="20"/>
                <w:szCs w:val="20"/>
              </w:rPr>
            </w:r>
          </w:p>
        </w:tc>
        <w:tc>
          <w:tcPr>
            <w:tcW w:w="434" w:type="pct"/>
            <w:vAlign w:val="center"/>
            <w:textDirection w:val="lrTb"/>
            <w:noWrap w:val="false"/>
          </w:tcPr>
          <w:p>
            <w:pPr>
              <w:ind w:left="-142" w:right="-142"/>
              <w:jc w:val="center"/>
              <w:rPr>
                <w:sz w:val="20"/>
                <w:szCs w:val="20"/>
              </w:rPr>
            </w:pPr>
            <w:r>
              <w:rPr>
                <w:sz w:val="20"/>
                <w:szCs w:val="20"/>
              </w:rPr>
              <w:t xml:space="preserve">0,172</w:t>
            </w:r>
            <w:r>
              <w:rPr>
                <w:sz w:val="20"/>
                <w:szCs w:val="20"/>
              </w:rPr>
            </w:r>
            <w:r>
              <w:rPr>
                <w:sz w:val="20"/>
                <w:szCs w:val="20"/>
              </w:rPr>
            </w:r>
          </w:p>
        </w:tc>
        <w:tc>
          <w:tcPr>
            <w:tcW w:w="508"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c>
          <w:tcPr>
            <w:tcW w:w="504"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r>
      <w:tr>
        <w:tblPrEx/>
        <w:trPr>
          <w:cantSplit/>
          <w:trHeight w:val="255"/>
        </w:trPr>
        <w:tc>
          <w:tcPr>
            <w:tcW w:w="1213"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c>
          <w:tcPr>
            <w:tcW w:w="503"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60" w:type="pct"/>
            <w:vAlign w:val="center"/>
            <w:textDirection w:val="lrTb"/>
            <w:noWrap w:val="false"/>
          </w:tcPr>
          <w:p>
            <w:pPr>
              <w:jc w:val="center"/>
              <w:rPr>
                <w:sz w:val="20"/>
                <w:szCs w:val="20"/>
                <w:lang w:val="en-US"/>
              </w:rPr>
            </w:pPr>
            <w:r>
              <w:rPr>
                <w:sz w:val="20"/>
                <w:szCs w:val="20"/>
                <w:lang w:val="en-US"/>
              </w:rPr>
              <w:t xml:space="preserve">RS-A-200</w:t>
            </w:r>
            <w:r>
              <w:rPr>
                <w:sz w:val="20"/>
                <w:szCs w:val="20"/>
                <w:lang w:val="en-US"/>
              </w:rPr>
            </w:r>
            <w:r>
              <w:rPr>
                <w:sz w:val="20"/>
                <w:szCs w:val="20"/>
                <w:lang w:val="en-US"/>
              </w:rPr>
            </w:r>
          </w:p>
        </w:tc>
        <w:tc>
          <w:tcPr>
            <w:tcW w:w="512" w:type="pct"/>
            <w:vAlign w:val="center"/>
            <w:textDirection w:val="lrTb"/>
            <w:noWrap w:val="false"/>
          </w:tcPr>
          <w:p>
            <w:pPr>
              <w:ind w:left="-142" w:right="-142"/>
              <w:jc w:val="center"/>
              <w:rPr>
                <w:sz w:val="20"/>
                <w:szCs w:val="20"/>
              </w:rPr>
            </w:pPr>
            <w:r>
              <w:rPr>
                <w:sz w:val="20"/>
                <w:szCs w:val="20"/>
              </w:rPr>
              <w:t xml:space="preserve">2017</w:t>
            </w:r>
            <w:r>
              <w:rPr>
                <w:sz w:val="20"/>
                <w:szCs w:val="20"/>
              </w:rPr>
            </w:r>
            <w:r>
              <w:rPr>
                <w:sz w:val="20"/>
                <w:szCs w:val="20"/>
              </w:rPr>
            </w:r>
          </w:p>
        </w:tc>
        <w:tc>
          <w:tcPr>
            <w:tcW w:w="491" w:type="pct"/>
            <w:vAlign w:val="center"/>
            <w:textDirection w:val="lrTb"/>
            <w:noWrap w:val="false"/>
          </w:tcPr>
          <w:p>
            <w:pPr>
              <w:ind w:left="-142" w:right="-142"/>
              <w:jc w:val="center"/>
              <w:rPr>
                <w:sz w:val="20"/>
                <w:szCs w:val="20"/>
              </w:rPr>
            </w:pPr>
            <w:r>
              <w:rPr>
                <w:sz w:val="20"/>
                <w:szCs w:val="20"/>
              </w:rPr>
              <w:t xml:space="preserve">н/д </w:t>
            </w:r>
            <w:r>
              <w:rPr>
                <w:sz w:val="20"/>
                <w:szCs w:val="20"/>
              </w:rPr>
            </w:r>
            <w:r>
              <w:rPr>
                <w:sz w:val="20"/>
                <w:szCs w:val="20"/>
              </w:rPr>
            </w:r>
          </w:p>
        </w:tc>
        <w:tc>
          <w:tcPr>
            <w:tcW w:w="375" w:type="pct"/>
            <w:vAlign w:val="center"/>
            <w:textDirection w:val="lrTb"/>
            <w:noWrap w:val="false"/>
          </w:tcPr>
          <w:p>
            <w:pPr>
              <w:ind w:left="-142" w:right="-142"/>
              <w:jc w:val="center"/>
              <w:rPr>
                <w:sz w:val="20"/>
                <w:szCs w:val="20"/>
              </w:rPr>
            </w:pPr>
            <w:r>
              <w:rPr>
                <w:sz w:val="20"/>
                <w:szCs w:val="20"/>
              </w:rPr>
              <w:t xml:space="preserve">н/д </w:t>
            </w:r>
            <w:r>
              <w:rPr>
                <w:sz w:val="20"/>
                <w:szCs w:val="20"/>
              </w:rPr>
            </w:r>
            <w:r>
              <w:rPr>
                <w:sz w:val="20"/>
                <w:szCs w:val="20"/>
              </w:rPr>
            </w:r>
          </w:p>
        </w:tc>
        <w:tc>
          <w:tcPr>
            <w:tcW w:w="434" w:type="pct"/>
            <w:vAlign w:val="center"/>
            <w:textDirection w:val="lrTb"/>
            <w:noWrap w:val="false"/>
          </w:tcPr>
          <w:p>
            <w:pPr>
              <w:ind w:left="-142" w:right="-142"/>
              <w:jc w:val="center"/>
              <w:rPr>
                <w:sz w:val="20"/>
                <w:szCs w:val="20"/>
              </w:rPr>
            </w:pPr>
            <w:r>
              <w:rPr>
                <w:sz w:val="20"/>
                <w:szCs w:val="20"/>
              </w:rPr>
              <w:t xml:space="preserve">0,172</w:t>
            </w:r>
            <w:r>
              <w:rPr>
                <w:sz w:val="20"/>
                <w:szCs w:val="20"/>
              </w:rPr>
            </w:r>
            <w:r>
              <w:rPr>
                <w:sz w:val="20"/>
                <w:szCs w:val="20"/>
              </w:rPr>
            </w:r>
          </w:p>
        </w:tc>
        <w:tc>
          <w:tcPr>
            <w:tcW w:w="508"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c>
          <w:tcPr>
            <w:tcW w:w="504"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r>
      <w:tr>
        <w:tblPrEx/>
        <w:trPr>
          <w:cantSplit/>
          <w:trHeight w:val="255"/>
        </w:trPr>
        <w:tc>
          <w:tcPr>
            <w:tcW w:w="1213"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c>
          <w:tcPr>
            <w:tcW w:w="503"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60" w:type="pct"/>
            <w:vAlign w:val="center"/>
            <w:textDirection w:val="lrTb"/>
            <w:noWrap w:val="false"/>
          </w:tcPr>
          <w:p>
            <w:pPr>
              <w:jc w:val="center"/>
              <w:rPr>
                <w:sz w:val="20"/>
                <w:szCs w:val="20"/>
                <w:lang w:val="en-US"/>
              </w:rPr>
            </w:pPr>
            <w:r>
              <w:rPr>
                <w:sz w:val="20"/>
                <w:szCs w:val="20"/>
                <w:lang w:val="en-US"/>
              </w:rPr>
              <w:t xml:space="preserve">RS-A-</w:t>
            </w:r>
            <w:r>
              <w:rPr>
                <w:sz w:val="20"/>
                <w:szCs w:val="20"/>
              </w:rPr>
              <w:t xml:space="preserve">1</w:t>
            </w:r>
            <w:r>
              <w:rPr>
                <w:sz w:val="20"/>
                <w:szCs w:val="20"/>
                <w:lang w:val="en-US"/>
              </w:rPr>
              <w:t xml:space="preserve">00</w:t>
            </w:r>
            <w:r>
              <w:rPr>
                <w:sz w:val="20"/>
                <w:szCs w:val="20"/>
                <w:lang w:val="en-US"/>
              </w:rPr>
            </w:r>
            <w:r>
              <w:rPr>
                <w:sz w:val="20"/>
                <w:szCs w:val="20"/>
                <w:lang w:val="en-US"/>
              </w:rPr>
            </w:r>
          </w:p>
        </w:tc>
        <w:tc>
          <w:tcPr>
            <w:tcW w:w="512" w:type="pct"/>
            <w:vAlign w:val="center"/>
            <w:textDirection w:val="lrTb"/>
            <w:noWrap w:val="false"/>
          </w:tcPr>
          <w:p>
            <w:pPr>
              <w:ind w:left="-142" w:right="-142"/>
              <w:jc w:val="center"/>
              <w:rPr>
                <w:sz w:val="20"/>
                <w:szCs w:val="20"/>
              </w:rPr>
            </w:pPr>
            <w:r>
              <w:rPr>
                <w:sz w:val="20"/>
                <w:szCs w:val="20"/>
              </w:rPr>
              <w:t xml:space="preserve">2017</w:t>
            </w:r>
            <w:r>
              <w:rPr>
                <w:sz w:val="20"/>
                <w:szCs w:val="20"/>
              </w:rPr>
            </w:r>
            <w:r>
              <w:rPr>
                <w:sz w:val="20"/>
                <w:szCs w:val="20"/>
              </w:rPr>
            </w:r>
          </w:p>
        </w:tc>
        <w:tc>
          <w:tcPr>
            <w:tcW w:w="491" w:type="pct"/>
            <w:vAlign w:val="center"/>
            <w:textDirection w:val="lrTb"/>
            <w:noWrap w:val="false"/>
          </w:tcPr>
          <w:p>
            <w:pPr>
              <w:ind w:left="-142" w:right="-142"/>
              <w:jc w:val="center"/>
              <w:rPr>
                <w:sz w:val="20"/>
                <w:szCs w:val="20"/>
              </w:rPr>
            </w:pPr>
            <w:r>
              <w:rPr>
                <w:sz w:val="20"/>
                <w:szCs w:val="20"/>
              </w:rPr>
              <w:t xml:space="preserve">н/д </w:t>
            </w:r>
            <w:r>
              <w:rPr>
                <w:sz w:val="20"/>
                <w:szCs w:val="20"/>
              </w:rPr>
            </w:r>
            <w:r>
              <w:rPr>
                <w:sz w:val="20"/>
                <w:szCs w:val="20"/>
              </w:rPr>
            </w:r>
          </w:p>
        </w:tc>
        <w:tc>
          <w:tcPr>
            <w:tcW w:w="375" w:type="pct"/>
            <w:vAlign w:val="center"/>
            <w:textDirection w:val="lrTb"/>
            <w:noWrap w:val="false"/>
          </w:tcPr>
          <w:p>
            <w:pPr>
              <w:ind w:left="-142" w:right="-142"/>
              <w:jc w:val="center"/>
              <w:rPr>
                <w:sz w:val="20"/>
                <w:szCs w:val="20"/>
              </w:rPr>
            </w:pPr>
            <w:r>
              <w:rPr>
                <w:sz w:val="20"/>
                <w:szCs w:val="20"/>
              </w:rPr>
              <w:t xml:space="preserve">н/д </w:t>
            </w:r>
            <w:r>
              <w:rPr>
                <w:sz w:val="20"/>
                <w:szCs w:val="20"/>
              </w:rPr>
            </w:r>
            <w:r>
              <w:rPr>
                <w:sz w:val="20"/>
                <w:szCs w:val="20"/>
              </w:rPr>
            </w:r>
          </w:p>
        </w:tc>
        <w:tc>
          <w:tcPr>
            <w:tcW w:w="434" w:type="pct"/>
            <w:vAlign w:val="center"/>
            <w:textDirection w:val="lrTb"/>
            <w:noWrap w:val="false"/>
          </w:tcPr>
          <w:p>
            <w:pPr>
              <w:ind w:left="-142" w:right="-142"/>
              <w:jc w:val="center"/>
              <w:rPr>
                <w:sz w:val="20"/>
                <w:szCs w:val="20"/>
              </w:rPr>
            </w:pPr>
            <w:r>
              <w:rPr>
                <w:sz w:val="20"/>
                <w:szCs w:val="20"/>
              </w:rPr>
              <w:t xml:space="preserve">0,086</w:t>
            </w:r>
            <w:r>
              <w:rPr>
                <w:sz w:val="20"/>
                <w:szCs w:val="20"/>
              </w:rPr>
            </w:r>
            <w:r>
              <w:rPr>
                <w:sz w:val="20"/>
                <w:szCs w:val="20"/>
              </w:rPr>
            </w:r>
          </w:p>
        </w:tc>
        <w:tc>
          <w:tcPr>
            <w:tcW w:w="508"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c>
          <w:tcPr>
            <w:tcW w:w="504"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r>
      <w:tr>
        <w:tblPrEx/>
        <w:trPr>
          <w:cantSplit/>
          <w:trHeight w:val="255"/>
        </w:trPr>
        <w:tc>
          <w:tcPr>
            <w:tcW w:w="1213" w:type="pct"/>
            <w:vAlign w:val="center"/>
            <w:textDirection w:val="lrTb"/>
            <w:noWrap w:val="false"/>
          </w:tcPr>
          <w:p>
            <w:pPr>
              <w:ind w:left="-142" w:right="-142"/>
              <w:jc w:val="center"/>
              <w:rPr>
                <w:sz w:val="20"/>
                <w:szCs w:val="20"/>
              </w:rPr>
            </w:pPr>
            <w:r>
              <w:rPr>
                <w:sz w:val="20"/>
                <w:szCs w:val="20"/>
              </w:rPr>
              <w:t xml:space="preserve">Итого</w:t>
            </w:r>
            <w:r>
              <w:rPr>
                <w:sz w:val="20"/>
                <w:szCs w:val="20"/>
              </w:rPr>
            </w:r>
            <w:r>
              <w:rPr>
                <w:sz w:val="20"/>
                <w:szCs w:val="20"/>
              </w:rPr>
            </w:r>
          </w:p>
        </w:tc>
        <w:tc>
          <w:tcPr>
            <w:tcW w:w="503"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60" w:type="pct"/>
            <w:vAlign w:val="center"/>
            <w:textDirection w:val="lrTb"/>
            <w:noWrap w:val="false"/>
          </w:tcPr>
          <w:p>
            <w:pPr>
              <w:ind w:left="-142" w:right="-142"/>
              <w:jc w:val="center"/>
              <w:rPr>
                <w:sz w:val="20"/>
                <w:szCs w:val="20"/>
              </w:rPr>
            </w:pPr>
            <w:r>
              <w:rPr>
                <w:sz w:val="20"/>
                <w:szCs w:val="20"/>
              </w:rPr>
              <w:t xml:space="preserve">4 ед.</w:t>
            </w:r>
            <w:r>
              <w:rPr>
                <w:sz w:val="20"/>
                <w:szCs w:val="20"/>
              </w:rPr>
            </w:r>
            <w:r>
              <w:rPr>
                <w:sz w:val="20"/>
                <w:szCs w:val="20"/>
              </w:rPr>
            </w:r>
          </w:p>
        </w:tc>
        <w:tc>
          <w:tcPr>
            <w:tcW w:w="512"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91"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375"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34" w:type="pct"/>
            <w:vAlign w:val="center"/>
            <w:textDirection w:val="lrTb"/>
            <w:noWrap w:val="false"/>
          </w:tcPr>
          <w:p>
            <w:pPr>
              <w:ind w:left="-142" w:right="-142"/>
              <w:jc w:val="center"/>
              <w:rPr>
                <w:sz w:val="20"/>
                <w:szCs w:val="20"/>
              </w:rPr>
            </w:pPr>
            <w:r>
              <w:rPr>
                <w:sz w:val="20"/>
                <w:szCs w:val="20"/>
              </w:rPr>
              <w:t xml:space="preserve">0,688</w:t>
            </w:r>
            <w:r>
              <w:rPr>
                <w:sz w:val="20"/>
                <w:szCs w:val="20"/>
              </w:rPr>
            </w:r>
            <w:r>
              <w:rPr>
                <w:sz w:val="20"/>
                <w:szCs w:val="20"/>
              </w:rPr>
            </w:r>
          </w:p>
        </w:tc>
        <w:tc>
          <w:tcPr>
            <w:tcW w:w="508"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c>
          <w:tcPr>
            <w:tcW w:w="504"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r>
      <w:tr>
        <w:tblPrEx/>
        <w:trPr>
          <w:cantSplit/>
          <w:trHeight w:val="255"/>
        </w:trPr>
        <w:tc>
          <w:tcPr>
            <w:tcW w:w="1213" w:type="pct"/>
            <w:vAlign w:val="center"/>
            <w:textDirection w:val="lrTb"/>
            <w:noWrap w:val="false"/>
          </w:tcPr>
          <w:p>
            <w:pPr>
              <w:ind w:right="-15"/>
              <w:jc w:val="center"/>
              <w:rPr>
                <w:sz w:val="20"/>
                <w:szCs w:val="20"/>
              </w:rPr>
            </w:pPr>
            <w:r>
              <w:rPr>
                <w:color w:val="000000"/>
                <w:sz w:val="20"/>
                <w:szCs w:val="20"/>
              </w:rPr>
              <w:t xml:space="preserve">Котельная р.п. Юргамыш, ул. Ленина, 16А</w:t>
            </w:r>
            <w:r>
              <w:rPr>
                <w:sz w:val="20"/>
                <w:szCs w:val="20"/>
              </w:rPr>
            </w:r>
            <w:r>
              <w:rPr>
                <w:sz w:val="20"/>
                <w:szCs w:val="20"/>
              </w:rPr>
            </w:r>
          </w:p>
        </w:tc>
        <w:tc>
          <w:tcPr>
            <w:tcW w:w="503"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460"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512"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491"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375"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434" w:type="pct"/>
            <w:vAlign w:val="center"/>
            <w:textDirection w:val="lrTb"/>
            <w:noWrap w:val="false"/>
          </w:tcPr>
          <w:p>
            <w:pPr>
              <w:ind w:left="-142" w:right="-142"/>
              <w:jc w:val="center"/>
              <w:rPr>
                <w:sz w:val="20"/>
                <w:szCs w:val="20"/>
              </w:rPr>
            </w:pPr>
            <w:r>
              <w:rPr>
                <w:sz w:val="20"/>
                <w:szCs w:val="20"/>
              </w:rPr>
              <w:t xml:space="preserve">0,154</w:t>
            </w:r>
            <w:r>
              <w:rPr>
                <w:sz w:val="20"/>
                <w:szCs w:val="20"/>
              </w:rPr>
            </w:r>
            <w:r>
              <w:rPr>
                <w:sz w:val="20"/>
                <w:szCs w:val="20"/>
              </w:rPr>
            </w:r>
          </w:p>
        </w:tc>
        <w:tc>
          <w:tcPr>
            <w:tcW w:w="508" w:type="pct"/>
            <w:vAlign w:val="center"/>
            <w:textDirection w:val="lrTb"/>
            <w:noWrap w:val="false"/>
          </w:tcPr>
          <w:p>
            <w:pPr>
              <w:ind w:left="-142" w:right="-142"/>
              <w:jc w:val="center"/>
              <w:rPr>
                <w:sz w:val="20"/>
                <w:szCs w:val="20"/>
              </w:rPr>
            </w:pPr>
            <w:r>
              <w:rPr>
                <w:sz w:val="20"/>
                <w:szCs w:val="20"/>
              </w:rPr>
              <w:t xml:space="preserve">0,058</w:t>
            </w:r>
            <w:r>
              <w:rPr>
                <w:sz w:val="20"/>
                <w:szCs w:val="20"/>
              </w:rPr>
            </w:r>
            <w:r>
              <w:rPr>
                <w:sz w:val="20"/>
                <w:szCs w:val="20"/>
              </w:rPr>
            </w:r>
          </w:p>
        </w:tc>
        <w:tc>
          <w:tcPr>
            <w:tcW w:w="504" w:type="pct"/>
            <w:vAlign w:val="center"/>
            <w:textDirection w:val="lrTb"/>
            <w:noWrap w:val="false"/>
          </w:tcPr>
          <w:p>
            <w:pPr>
              <w:ind w:left="-142" w:right="-142"/>
              <w:jc w:val="center"/>
              <w:rPr>
                <w:sz w:val="20"/>
                <w:szCs w:val="20"/>
              </w:rPr>
            </w:pPr>
            <w:r>
              <w:rPr>
                <w:sz w:val="20"/>
                <w:szCs w:val="20"/>
              </w:rPr>
              <w:t xml:space="preserve">0,058</w:t>
            </w:r>
            <w:r>
              <w:rPr>
                <w:sz w:val="20"/>
                <w:szCs w:val="20"/>
              </w:rPr>
            </w:r>
            <w:r>
              <w:rPr>
                <w:sz w:val="20"/>
                <w:szCs w:val="20"/>
              </w:rPr>
            </w:r>
          </w:p>
        </w:tc>
      </w:tr>
      <w:tr>
        <w:tblPrEx/>
        <w:trPr>
          <w:cantSplit/>
          <w:trHeight w:val="255"/>
        </w:trPr>
        <w:tc>
          <w:tcPr>
            <w:tcW w:w="1213" w:type="pct"/>
            <w:vAlign w:val="center"/>
            <w:textDirection w:val="lrTb"/>
            <w:noWrap w:val="false"/>
          </w:tcPr>
          <w:p>
            <w:pPr>
              <w:ind w:left="-142" w:right="-142"/>
              <w:jc w:val="center"/>
              <w:rPr>
                <w:sz w:val="20"/>
                <w:szCs w:val="20"/>
              </w:rPr>
            </w:pPr>
            <w:r>
              <w:rPr>
                <w:color w:val="000000"/>
                <w:sz w:val="20"/>
                <w:szCs w:val="20"/>
              </w:rPr>
              <w:t xml:space="preserve">Котельная Государственного бюджетного профессионального образовательного учреждения Курганский базовый медицинский колледж (ГБПОУ «КБМК»)</w:t>
            </w:r>
            <w:r>
              <w:rPr>
                <w:sz w:val="20"/>
                <w:szCs w:val="20"/>
              </w:rPr>
            </w:r>
            <w:r>
              <w:rPr>
                <w:sz w:val="20"/>
                <w:szCs w:val="20"/>
              </w:rPr>
            </w:r>
          </w:p>
        </w:tc>
        <w:tc>
          <w:tcPr>
            <w:tcW w:w="503"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460"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512"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491"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375"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434" w:type="pct"/>
            <w:vAlign w:val="center"/>
            <w:textDirection w:val="lrTb"/>
            <w:noWrap w:val="false"/>
          </w:tcPr>
          <w:p>
            <w:pPr>
              <w:ind w:left="-142" w:right="-142"/>
              <w:jc w:val="center"/>
              <w:rPr>
                <w:sz w:val="20"/>
                <w:szCs w:val="20"/>
              </w:rPr>
            </w:pPr>
            <w:r>
              <w:rPr>
                <w:sz w:val="20"/>
                <w:szCs w:val="20"/>
              </w:rPr>
              <w:t xml:space="preserve">0,429</w:t>
            </w:r>
            <w:r>
              <w:rPr>
                <w:sz w:val="20"/>
                <w:szCs w:val="20"/>
              </w:rPr>
            </w:r>
            <w:r>
              <w:rPr>
                <w:sz w:val="20"/>
                <w:szCs w:val="20"/>
              </w:rPr>
            </w:r>
          </w:p>
        </w:tc>
        <w:tc>
          <w:tcPr>
            <w:tcW w:w="508"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504" w:type="pct"/>
            <w:vAlign w:val="center"/>
            <w:textDirection w:val="lrTb"/>
            <w:noWrap w:val="false"/>
          </w:tcPr>
          <w:p>
            <w:pPr>
              <w:ind w:left="-142" w:right="-142"/>
              <w:jc w:val="center"/>
              <w:rPr>
                <w:sz w:val="20"/>
                <w:szCs w:val="20"/>
              </w:rPr>
            </w:pPr>
            <w:r>
              <w:rPr>
                <w:sz w:val="20"/>
                <w:szCs w:val="20"/>
              </w:rPr>
              <w:t xml:space="preserve">0,100</w:t>
            </w:r>
            <w:r>
              <w:rPr>
                <w:sz w:val="20"/>
                <w:szCs w:val="20"/>
              </w:rPr>
            </w:r>
            <w:r>
              <w:rPr>
                <w:sz w:val="20"/>
                <w:szCs w:val="20"/>
              </w:rPr>
            </w:r>
          </w:p>
        </w:tc>
      </w:tr>
      <w:tr>
        <w:tblPrEx/>
        <w:trPr>
          <w:cantSplit/>
          <w:trHeight w:val="255"/>
        </w:trPr>
        <w:tc>
          <w:tcPr>
            <w:tcW w:w="1213" w:type="pct"/>
            <w:vAlign w:val="center"/>
            <w:textDirection w:val="lrTb"/>
            <w:noWrap w:val="false"/>
          </w:tcPr>
          <w:p>
            <w:pPr>
              <w:ind w:left="-142" w:right="-142"/>
              <w:jc w:val="center"/>
              <w:rPr>
                <w:sz w:val="20"/>
                <w:szCs w:val="20"/>
              </w:rPr>
            </w:pPr>
            <w:r>
              <w:rPr>
                <w:color w:val="000000"/>
                <w:sz w:val="20"/>
                <w:szCs w:val="20"/>
              </w:rPr>
              <w:t xml:space="preserve">Котельная с. Кислянское, ул. Советская, 25А</w:t>
            </w:r>
            <w:r>
              <w:rPr>
                <w:sz w:val="20"/>
                <w:szCs w:val="20"/>
              </w:rPr>
            </w:r>
            <w:r>
              <w:rPr>
                <w:sz w:val="20"/>
                <w:szCs w:val="20"/>
              </w:rPr>
            </w:r>
          </w:p>
        </w:tc>
        <w:tc>
          <w:tcPr>
            <w:tcW w:w="503" w:type="pct"/>
            <w:vAlign w:val="center"/>
            <w:textDirection w:val="lrTb"/>
            <w:noWrap w:val="false"/>
          </w:tcPr>
          <w:p>
            <w:pPr>
              <w:ind w:left="-142" w:right="-142"/>
              <w:jc w:val="center"/>
              <w:rPr>
                <w:sz w:val="20"/>
                <w:szCs w:val="20"/>
              </w:rPr>
            </w:pPr>
            <w:r>
              <w:rPr>
                <w:sz w:val="20"/>
                <w:szCs w:val="20"/>
              </w:rPr>
              <w:t xml:space="preserve">2014</w:t>
            </w:r>
            <w:r>
              <w:rPr>
                <w:sz w:val="20"/>
                <w:szCs w:val="20"/>
              </w:rPr>
            </w:r>
            <w:r>
              <w:rPr>
                <w:sz w:val="20"/>
                <w:szCs w:val="20"/>
              </w:rPr>
            </w:r>
          </w:p>
        </w:tc>
        <w:tc>
          <w:tcPr>
            <w:tcW w:w="460" w:type="pct"/>
            <w:vAlign w:val="center"/>
            <w:textDirection w:val="lrTb"/>
            <w:noWrap w:val="false"/>
          </w:tcPr>
          <w:p>
            <w:pPr>
              <w:jc w:val="center"/>
              <w:rPr>
                <w:sz w:val="20"/>
                <w:szCs w:val="20"/>
              </w:rPr>
            </w:pPr>
            <w:r>
              <w:rPr>
                <w:sz w:val="20"/>
                <w:szCs w:val="20"/>
              </w:rPr>
              <w:t xml:space="preserve">АБК-0,8</w:t>
            </w:r>
            <w:r>
              <w:rPr>
                <w:sz w:val="20"/>
                <w:szCs w:val="20"/>
              </w:rPr>
            </w:r>
            <w:r>
              <w:rPr>
                <w:sz w:val="20"/>
                <w:szCs w:val="20"/>
              </w:rPr>
            </w:r>
          </w:p>
        </w:tc>
        <w:tc>
          <w:tcPr>
            <w:tcW w:w="512" w:type="pct"/>
            <w:vAlign w:val="center"/>
            <w:textDirection w:val="lrTb"/>
            <w:noWrap w:val="false"/>
          </w:tcPr>
          <w:p>
            <w:pPr>
              <w:ind w:left="-142" w:right="-142"/>
              <w:jc w:val="center"/>
              <w:rPr>
                <w:sz w:val="20"/>
                <w:szCs w:val="20"/>
              </w:rPr>
            </w:pPr>
            <w:r>
              <w:rPr>
                <w:sz w:val="20"/>
                <w:szCs w:val="20"/>
              </w:rPr>
              <w:t xml:space="preserve">2014</w:t>
            </w:r>
            <w:r>
              <w:rPr>
                <w:sz w:val="20"/>
                <w:szCs w:val="20"/>
              </w:rPr>
            </w:r>
            <w:r>
              <w:rPr>
                <w:sz w:val="20"/>
                <w:szCs w:val="20"/>
              </w:rPr>
            </w:r>
          </w:p>
        </w:tc>
        <w:tc>
          <w:tcPr>
            <w:tcW w:w="491"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375"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434" w:type="pct"/>
            <w:vAlign w:val="center"/>
            <w:textDirection w:val="lrTb"/>
            <w:noWrap w:val="false"/>
          </w:tcPr>
          <w:p>
            <w:pPr>
              <w:ind w:left="-142" w:right="-142"/>
              <w:jc w:val="center"/>
              <w:rPr>
                <w:sz w:val="20"/>
                <w:szCs w:val="20"/>
              </w:rPr>
            </w:pPr>
            <w:r>
              <w:rPr>
                <w:sz w:val="20"/>
                <w:szCs w:val="20"/>
              </w:rPr>
              <w:t xml:space="preserve">0,0688</w:t>
            </w:r>
            <w:r>
              <w:rPr>
                <w:sz w:val="20"/>
                <w:szCs w:val="20"/>
              </w:rPr>
            </w:r>
            <w:r>
              <w:rPr>
                <w:sz w:val="20"/>
                <w:szCs w:val="20"/>
              </w:rPr>
            </w:r>
          </w:p>
        </w:tc>
        <w:tc>
          <w:tcPr>
            <w:tcW w:w="508" w:type="pct"/>
            <w:vAlign w:val="center"/>
            <w:vMerge w:val="restart"/>
            <w:textDirection w:val="lrTb"/>
            <w:noWrap w:val="false"/>
          </w:tcPr>
          <w:p>
            <w:pPr>
              <w:ind w:left="-142" w:right="-142"/>
              <w:jc w:val="center"/>
              <w:rPr>
                <w:sz w:val="20"/>
                <w:szCs w:val="20"/>
              </w:rPr>
            </w:pPr>
            <w:r>
              <w:rPr>
                <w:sz w:val="20"/>
                <w:szCs w:val="20"/>
              </w:rPr>
              <w:t xml:space="preserve">0,343</w:t>
            </w:r>
            <w:r>
              <w:rPr>
                <w:sz w:val="20"/>
                <w:szCs w:val="20"/>
              </w:rPr>
            </w:r>
            <w:r>
              <w:rPr>
                <w:sz w:val="20"/>
                <w:szCs w:val="20"/>
              </w:rPr>
            </w:r>
          </w:p>
        </w:tc>
        <w:tc>
          <w:tcPr>
            <w:tcW w:w="504" w:type="pct"/>
            <w:vAlign w:val="center"/>
            <w:vMerge w:val="restart"/>
            <w:textDirection w:val="lrTb"/>
            <w:noWrap w:val="false"/>
          </w:tcPr>
          <w:p>
            <w:pPr>
              <w:ind w:left="-142" w:right="-142"/>
              <w:jc w:val="center"/>
              <w:rPr>
                <w:sz w:val="20"/>
                <w:szCs w:val="20"/>
              </w:rPr>
            </w:pPr>
            <w:r>
              <w:rPr>
                <w:sz w:val="20"/>
                <w:szCs w:val="20"/>
              </w:rPr>
              <w:t xml:space="preserve">0,400</w:t>
            </w:r>
            <w:r>
              <w:rPr>
                <w:sz w:val="20"/>
                <w:szCs w:val="20"/>
              </w:rPr>
            </w:r>
            <w:r>
              <w:rPr>
                <w:sz w:val="20"/>
                <w:szCs w:val="20"/>
              </w:rPr>
            </w:r>
          </w:p>
        </w:tc>
      </w:tr>
      <w:tr>
        <w:tblPrEx/>
        <w:trPr>
          <w:cantSplit/>
          <w:trHeight w:val="255"/>
        </w:trPr>
        <w:tc>
          <w:tcPr>
            <w:tcW w:w="1213" w:type="pct"/>
            <w:vAlign w:val="center"/>
            <w:textDirection w:val="lrTb"/>
            <w:noWrap w:val="false"/>
          </w:tcPr>
          <w:p>
            <w:pPr>
              <w:ind w:left="-142" w:right="-142"/>
              <w:jc w:val="center"/>
              <w:rPr>
                <w:sz w:val="20"/>
                <w:szCs w:val="20"/>
              </w:rPr>
            </w:pPr>
            <w:r>
              <w:rPr>
                <w:sz w:val="20"/>
                <w:szCs w:val="20"/>
              </w:rPr>
              <w:t xml:space="preserve">Итого</w:t>
            </w:r>
            <w:r>
              <w:rPr>
                <w:sz w:val="20"/>
                <w:szCs w:val="20"/>
              </w:rPr>
            </w:r>
            <w:r>
              <w:rPr>
                <w:sz w:val="20"/>
                <w:szCs w:val="20"/>
              </w:rPr>
            </w:r>
          </w:p>
        </w:tc>
        <w:tc>
          <w:tcPr>
            <w:tcW w:w="503"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60" w:type="pct"/>
            <w:vAlign w:val="center"/>
            <w:textDirection w:val="lrTb"/>
            <w:noWrap w:val="false"/>
          </w:tcPr>
          <w:p>
            <w:pPr>
              <w:ind w:left="-142" w:right="-142"/>
              <w:jc w:val="center"/>
              <w:rPr>
                <w:sz w:val="20"/>
                <w:szCs w:val="20"/>
              </w:rPr>
            </w:pPr>
            <w:r>
              <w:rPr>
                <w:sz w:val="20"/>
                <w:szCs w:val="20"/>
              </w:rPr>
              <w:t xml:space="preserve">1 ед.</w:t>
            </w:r>
            <w:r>
              <w:rPr>
                <w:sz w:val="20"/>
                <w:szCs w:val="20"/>
              </w:rPr>
            </w:r>
            <w:r>
              <w:rPr>
                <w:sz w:val="20"/>
                <w:szCs w:val="20"/>
              </w:rPr>
            </w:r>
          </w:p>
        </w:tc>
        <w:tc>
          <w:tcPr>
            <w:tcW w:w="512"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91"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375"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34" w:type="pct"/>
            <w:vAlign w:val="center"/>
            <w:textDirection w:val="lrTb"/>
            <w:noWrap w:val="false"/>
          </w:tcPr>
          <w:p>
            <w:pPr>
              <w:ind w:left="-142" w:right="-142"/>
              <w:jc w:val="center"/>
              <w:rPr>
                <w:sz w:val="20"/>
                <w:szCs w:val="20"/>
              </w:rPr>
            </w:pPr>
            <w:r>
              <w:rPr>
                <w:sz w:val="20"/>
                <w:szCs w:val="20"/>
              </w:rPr>
              <w:t xml:space="preserve">0,0688</w:t>
            </w:r>
            <w:r>
              <w:rPr>
                <w:sz w:val="20"/>
                <w:szCs w:val="20"/>
              </w:rPr>
            </w:r>
            <w:r>
              <w:rPr>
                <w:sz w:val="20"/>
                <w:szCs w:val="20"/>
              </w:rPr>
            </w:r>
          </w:p>
        </w:tc>
        <w:tc>
          <w:tcPr>
            <w:tcW w:w="508"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c>
          <w:tcPr>
            <w:tcW w:w="504"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r>
      <w:tr>
        <w:tblPrEx/>
        <w:trPr>
          <w:cantSplit/>
          <w:trHeight w:val="255"/>
        </w:trPr>
        <w:tc>
          <w:tcPr>
            <w:tcW w:w="1213" w:type="pct"/>
            <w:vAlign w:val="center"/>
            <w:vMerge w:val="restart"/>
            <w:textDirection w:val="lrTb"/>
            <w:noWrap w:val="false"/>
          </w:tcPr>
          <w:p>
            <w:pPr>
              <w:ind w:right="-15"/>
              <w:jc w:val="center"/>
              <w:rPr>
                <w:sz w:val="20"/>
                <w:szCs w:val="20"/>
              </w:rPr>
            </w:pPr>
            <w:r>
              <w:rPr>
                <w:color w:val="000000"/>
                <w:sz w:val="20"/>
                <w:szCs w:val="20"/>
              </w:rPr>
              <w:t xml:space="preserve">Котельная с. Чинеево, ул. Центральная, 7Б</w:t>
            </w:r>
            <w:r>
              <w:rPr>
                <w:sz w:val="20"/>
                <w:szCs w:val="20"/>
              </w:rPr>
            </w:r>
            <w:r>
              <w:rPr>
                <w:sz w:val="20"/>
                <w:szCs w:val="20"/>
              </w:rPr>
            </w:r>
          </w:p>
        </w:tc>
        <w:tc>
          <w:tcPr>
            <w:tcW w:w="503" w:type="pct"/>
            <w:vAlign w:val="center"/>
            <w:textDirection w:val="lrTb"/>
            <w:noWrap w:val="false"/>
          </w:tcPr>
          <w:p>
            <w:pPr>
              <w:ind w:left="-142" w:right="-142"/>
              <w:jc w:val="center"/>
              <w:rPr>
                <w:sz w:val="20"/>
                <w:szCs w:val="20"/>
              </w:rPr>
            </w:pPr>
            <w:r>
              <w:rPr>
                <w:sz w:val="20"/>
                <w:szCs w:val="20"/>
              </w:rPr>
              <w:t xml:space="preserve">2016</w:t>
            </w:r>
            <w:r>
              <w:rPr>
                <w:sz w:val="20"/>
                <w:szCs w:val="20"/>
              </w:rPr>
            </w:r>
            <w:r>
              <w:rPr>
                <w:sz w:val="20"/>
                <w:szCs w:val="20"/>
              </w:rPr>
            </w:r>
          </w:p>
        </w:tc>
        <w:tc>
          <w:tcPr>
            <w:tcW w:w="460" w:type="pct"/>
            <w:vAlign w:val="center"/>
            <w:textDirection w:val="lrTb"/>
            <w:noWrap w:val="false"/>
          </w:tcPr>
          <w:p>
            <w:pPr>
              <w:ind w:left="-142" w:right="-142"/>
              <w:jc w:val="center"/>
              <w:rPr>
                <w:sz w:val="20"/>
                <w:szCs w:val="20"/>
              </w:rPr>
            </w:pPr>
            <w:r>
              <w:rPr>
                <w:sz w:val="20"/>
                <w:szCs w:val="20"/>
              </w:rPr>
              <w:t xml:space="preserve">КВСрд – 0,20</w:t>
            </w:r>
            <w:r>
              <w:rPr>
                <w:sz w:val="20"/>
                <w:szCs w:val="20"/>
              </w:rPr>
            </w:r>
            <w:r>
              <w:rPr>
                <w:sz w:val="20"/>
                <w:szCs w:val="20"/>
              </w:rPr>
            </w:r>
          </w:p>
        </w:tc>
        <w:tc>
          <w:tcPr>
            <w:tcW w:w="512" w:type="pct"/>
            <w:vAlign w:val="center"/>
            <w:textDirection w:val="lrTb"/>
            <w:noWrap w:val="false"/>
          </w:tcPr>
          <w:p>
            <w:pPr>
              <w:ind w:left="-142" w:right="-142"/>
              <w:jc w:val="center"/>
              <w:rPr>
                <w:sz w:val="20"/>
                <w:szCs w:val="20"/>
              </w:rPr>
            </w:pPr>
            <w:r>
              <w:rPr>
                <w:sz w:val="20"/>
                <w:szCs w:val="20"/>
              </w:rPr>
              <w:t xml:space="preserve">2016</w:t>
            </w:r>
            <w:r>
              <w:rPr>
                <w:sz w:val="20"/>
                <w:szCs w:val="20"/>
              </w:rPr>
            </w:r>
            <w:r>
              <w:rPr>
                <w:sz w:val="20"/>
                <w:szCs w:val="20"/>
              </w:rPr>
            </w:r>
          </w:p>
        </w:tc>
        <w:tc>
          <w:tcPr>
            <w:tcW w:w="491"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375"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434" w:type="pct"/>
            <w:vAlign w:val="center"/>
            <w:textDirection w:val="lrTb"/>
            <w:noWrap w:val="false"/>
          </w:tcPr>
          <w:p>
            <w:pPr>
              <w:ind w:left="-142" w:right="-142"/>
              <w:jc w:val="center"/>
              <w:rPr>
                <w:sz w:val="20"/>
                <w:szCs w:val="20"/>
              </w:rPr>
            </w:pPr>
            <w:r>
              <w:rPr>
                <w:sz w:val="20"/>
                <w:szCs w:val="20"/>
              </w:rPr>
              <w:t xml:space="preserve">0,172</w:t>
            </w:r>
            <w:r>
              <w:rPr>
                <w:sz w:val="20"/>
                <w:szCs w:val="20"/>
              </w:rPr>
            </w:r>
            <w:r>
              <w:rPr>
                <w:sz w:val="20"/>
                <w:szCs w:val="20"/>
              </w:rPr>
            </w:r>
          </w:p>
        </w:tc>
        <w:tc>
          <w:tcPr>
            <w:tcW w:w="508" w:type="pct"/>
            <w:vAlign w:val="center"/>
            <w:vMerge w:val="restart"/>
            <w:textDirection w:val="lrTb"/>
            <w:noWrap w:val="false"/>
          </w:tcPr>
          <w:p>
            <w:pPr>
              <w:ind w:left="-142" w:right="-142"/>
              <w:jc w:val="center"/>
              <w:rPr>
                <w:sz w:val="20"/>
                <w:szCs w:val="20"/>
              </w:rPr>
            </w:pPr>
            <w:r>
              <w:rPr>
                <w:sz w:val="20"/>
                <w:szCs w:val="20"/>
              </w:rPr>
              <w:t xml:space="preserve">0,219</w:t>
            </w:r>
            <w:r>
              <w:rPr>
                <w:sz w:val="20"/>
                <w:szCs w:val="20"/>
              </w:rPr>
            </w:r>
            <w:r>
              <w:rPr>
                <w:sz w:val="20"/>
                <w:szCs w:val="20"/>
              </w:rPr>
            </w:r>
          </w:p>
        </w:tc>
        <w:tc>
          <w:tcPr>
            <w:tcW w:w="504" w:type="pct"/>
            <w:vAlign w:val="center"/>
            <w:vMerge w:val="restart"/>
            <w:textDirection w:val="lrTb"/>
            <w:noWrap w:val="false"/>
          </w:tcPr>
          <w:p>
            <w:pPr>
              <w:ind w:left="-142" w:right="-142"/>
              <w:jc w:val="center"/>
              <w:rPr>
                <w:sz w:val="20"/>
                <w:szCs w:val="20"/>
              </w:rPr>
            </w:pPr>
            <w:r>
              <w:rPr>
                <w:sz w:val="20"/>
                <w:szCs w:val="20"/>
              </w:rPr>
              <w:t xml:space="preserve">0,620</w:t>
            </w:r>
            <w:r>
              <w:rPr>
                <w:sz w:val="20"/>
                <w:szCs w:val="20"/>
              </w:rPr>
            </w:r>
            <w:r>
              <w:rPr>
                <w:sz w:val="20"/>
                <w:szCs w:val="20"/>
              </w:rPr>
            </w:r>
          </w:p>
        </w:tc>
      </w:tr>
      <w:tr>
        <w:tblPrEx/>
        <w:trPr>
          <w:cantSplit/>
          <w:trHeight w:val="255"/>
        </w:trPr>
        <w:tc>
          <w:tcPr>
            <w:tcW w:w="1213"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c>
          <w:tcPr>
            <w:tcW w:w="503" w:type="pct"/>
            <w:vAlign w:val="center"/>
            <w:textDirection w:val="lrTb"/>
            <w:noWrap w:val="false"/>
          </w:tcPr>
          <w:p>
            <w:pPr>
              <w:ind w:left="-142" w:right="-142"/>
              <w:jc w:val="center"/>
              <w:rPr>
                <w:sz w:val="20"/>
                <w:szCs w:val="20"/>
              </w:rPr>
            </w:pPr>
            <w:r>
              <w:rPr>
                <w:sz w:val="20"/>
                <w:szCs w:val="20"/>
              </w:rPr>
              <w:t xml:space="preserve">2016</w:t>
            </w:r>
            <w:r>
              <w:rPr>
                <w:sz w:val="20"/>
                <w:szCs w:val="20"/>
              </w:rPr>
            </w:r>
            <w:r>
              <w:rPr>
                <w:sz w:val="20"/>
                <w:szCs w:val="20"/>
              </w:rPr>
            </w:r>
          </w:p>
        </w:tc>
        <w:tc>
          <w:tcPr>
            <w:tcW w:w="460" w:type="pct"/>
            <w:vAlign w:val="center"/>
            <w:textDirection w:val="lrTb"/>
            <w:noWrap w:val="false"/>
          </w:tcPr>
          <w:p>
            <w:pPr>
              <w:ind w:left="-142" w:right="-142"/>
              <w:jc w:val="center"/>
              <w:rPr>
                <w:sz w:val="20"/>
                <w:szCs w:val="20"/>
              </w:rPr>
            </w:pPr>
            <w:r>
              <w:rPr>
                <w:sz w:val="20"/>
                <w:szCs w:val="20"/>
              </w:rPr>
              <w:t xml:space="preserve">КВСрд – 0,15</w:t>
            </w:r>
            <w:r>
              <w:rPr>
                <w:sz w:val="20"/>
                <w:szCs w:val="20"/>
              </w:rPr>
            </w:r>
            <w:r>
              <w:rPr>
                <w:sz w:val="20"/>
                <w:szCs w:val="20"/>
              </w:rPr>
            </w:r>
          </w:p>
        </w:tc>
        <w:tc>
          <w:tcPr>
            <w:tcW w:w="512" w:type="pct"/>
            <w:vAlign w:val="center"/>
            <w:textDirection w:val="lrTb"/>
            <w:noWrap w:val="false"/>
          </w:tcPr>
          <w:p>
            <w:pPr>
              <w:ind w:left="-142" w:right="-142"/>
              <w:jc w:val="center"/>
              <w:rPr>
                <w:sz w:val="20"/>
                <w:szCs w:val="20"/>
              </w:rPr>
            </w:pPr>
            <w:r>
              <w:rPr>
                <w:sz w:val="20"/>
                <w:szCs w:val="20"/>
              </w:rPr>
              <w:t xml:space="preserve">2016</w:t>
            </w:r>
            <w:r>
              <w:rPr>
                <w:sz w:val="20"/>
                <w:szCs w:val="20"/>
              </w:rPr>
            </w:r>
            <w:r>
              <w:rPr>
                <w:sz w:val="20"/>
                <w:szCs w:val="20"/>
              </w:rPr>
            </w:r>
          </w:p>
        </w:tc>
        <w:tc>
          <w:tcPr>
            <w:tcW w:w="491"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375"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434" w:type="pct"/>
            <w:vAlign w:val="center"/>
            <w:textDirection w:val="lrTb"/>
            <w:noWrap w:val="false"/>
          </w:tcPr>
          <w:p>
            <w:pPr>
              <w:ind w:left="-142" w:right="-142"/>
              <w:jc w:val="center"/>
              <w:rPr>
                <w:sz w:val="20"/>
                <w:szCs w:val="20"/>
              </w:rPr>
            </w:pPr>
            <w:r>
              <w:rPr>
                <w:sz w:val="20"/>
                <w:szCs w:val="20"/>
              </w:rPr>
              <w:t xml:space="preserve">0,129</w:t>
            </w:r>
            <w:r>
              <w:rPr>
                <w:sz w:val="20"/>
                <w:szCs w:val="20"/>
              </w:rPr>
            </w:r>
            <w:r>
              <w:rPr>
                <w:sz w:val="20"/>
                <w:szCs w:val="20"/>
              </w:rPr>
            </w:r>
          </w:p>
        </w:tc>
        <w:tc>
          <w:tcPr>
            <w:tcW w:w="508"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c>
          <w:tcPr>
            <w:tcW w:w="504"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r>
      <w:tr>
        <w:tblPrEx/>
        <w:trPr>
          <w:cantSplit/>
          <w:trHeight w:val="255"/>
        </w:trPr>
        <w:tc>
          <w:tcPr>
            <w:tcW w:w="1213" w:type="pct"/>
            <w:vAlign w:val="center"/>
            <w:textDirection w:val="lrTb"/>
            <w:noWrap w:val="false"/>
          </w:tcPr>
          <w:p>
            <w:pPr>
              <w:ind w:left="-142" w:right="-142"/>
              <w:jc w:val="center"/>
              <w:rPr>
                <w:sz w:val="20"/>
                <w:szCs w:val="20"/>
              </w:rPr>
            </w:pPr>
            <w:r>
              <w:rPr>
                <w:sz w:val="20"/>
                <w:szCs w:val="20"/>
              </w:rPr>
              <w:t xml:space="preserve">Итого</w:t>
            </w:r>
            <w:r>
              <w:rPr>
                <w:sz w:val="20"/>
                <w:szCs w:val="20"/>
              </w:rPr>
            </w:r>
            <w:r>
              <w:rPr>
                <w:sz w:val="20"/>
                <w:szCs w:val="20"/>
              </w:rPr>
            </w:r>
          </w:p>
        </w:tc>
        <w:tc>
          <w:tcPr>
            <w:tcW w:w="503"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60" w:type="pct"/>
            <w:vAlign w:val="center"/>
            <w:textDirection w:val="lrTb"/>
            <w:noWrap w:val="false"/>
          </w:tcPr>
          <w:p>
            <w:pPr>
              <w:ind w:left="-142" w:right="-142"/>
              <w:jc w:val="center"/>
              <w:rPr>
                <w:sz w:val="20"/>
                <w:szCs w:val="20"/>
              </w:rPr>
            </w:pPr>
            <w:r>
              <w:rPr>
                <w:sz w:val="20"/>
                <w:szCs w:val="20"/>
              </w:rPr>
              <w:t xml:space="preserve">2 ед.</w:t>
            </w:r>
            <w:r>
              <w:rPr>
                <w:sz w:val="20"/>
                <w:szCs w:val="20"/>
              </w:rPr>
            </w:r>
            <w:r>
              <w:rPr>
                <w:sz w:val="20"/>
                <w:szCs w:val="20"/>
              </w:rPr>
            </w:r>
          </w:p>
        </w:tc>
        <w:tc>
          <w:tcPr>
            <w:tcW w:w="512"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91"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375"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34" w:type="pct"/>
            <w:vAlign w:val="center"/>
            <w:textDirection w:val="lrTb"/>
            <w:noWrap w:val="false"/>
          </w:tcPr>
          <w:p>
            <w:pPr>
              <w:ind w:left="-142" w:right="-142"/>
              <w:jc w:val="center"/>
              <w:rPr>
                <w:sz w:val="20"/>
                <w:szCs w:val="20"/>
              </w:rPr>
            </w:pPr>
            <w:r>
              <w:rPr>
                <w:sz w:val="20"/>
                <w:szCs w:val="20"/>
              </w:rPr>
              <w:t xml:space="preserve">0,301</w:t>
            </w:r>
            <w:r>
              <w:rPr>
                <w:sz w:val="20"/>
                <w:szCs w:val="20"/>
              </w:rPr>
            </w:r>
            <w:r>
              <w:rPr>
                <w:sz w:val="20"/>
                <w:szCs w:val="20"/>
              </w:rPr>
            </w:r>
          </w:p>
        </w:tc>
        <w:tc>
          <w:tcPr>
            <w:tcW w:w="508"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c>
          <w:tcPr>
            <w:tcW w:w="504"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r>
      <w:tr>
        <w:tblPrEx/>
        <w:trPr>
          <w:cantSplit/>
          <w:trHeight w:val="255"/>
        </w:trPr>
        <w:tc>
          <w:tcPr>
            <w:tcW w:w="1213" w:type="pct"/>
            <w:vAlign w:val="center"/>
            <w:textDirection w:val="lrTb"/>
            <w:noWrap w:val="false"/>
          </w:tcPr>
          <w:p>
            <w:pPr>
              <w:ind w:left="-142" w:right="-142"/>
              <w:jc w:val="center"/>
              <w:rPr>
                <w:sz w:val="20"/>
                <w:szCs w:val="20"/>
              </w:rPr>
            </w:pPr>
            <w:r>
              <w:rPr>
                <w:color w:val="000000"/>
                <w:sz w:val="20"/>
                <w:szCs w:val="20"/>
              </w:rPr>
              <w:t xml:space="preserve">Котельная с.Кипель, ул.Советская, 81а</w:t>
            </w:r>
            <w:r>
              <w:rPr>
                <w:sz w:val="20"/>
                <w:szCs w:val="20"/>
              </w:rPr>
            </w:r>
            <w:r>
              <w:rPr>
                <w:sz w:val="20"/>
                <w:szCs w:val="20"/>
              </w:rPr>
            </w:r>
          </w:p>
        </w:tc>
        <w:tc>
          <w:tcPr>
            <w:tcW w:w="503" w:type="pct"/>
            <w:vAlign w:val="center"/>
            <w:textDirection w:val="lrTb"/>
            <w:noWrap w:val="false"/>
          </w:tcPr>
          <w:p>
            <w:pPr>
              <w:ind w:left="-142" w:right="-142"/>
              <w:jc w:val="center"/>
              <w:rPr>
                <w:sz w:val="20"/>
                <w:szCs w:val="20"/>
              </w:rPr>
            </w:pPr>
            <w:r>
              <w:rPr>
                <w:sz w:val="20"/>
                <w:szCs w:val="20"/>
              </w:rPr>
              <w:t xml:space="preserve">2016</w:t>
            </w:r>
            <w:r>
              <w:rPr>
                <w:sz w:val="20"/>
                <w:szCs w:val="20"/>
              </w:rPr>
            </w:r>
            <w:r>
              <w:rPr>
                <w:sz w:val="20"/>
                <w:szCs w:val="20"/>
              </w:rPr>
            </w:r>
          </w:p>
        </w:tc>
        <w:tc>
          <w:tcPr>
            <w:tcW w:w="460" w:type="pct"/>
            <w:vAlign w:val="center"/>
            <w:textDirection w:val="lrTb"/>
            <w:noWrap w:val="false"/>
          </w:tcPr>
          <w:p>
            <w:pPr>
              <w:ind w:left="-142" w:right="-142"/>
              <w:jc w:val="center"/>
              <w:rPr>
                <w:sz w:val="20"/>
                <w:szCs w:val="20"/>
              </w:rPr>
            </w:pPr>
            <w:r>
              <w:rPr>
                <w:sz w:val="20"/>
                <w:szCs w:val="20"/>
              </w:rPr>
              <w:t xml:space="preserve">ROTEKS 200</w:t>
            </w:r>
            <w:r>
              <w:rPr>
                <w:sz w:val="20"/>
                <w:szCs w:val="20"/>
              </w:rPr>
            </w:r>
            <w:r>
              <w:rPr>
                <w:sz w:val="20"/>
                <w:szCs w:val="20"/>
              </w:rPr>
            </w:r>
          </w:p>
        </w:tc>
        <w:tc>
          <w:tcPr>
            <w:tcW w:w="512" w:type="pct"/>
            <w:vAlign w:val="center"/>
            <w:textDirection w:val="lrTb"/>
            <w:noWrap w:val="false"/>
          </w:tcPr>
          <w:p>
            <w:pPr>
              <w:ind w:left="-142" w:right="-142"/>
              <w:jc w:val="center"/>
              <w:rPr>
                <w:sz w:val="20"/>
                <w:szCs w:val="20"/>
              </w:rPr>
            </w:pPr>
            <w:r>
              <w:rPr>
                <w:sz w:val="20"/>
                <w:szCs w:val="20"/>
              </w:rPr>
              <w:t xml:space="preserve">2016</w:t>
            </w:r>
            <w:r>
              <w:rPr>
                <w:sz w:val="20"/>
                <w:szCs w:val="20"/>
              </w:rPr>
            </w:r>
            <w:r>
              <w:rPr>
                <w:sz w:val="20"/>
                <w:szCs w:val="20"/>
              </w:rPr>
            </w:r>
          </w:p>
        </w:tc>
        <w:tc>
          <w:tcPr>
            <w:tcW w:w="491"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375"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434" w:type="pct"/>
            <w:vAlign w:val="center"/>
            <w:textDirection w:val="lrTb"/>
            <w:noWrap w:val="false"/>
          </w:tcPr>
          <w:p>
            <w:pPr>
              <w:ind w:left="-142" w:right="-142"/>
              <w:jc w:val="center"/>
              <w:rPr>
                <w:sz w:val="20"/>
                <w:szCs w:val="20"/>
              </w:rPr>
            </w:pPr>
            <w:r>
              <w:rPr>
                <w:sz w:val="20"/>
                <w:szCs w:val="20"/>
              </w:rPr>
              <w:t xml:space="preserve">0,171</w:t>
            </w:r>
            <w:r>
              <w:rPr>
                <w:sz w:val="20"/>
                <w:szCs w:val="20"/>
              </w:rPr>
            </w:r>
            <w:r>
              <w:rPr>
                <w:sz w:val="20"/>
                <w:szCs w:val="20"/>
              </w:rPr>
            </w:r>
          </w:p>
        </w:tc>
        <w:tc>
          <w:tcPr>
            <w:tcW w:w="508" w:type="pct"/>
            <w:vAlign w:val="center"/>
            <w:vMerge w:val="restart"/>
            <w:textDirection w:val="lrTb"/>
            <w:noWrap w:val="false"/>
          </w:tcPr>
          <w:p>
            <w:pPr>
              <w:ind w:left="-142" w:right="-142"/>
              <w:jc w:val="center"/>
              <w:rPr>
                <w:sz w:val="20"/>
                <w:szCs w:val="20"/>
              </w:rPr>
            </w:pPr>
            <w:r>
              <w:rPr>
                <w:sz w:val="20"/>
                <w:szCs w:val="20"/>
              </w:rPr>
              <w:t xml:space="preserve">0,021</w:t>
            </w:r>
            <w:r>
              <w:rPr>
                <w:sz w:val="20"/>
                <w:szCs w:val="20"/>
              </w:rPr>
            </w:r>
            <w:r>
              <w:rPr>
                <w:sz w:val="20"/>
                <w:szCs w:val="20"/>
              </w:rPr>
            </w:r>
          </w:p>
        </w:tc>
        <w:tc>
          <w:tcPr>
            <w:tcW w:w="504" w:type="pct"/>
            <w:vAlign w:val="center"/>
            <w:vMerge w:val="restart"/>
            <w:textDirection w:val="lrTb"/>
            <w:noWrap w:val="false"/>
          </w:tcPr>
          <w:p>
            <w:pPr>
              <w:ind w:left="-142" w:right="-142"/>
              <w:jc w:val="center"/>
              <w:rPr>
                <w:sz w:val="20"/>
                <w:szCs w:val="20"/>
              </w:rPr>
            </w:pPr>
            <w:r>
              <w:rPr>
                <w:sz w:val="20"/>
                <w:szCs w:val="20"/>
              </w:rPr>
              <w:t xml:space="preserve">0,066</w:t>
            </w:r>
            <w:r>
              <w:rPr>
                <w:sz w:val="20"/>
                <w:szCs w:val="20"/>
              </w:rPr>
            </w:r>
            <w:r>
              <w:rPr>
                <w:sz w:val="20"/>
                <w:szCs w:val="20"/>
              </w:rPr>
            </w:r>
          </w:p>
        </w:tc>
      </w:tr>
      <w:tr>
        <w:tblPrEx/>
        <w:trPr>
          <w:cantSplit/>
          <w:trHeight w:val="255"/>
        </w:trPr>
        <w:tc>
          <w:tcPr>
            <w:tcW w:w="1213" w:type="pct"/>
            <w:vAlign w:val="center"/>
            <w:textDirection w:val="lrTb"/>
            <w:noWrap w:val="false"/>
          </w:tcPr>
          <w:p>
            <w:pPr>
              <w:ind w:left="-142" w:right="-142"/>
              <w:jc w:val="center"/>
              <w:rPr>
                <w:sz w:val="20"/>
                <w:szCs w:val="20"/>
              </w:rPr>
            </w:pPr>
            <w:r>
              <w:rPr>
                <w:sz w:val="20"/>
                <w:szCs w:val="20"/>
              </w:rPr>
              <w:t xml:space="preserve">Итого</w:t>
            </w:r>
            <w:r>
              <w:rPr>
                <w:sz w:val="20"/>
                <w:szCs w:val="20"/>
              </w:rPr>
            </w:r>
            <w:r>
              <w:rPr>
                <w:sz w:val="20"/>
                <w:szCs w:val="20"/>
              </w:rPr>
            </w:r>
          </w:p>
        </w:tc>
        <w:tc>
          <w:tcPr>
            <w:tcW w:w="503"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60" w:type="pct"/>
            <w:vAlign w:val="center"/>
            <w:textDirection w:val="lrTb"/>
            <w:noWrap w:val="false"/>
          </w:tcPr>
          <w:p>
            <w:pPr>
              <w:ind w:left="-142" w:right="-142"/>
              <w:jc w:val="center"/>
              <w:rPr>
                <w:sz w:val="20"/>
                <w:szCs w:val="20"/>
              </w:rPr>
            </w:pPr>
            <w:r>
              <w:rPr>
                <w:sz w:val="20"/>
                <w:szCs w:val="20"/>
              </w:rPr>
              <w:t xml:space="preserve">1 ед.</w:t>
            </w:r>
            <w:r>
              <w:rPr>
                <w:sz w:val="20"/>
                <w:szCs w:val="20"/>
              </w:rPr>
            </w:r>
            <w:r>
              <w:rPr>
                <w:sz w:val="20"/>
                <w:szCs w:val="20"/>
              </w:rPr>
            </w:r>
          </w:p>
        </w:tc>
        <w:tc>
          <w:tcPr>
            <w:tcW w:w="512"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91"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375"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34" w:type="pct"/>
            <w:vAlign w:val="center"/>
            <w:textDirection w:val="lrTb"/>
            <w:noWrap w:val="false"/>
          </w:tcPr>
          <w:p>
            <w:pPr>
              <w:ind w:left="-142" w:right="-142"/>
              <w:jc w:val="center"/>
              <w:rPr>
                <w:sz w:val="20"/>
                <w:szCs w:val="20"/>
              </w:rPr>
            </w:pPr>
            <w:r>
              <w:rPr>
                <w:sz w:val="20"/>
                <w:szCs w:val="20"/>
              </w:rPr>
              <w:t xml:space="preserve">0,171</w:t>
            </w:r>
            <w:r>
              <w:rPr>
                <w:sz w:val="20"/>
                <w:szCs w:val="20"/>
              </w:rPr>
            </w:r>
            <w:r>
              <w:rPr>
                <w:sz w:val="20"/>
                <w:szCs w:val="20"/>
              </w:rPr>
            </w:r>
          </w:p>
        </w:tc>
        <w:tc>
          <w:tcPr>
            <w:tcW w:w="508"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c>
          <w:tcPr>
            <w:tcW w:w="504"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r>
      <w:tr>
        <w:tblPrEx/>
        <w:trPr>
          <w:cantSplit/>
          <w:trHeight w:val="255"/>
        </w:trPr>
        <w:tc>
          <w:tcPr>
            <w:tcW w:w="1213" w:type="pct"/>
            <w:vAlign w:val="center"/>
            <w:textDirection w:val="lrTb"/>
            <w:noWrap w:val="false"/>
          </w:tcPr>
          <w:p>
            <w:pPr>
              <w:ind w:left="-142" w:right="-142"/>
              <w:jc w:val="center"/>
              <w:rPr>
                <w:sz w:val="20"/>
                <w:szCs w:val="20"/>
              </w:rPr>
            </w:pPr>
            <w:r>
              <w:rPr>
                <w:color w:val="000000"/>
                <w:sz w:val="20"/>
                <w:szCs w:val="20"/>
              </w:rPr>
              <w:t xml:space="preserve">Котельная с.Горохово, ул.Школьная, 37Б</w:t>
            </w:r>
            <w:r>
              <w:rPr>
                <w:sz w:val="20"/>
                <w:szCs w:val="20"/>
              </w:rPr>
            </w:r>
            <w:r>
              <w:rPr>
                <w:sz w:val="20"/>
                <w:szCs w:val="20"/>
              </w:rPr>
            </w:r>
          </w:p>
        </w:tc>
        <w:tc>
          <w:tcPr>
            <w:tcW w:w="503" w:type="pct"/>
            <w:vAlign w:val="center"/>
            <w:textDirection w:val="lrTb"/>
            <w:noWrap w:val="false"/>
          </w:tcPr>
          <w:p>
            <w:pPr>
              <w:ind w:left="-142" w:right="-142"/>
              <w:jc w:val="center"/>
              <w:rPr>
                <w:sz w:val="20"/>
                <w:szCs w:val="20"/>
              </w:rPr>
            </w:pPr>
            <w:r>
              <w:rPr>
                <w:sz w:val="20"/>
                <w:szCs w:val="20"/>
              </w:rPr>
              <w:t xml:space="preserve">2016</w:t>
            </w:r>
            <w:r>
              <w:rPr>
                <w:sz w:val="20"/>
                <w:szCs w:val="20"/>
              </w:rPr>
            </w:r>
            <w:r>
              <w:rPr>
                <w:sz w:val="20"/>
                <w:szCs w:val="20"/>
              </w:rPr>
            </w:r>
          </w:p>
        </w:tc>
        <w:tc>
          <w:tcPr>
            <w:tcW w:w="460" w:type="pct"/>
            <w:vAlign w:val="center"/>
            <w:textDirection w:val="lrTb"/>
            <w:noWrap w:val="false"/>
          </w:tcPr>
          <w:p>
            <w:pPr>
              <w:ind w:left="-142" w:right="-142"/>
              <w:jc w:val="center"/>
              <w:rPr>
                <w:sz w:val="20"/>
                <w:szCs w:val="20"/>
              </w:rPr>
            </w:pPr>
            <w:r>
              <w:rPr>
                <w:sz w:val="20"/>
                <w:szCs w:val="20"/>
              </w:rPr>
              <w:t xml:space="preserve">FACI 645</w:t>
            </w:r>
            <w:r>
              <w:rPr>
                <w:sz w:val="20"/>
                <w:szCs w:val="20"/>
              </w:rPr>
            </w:r>
            <w:r>
              <w:rPr>
                <w:sz w:val="20"/>
                <w:szCs w:val="20"/>
              </w:rPr>
            </w:r>
          </w:p>
        </w:tc>
        <w:tc>
          <w:tcPr>
            <w:tcW w:w="512" w:type="pct"/>
            <w:vAlign w:val="center"/>
            <w:textDirection w:val="lrTb"/>
            <w:noWrap w:val="false"/>
          </w:tcPr>
          <w:p>
            <w:pPr>
              <w:ind w:left="-142" w:right="-142"/>
              <w:jc w:val="center"/>
              <w:rPr>
                <w:sz w:val="20"/>
                <w:szCs w:val="20"/>
              </w:rPr>
            </w:pPr>
            <w:r>
              <w:rPr>
                <w:sz w:val="20"/>
                <w:szCs w:val="20"/>
              </w:rPr>
              <w:t xml:space="preserve">2016</w:t>
            </w:r>
            <w:r>
              <w:rPr>
                <w:sz w:val="20"/>
                <w:szCs w:val="20"/>
              </w:rPr>
            </w:r>
            <w:r>
              <w:rPr>
                <w:sz w:val="20"/>
                <w:szCs w:val="20"/>
              </w:rPr>
            </w:r>
          </w:p>
        </w:tc>
        <w:tc>
          <w:tcPr>
            <w:tcW w:w="491"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375"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434" w:type="pct"/>
            <w:vAlign w:val="center"/>
            <w:textDirection w:val="lrTb"/>
            <w:noWrap w:val="false"/>
          </w:tcPr>
          <w:p>
            <w:pPr>
              <w:ind w:left="-142" w:right="-142"/>
              <w:jc w:val="center"/>
              <w:rPr>
                <w:sz w:val="20"/>
                <w:szCs w:val="20"/>
              </w:rPr>
            </w:pPr>
            <w:r>
              <w:rPr>
                <w:sz w:val="20"/>
                <w:szCs w:val="20"/>
              </w:rPr>
              <w:t xml:space="preserve">0,554</w:t>
            </w:r>
            <w:r>
              <w:rPr>
                <w:sz w:val="20"/>
                <w:szCs w:val="20"/>
              </w:rPr>
            </w:r>
            <w:r>
              <w:rPr>
                <w:sz w:val="20"/>
                <w:szCs w:val="20"/>
              </w:rPr>
            </w:r>
          </w:p>
        </w:tc>
        <w:tc>
          <w:tcPr>
            <w:tcW w:w="508" w:type="pct"/>
            <w:vAlign w:val="center"/>
            <w:vMerge w:val="restart"/>
            <w:textDirection w:val="lrTb"/>
            <w:noWrap w:val="false"/>
          </w:tcPr>
          <w:p>
            <w:pPr>
              <w:ind w:left="-142" w:right="-142"/>
              <w:jc w:val="center"/>
              <w:rPr>
                <w:sz w:val="20"/>
                <w:szCs w:val="20"/>
              </w:rPr>
            </w:pPr>
            <w:r>
              <w:rPr>
                <w:sz w:val="20"/>
                <w:szCs w:val="20"/>
              </w:rPr>
              <w:t xml:space="preserve">0,466</w:t>
            </w:r>
            <w:r>
              <w:rPr>
                <w:sz w:val="20"/>
                <w:szCs w:val="20"/>
              </w:rPr>
            </w:r>
            <w:r>
              <w:rPr>
                <w:sz w:val="20"/>
                <w:szCs w:val="20"/>
              </w:rPr>
            </w:r>
          </w:p>
        </w:tc>
        <w:tc>
          <w:tcPr>
            <w:tcW w:w="504" w:type="pct"/>
            <w:vAlign w:val="center"/>
            <w:vMerge w:val="restart"/>
            <w:textDirection w:val="lrTb"/>
            <w:noWrap w:val="false"/>
          </w:tcPr>
          <w:p>
            <w:pPr>
              <w:ind w:left="-142" w:right="-142"/>
              <w:jc w:val="center"/>
              <w:rPr>
                <w:sz w:val="20"/>
                <w:szCs w:val="20"/>
              </w:rPr>
            </w:pPr>
            <w:r>
              <w:rPr>
                <w:sz w:val="20"/>
                <w:szCs w:val="20"/>
              </w:rPr>
              <w:t xml:space="preserve">0,542</w:t>
            </w:r>
            <w:r>
              <w:rPr>
                <w:sz w:val="20"/>
                <w:szCs w:val="20"/>
              </w:rPr>
            </w:r>
            <w:r>
              <w:rPr>
                <w:sz w:val="20"/>
                <w:szCs w:val="20"/>
              </w:rPr>
            </w:r>
          </w:p>
        </w:tc>
      </w:tr>
      <w:tr>
        <w:tblPrEx/>
        <w:trPr>
          <w:cantSplit/>
          <w:trHeight w:val="255"/>
        </w:trPr>
        <w:tc>
          <w:tcPr>
            <w:tcW w:w="1213" w:type="pct"/>
            <w:vAlign w:val="center"/>
            <w:textDirection w:val="lrTb"/>
            <w:noWrap w:val="false"/>
          </w:tcPr>
          <w:p>
            <w:pPr>
              <w:ind w:left="-142" w:right="-142"/>
              <w:jc w:val="center"/>
              <w:rPr>
                <w:sz w:val="20"/>
                <w:szCs w:val="20"/>
              </w:rPr>
            </w:pPr>
            <w:r>
              <w:rPr>
                <w:sz w:val="20"/>
                <w:szCs w:val="20"/>
              </w:rPr>
              <w:t xml:space="preserve">Итого</w:t>
            </w:r>
            <w:r>
              <w:rPr>
                <w:sz w:val="20"/>
                <w:szCs w:val="20"/>
              </w:rPr>
            </w:r>
            <w:r>
              <w:rPr>
                <w:sz w:val="20"/>
                <w:szCs w:val="20"/>
              </w:rPr>
            </w:r>
          </w:p>
        </w:tc>
        <w:tc>
          <w:tcPr>
            <w:tcW w:w="503"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60" w:type="pct"/>
            <w:vAlign w:val="center"/>
            <w:textDirection w:val="lrTb"/>
            <w:noWrap w:val="false"/>
          </w:tcPr>
          <w:p>
            <w:pPr>
              <w:ind w:left="-142" w:right="-142"/>
              <w:jc w:val="center"/>
              <w:rPr>
                <w:sz w:val="20"/>
                <w:szCs w:val="20"/>
              </w:rPr>
            </w:pPr>
            <w:r>
              <w:rPr>
                <w:sz w:val="20"/>
                <w:szCs w:val="20"/>
              </w:rPr>
              <w:t xml:space="preserve">1 ед.</w:t>
            </w:r>
            <w:r>
              <w:rPr>
                <w:sz w:val="20"/>
                <w:szCs w:val="20"/>
              </w:rPr>
            </w:r>
            <w:r>
              <w:rPr>
                <w:sz w:val="20"/>
                <w:szCs w:val="20"/>
              </w:rPr>
            </w:r>
          </w:p>
        </w:tc>
        <w:tc>
          <w:tcPr>
            <w:tcW w:w="512"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91"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375"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34" w:type="pct"/>
            <w:vAlign w:val="center"/>
            <w:textDirection w:val="lrTb"/>
            <w:noWrap w:val="false"/>
          </w:tcPr>
          <w:p>
            <w:pPr>
              <w:ind w:left="-142" w:right="-142"/>
              <w:jc w:val="center"/>
              <w:rPr>
                <w:sz w:val="20"/>
                <w:szCs w:val="20"/>
              </w:rPr>
            </w:pPr>
            <w:r>
              <w:rPr>
                <w:sz w:val="20"/>
                <w:szCs w:val="20"/>
              </w:rPr>
              <w:t xml:space="preserve">0,554</w:t>
            </w:r>
            <w:r>
              <w:rPr>
                <w:sz w:val="20"/>
                <w:szCs w:val="20"/>
              </w:rPr>
            </w:r>
            <w:r>
              <w:rPr>
                <w:sz w:val="20"/>
                <w:szCs w:val="20"/>
              </w:rPr>
            </w:r>
          </w:p>
        </w:tc>
        <w:tc>
          <w:tcPr>
            <w:tcW w:w="508"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c>
          <w:tcPr>
            <w:tcW w:w="504"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r>
      <w:tr>
        <w:tblPrEx/>
        <w:trPr>
          <w:cantSplit/>
          <w:trHeight w:val="255"/>
        </w:trPr>
        <w:tc>
          <w:tcPr>
            <w:tcW w:w="1213" w:type="pct"/>
            <w:vAlign w:val="bottom"/>
            <w:textDirection w:val="lrTb"/>
            <w:noWrap w:val="false"/>
          </w:tcPr>
          <w:p>
            <w:pPr>
              <w:jc w:val="center"/>
              <w:rPr>
                <w:color w:val="000000"/>
                <w:sz w:val="20"/>
                <w:szCs w:val="20"/>
              </w:rPr>
            </w:pPr>
            <w:r>
              <w:rPr>
                <w:color w:val="000000"/>
                <w:sz w:val="20"/>
                <w:szCs w:val="20"/>
              </w:rPr>
              <w:t xml:space="preserve">Котельная с.Гагарье, ул.Новая 5Б</w:t>
            </w:r>
            <w:r>
              <w:rPr>
                <w:color w:val="000000"/>
                <w:sz w:val="20"/>
                <w:szCs w:val="20"/>
              </w:rPr>
            </w:r>
            <w:r>
              <w:rPr>
                <w:color w:val="000000"/>
                <w:sz w:val="20"/>
                <w:szCs w:val="20"/>
              </w:rPr>
            </w:r>
          </w:p>
        </w:tc>
        <w:tc>
          <w:tcPr>
            <w:tcW w:w="503" w:type="pct"/>
            <w:vAlign w:val="center"/>
            <w:textDirection w:val="lrTb"/>
            <w:noWrap w:val="false"/>
          </w:tcPr>
          <w:p>
            <w:pPr>
              <w:ind w:left="-142" w:right="-142"/>
              <w:jc w:val="center"/>
              <w:rPr>
                <w:sz w:val="20"/>
                <w:szCs w:val="20"/>
              </w:rPr>
            </w:pPr>
            <w:r>
              <w:rPr>
                <w:sz w:val="20"/>
                <w:szCs w:val="20"/>
              </w:rPr>
              <w:t xml:space="preserve">2017</w:t>
            </w:r>
            <w:r>
              <w:rPr>
                <w:sz w:val="20"/>
                <w:szCs w:val="20"/>
              </w:rPr>
            </w:r>
            <w:r>
              <w:rPr>
                <w:sz w:val="20"/>
                <w:szCs w:val="20"/>
              </w:rPr>
            </w:r>
          </w:p>
        </w:tc>
        <w:tc>
          <w:tcPr>
            <w:tcW w:w="460" w:type="pct"/>
            <w:vAlign w:val="center"/>
            <w:textDirection w:val="lrTb"/>
            <w:noWrap w:val="false"/>
          </w:tcPr>
          <w:p>
            <w:pPr>
              <w:ind w:left="-142" w:right="-142"/>
              <w:jc w:val="center"/>
              <w:rPr>
                <w:sz w:val="20"/>
                <w:szCs w:val="20"/>
              </w:rPr>
            </w:pPr>
            <w:r>
              <w:rPr>
                <w:sz w:val="20"/>
                <w:szCs w:val="20"/>
              </w:rPr>
              <w:t xml:space="preserve">ROTEKS 300</w:t>
            </w:r>
            <w:r>
              <w:rPr>
                <w:sz w:val="20"/>
                <w:szCs w:val="20"/>
              </w:rPr>
            </w:r>
            <w:r>
              <w:rPr>
                <w:sz w:val="20"/>
                <w:szCs w:val="20"/>
              </w:rPr>
            </w:r>
          </w:p>
        </w:tc>
        <w:tc>
          <w:tcPr>
            <w:tcW w:w="512" w:type="pct"/>
            <w:vAlign w:val="center"/>
            <w:textDirection w:val="lrTb"/>
            <w:noWrap w:val="false"/>
          </w:tcPr>
          <w:p>
            <w:pPr>
              <w:ind w:left="-142" w:right="-142"/>
              <w:jc w:val="center"/>
              <w:rPr>
                <w:sz w:val="20"/>
                <w:szCs w:val="20"/>
              </w:rPr>
            </w:pPr>
            <w:r>
              <w:rPr>
                <w:sz w:val="20"/>
                <w:szCs w:val="20"/>
              </w:rPr>
              <w:t xml:space="preserve">2017</w:t>
            </w:r>
            <w:r>
              <w:rPr>
                <w:sz w:val="20"/>
                <w:szCs w:val="20"/>
              </w:rPr>
            </w:r>
            <w:r>
              <w:rPr>
                <w:sz w:val="20"/>
                <w:szCs w:val="20"/>
              </w:rPr>
            </w:r>
          </w:p>
        </w:tc>
        <w:tc>
          <w:tcPr>
            <w:tcW w:w="491"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375"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434" w:type="pct"/>
            <w:vAlign w:val="center"/>
            <w:textDirection w:val="lrTb"/>
            <w:noWrap w:val="false"/>
          </w:tcPr>
          <w:p>
            <w:pPr>
              <w:ind w:left="-142" w:right="-142"/>
              <w:jc w:val="center"/>
              <w:rPr>
                <w:sz w:val="20"/>
                <w:szCs w:val="20"/>
              </w:rPr>
            </w:pPr>
            <w:r>
              <w:rPr>
                <w:sz w:val="20"/>
                <w:szCs w:val="20"/>
              </w:rPr>
              <w:t xml:space="preserve">0,257</w:t>
            </w:r>
            <w:r>
              <w:rPr>
                <w:sz w:val="20"/>
                <w:szCs w:val="20"/>
              </w:rPr>
            </w:r>
            <w:r>
              <w:rPr>
                <w:sz w:val="20"/>
                <w:szCs w:val="20"/>
              </w:rPr>
            </w:r>
          </w:p>
        </w:tc>
        <w:tc>
          <w:tcPr>
            <w:tcW w:w="508" w:type="pct"/>
            <w:vAlign w:val="center"/>
            <w:vMerge w:val="restart"/>
            <w:textDirection w:val="lrTb"/>
            <w:noWrap w:val="false"/>
          </w:tcPr>
          <w:p>
            <w:pPr>
              <w:ind w:left="-142" w:right="-142"/>
              <w:jc w:val="center"/>
              <w:rPr>
                <w:sz w:val="20"/>
                <w:szCs w:val="20"/>
              </w:rPr>
            </w:pPr>
            <w:r>
              <w:rPr>
                <w:sz w:val="20"/>
                <w:szCs w:val="20"/>
              </w:rPr>
              <w:t xml:space="preserve">0,089</w:t>
            </w:r>
            <w:r>
              <w:rPr>
                <w:sz w:val="20"/>
                <w:szCs w:val="20"/>
              </w:rPr>
            </w:r>
            <w:r>
              <w:rPr>
                <w:sz w:val="20"/>
                <w:szCs w:val="20"/>
              </w:rPr>
            </w:r>
          </w:p>
        </w:tc>
        <w:tc>
          <w:tcPr>
            <w:tcW w:w="504" w:type="pct"/>
            <w:vAlign w:val="center"/>
            <w:vMerge w:val="restart"/>
            <w:textDirection w:val="lrTb"/>
            <w:noWrap w:val="false"/>
          </w:tcPr>
          <w:p>
            <w:pPr>
              <w:ind w:left="-142" w:right="-142"/>
              <w:jc w:val="center"/>
              <w:rPr>
                <w:sz w:val="20"/>
                <w:szCs w:val="20"/>
              </w:rPr>
            </w:pPr>
            <w:r>
              <w:rPr>
                <w:sz w:val="20"/>
                <w:szCs w:val="20"/>
              </w:rPr>
              <w:t xml:space="preserve">1,044</w:t>
            </w:r>
            <w:r>
              <w:rPr>
                <w:sz w:val="20"/>
                <w:szCs w:val="20"/>
              </w:rPr>
            </w:r>
            <w:r>
              <w:rPr>
                <w:sz w:val="20"/>
                <w:szCs w:val="20"/>
              </w:rPr>
            </w:r>
          </w:p>
        </w:tc>
      </w:tr>
      <w:tr>
        <w:tblPrEx/>
        <w:trPr>
          <w:cantSplit/>
          <w:trHeight w:val="255"/>
        </w:trPr>
        <w:tc>
          <w:tcPr>
            <w:tcW w:w="1213" w:type="pct"/>
            <w:vAlign w:val="bottom"/>
            <w:textDirection w:val="lrTb"/>
            <w:noWrap w:val="false"/>
          </w:tcPr>
          <w:p>
            <w:pPr>
              <w:jc w:val="center"/>
              <w:rPr>
                <w:color w:val="000000"/>
                <w:sz w:val="20"/>
                <w:szCs w:val="20"/>
              </w:rPr>
            </w:pPr>
            <w:r>
              <w:rPr>
                <w:sz w:val="20"/>
                <w:szCs w:val="20"/>
              </w:rPr>
              <w:t xml:space="preserve">Итого</w:t>
            </w:r>
            <w:r>
              <w:rPr>
                <w:color w:val="000000"/>
                <w:sz w:val="20"/>
                <w:szCs w:val="20"/>
              </w:rPr>
            </w:r>
            <w:r>
              <w:rPr>
                <w:color w:val="000000"/>
                <w:sz w:val="20"/>
                <w:szCs w:val="20"/>
              </w:rPr>
            </w:r>
          </w:p>
        </w:tc>
        <w:tc>
          <w:tcPr>
            <w:tcW w:w="503"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60" w:type="pct"/>
            <w:vAlign w:val="center"/>
            <w:textDirection w:val="lrTb"/>
            <w:noWrap w:val="false"/>
          </w:tcPr>
          <w:p>
            <w:pPr>
              <w:ind w:left="-142" w:right="-142"/>
              <w:jc w:val="center"/>
              <w:rPr>
                <w:sz w:val="20"/>
                <w:szCs w:val="20"/>
              </w:rPr>
            </w:pPr>
            <w:r>
              <w:rPr>
                <w:sz w:val="20"/>
                <w:szCs w:val="20"/>
              </w:rPr>
              <w:t xml:space="preserve">1 ед.</w:t>
            </w:r>
            <w:r>
              <w:rPr>
                <w:sz w:val="20"/>
                <w:szCs w:val="20"/>
              </w:rPr>
            </w:r>
            <w:r>
              <w:rPr>
                <w:sz w:val="20"/>
                <w:szCs w:val="20"/>
              </w:rPr>
            </w:r>
          </w:p>
        </w:tc>
        <w:tc>
          <w:tcPr>
            <w:tcW w:w="512"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91"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375"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34" w:type="pct"/>
            <w:vAlign w:val="center"/>
            <w:textDirection w:val="lrTb"/>
            <w:noWrap w:val="false"/>
          </w:tcPr>
          <w:p>
            <w:pPr>
              <w:ind w:left="-142" w:right="-142"/>
              <w:jc w:val="center"/>
              <w:rPr>
                <w:sz w:val="20"/>
                <w:szCs w:val="20"/>
              </w:rPr>
            </w:pPr>
            <w:r>
              <w:rPr>
                <w:sz w:val="20"/>
                <w:szCs w:val="20"/>
              </w:rPr>
              <w:t xml:space="preserve">0,257</w:t>
            </w:r>
            <w:r>
              <w:rPr>
                <w:sz w:val="20"/>
                <w:szCs w:val="20"/>
              </w:rPr>
            </w:r>
            <w:r>
              <w:rPr>
                <w:sz w:val="20"/>
                <w:szCs w:val="20"/>
              </w:rPr>
            </w:r>
          </w:p>
        </w:tc>
        <w:tc>
          <w:tcPr>
            <w:tcW w:w="508"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c>
          <w:tcPr>
            <w:tcW w:w="504"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r>
      <w:tr>
        <w:tblPrEx/>
        <w:trPr>
          <w:cantSplit/>
          <w:trHeight w:val="255"/>
        </w:trPr>
        <w:tc>
          <w:tcPr>
            <w:tcW w:w="1213" w:type="pct"/>
            <w:vAlign w:val="bottom"/>
            <w:textDirection w:val="lrTb"/>
            <w:noWrap w:val="false"/>
          </w:tcPr>
          <w:p>
            <w:pPr>
              <w:jc w:val="center"/>
              <w:rPr>
                <w:color w:val="000000"/>
                <w:sz w:val="20"/>
                <w:szCs w:val="20"/>
              </w:rPr>
            </w:pPr>
            <w:r>
              <w:rPr>
                <w:color w:val="000000"/>
                <w:sz w:val="20"/>
                <w:szCs w:val="20"/>
              </w:rPr>
              <w:t xml:space="preserve">Котельная с.Скоблино, ул.Школьная, 41Б</w:t>
            </w:r>
            <w:r>
              <w:rPr>
                <w:color w:val="000000"/>
                <w:sz w:val="20"/>
                <w:szCs w:val="20"/>
              </w:rPr>
            </w:r>
            <w:r>
              <w:rPr>
                <w:color w:val="000000"/>
                <w:sz w:val="20"/>
                <w:szCs w:val="20"/>
              </w:rPr>
            </w:r>
          </w:p>
        </w:tc>
        <w:tc>
          <w:tcPr>
            <w:tcW w:w="503" w:type="pct"/>
            <w:vAlign w:val="center"/>
            <w:textDirection w:val="lrTb"/>
            <w:noWrap w:val="false"/>
          </w:tcPr>
          <w:p>
            <w:pPr>
              <w:ind w:left="-142" w:right="-142"/>
              <w:jc w:val="center"/>
              <w:rPr>
                <w:sz w:val="20"/>
                <w:szCs w:val="20"/>
              </w:rPr>
            </w:pPr>
            <w:r>
              <w:rPr>
                <w:sz w:val="20"/>
                <w:szCs w:val="20"/>
              </w:rPr>
              <w:t xml:space="preserve">2017</w:t>
            </w:r>
            <w:r>
              <w:rPr>
                <w:sz w:val="20"/>
                <w:szCs w:val="20"/>
              </w:rPr>
            </w:r>
            <w:r>
              <w:rPr>
                <w:sz w:val="20"/>
                <w:szCs w:val="20"/>
              </w:rPr>
            </w:r>
          </w:p>
        </w:tc>
        <w:tc>
          <w:tcPr>
            <w:tcW w:w="460" w:type="pct"/>
            <w:vAlign w:val="center"/>
            <w:textDirection w:val="lrTb"/>
            <w:noWrap w:val="false"/>
          </w:tcPr>
          <w:p>
            <w:pPr>
              <w:ind w:left="-142" w:right="-142"/>
              <w:jc w:val="center"/>
              <w:rPr>
                <w:sz w:val="20"/>
                <w:szCs w:val="20"/>
              </w:rPr>
            </w:pPr>
            <w:r>
              <w:rPr>
                <w:sz w:val="20"/>
                <w:szCs w:val="20"/>
              </w:rPr>
              <w:t xml:space="preserve">ROTEKS 300</w:t>
            </w:r>
            <w:r>
              <w:rPr>
                <w:sz w:val="20"/>
                <w:szCs w:val="20"/>
              </w:rPr>
            </w:r>
            <w:r>
              <w:rPr>
                <w:sz w:val="20"/>
                <w:szCs w:val="20"/>
              </w:rPr>
            </w:r>
          </w:p>
        </w:tc>
        <w:tc>
          <w:tcPr>
            <w:tcW w:w="512" w:type="pct"/>
            <w:vAlign w:val="center"/>
            <w:textDirection w:val="lrTb"/>
            <w:noWrap w:val="false"/>
          </w:tcPr>
          <w:p>
            <w:pPr>
              <w:ind w:left="-142" w:right="-142"/>
              <w:jc w:val="center"/>
              <w:rPr>
                <w:sz w:val="20"/>
                <w:szCs w:val="20"/>
              </w:rPr>
            </w:pPr>
            <w:r>
              <w:rPr>
                <w:sz w:val="20"/>
                <w:szCs w:val="20"/>
              </w:rPr>
              <w:t xml:space="preserve">2017</w:t>
            </w:r>
            <w:r>
              <w:rPr>
                <w:sz w:val="20"/>
                <w:szCs w:val="20"/>
              </w:rPr>
            </w:r>
            <w:r>
              <w:rPr>
                <w:sz w:val="20"/>
                <w:szCs w:val="20"/>
              </w:rPr>
            </w:r>
          </w:p>
        </w:tc>
        <w:tc>
          <w:tcPr>
            <w:tcW w:w="491"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375"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434" w:type="pct"/>
            <w:vAlign w:val="center"/>
            <w:textDirection w:val="lrTb"/>
            <w:noWrap w:val="false"/>
          </w:tcPr>
          <w:p>
            <w:pPr>
              <w:ind w:left="-142" w:right="-142"/>
              <w:jc w:val="center"/>
              <w:rPr>
                <w:sz w:val="20"/>
                <w:szCs w:val="20"/>
              </w:rPr>
            </w:pPr>
            <w:r>
              <w:rPr>
                <w:sz w:val="20"/>
                <w:szCs w:val="20"/>
              </w:rPr>
              <w:t xml:space="preserve">0,257</w:t>
            </w:r>
            <w:r>
              <w:rPr>
                <w:sz w:val="20"/>
                <w:szCs w:val="20"/>
              </w:rPr>
            </w:r>
            <w:r>
              <w:rPr>
                <w:sz w:val="20"/>
                <w:szCs w:val="20"/>
              </w:rPr>
            </w:r>
          </w:p>
        </w:tc>
        <w:tc>
          <w:tcPr>
            <w:tcW w:w="508" w:type="pct"/>
            <w:vAlign w:val="center"/>
            <w:vMerge w:val="restart"/>
            <w:textDirection w:val="lrTb"/>
            <w:noWrap w:val="false"/>
          </w:tcPr>
          <w:p>
            <w:pPr>
              <w:ind w:left="-142" w:right="-142"/>
              <w:jc w:val="center"/>
              <w:rPr>
                <w:sz w:val="20"/>
                <w:szCs w:val="20"/>
              </w:rPr>
            </w:pPr>
            <w:r>
              <w:rPr>
                <w:sz w:val="20"/>
                <w:szCs w:val="20"/>
              </w:rPr>
              <w:t xml:space="preserve">0,233</w:t>
            </w:r>
            <w:r>
              <w:rPr>
                <w:sz w:val="20"/>
                <w:szCs w:val="20"/>
              </w:rPr>
            </w:r>
            <w:r>
              <w:rPr>
                <w:sz w:val="20"/>
                <w:szCs w:val="20"/>
              </w:rPr>
            </w:r>
          </w:p>
        </w:tc>
        <w:tc>
          <w:tcPr>
            <w:tcW w:w="504" w:type="pct"/>
            <w:vAlign w:val="center"/>
            <w:vMerge w:val="restart"/>
            <w:textDirection w:val="lrTb"/>
            <w:noWrap w:val="false"/>
          </w:tcPr>
          <w:p>
            <w:pPr>
              <w:ind w:left="-142" w:right="-142"/>
              <w:jc w:val="center"/>
              <w:rPr>
                <w:sz w:val="20"/>
                <w:szCs w:val="20"/>
              </w:rPr>
            </w:pPr>
            <w:r>
              <w:rPr>
                <w:sz w:val="20"/>
                <w:szCs w:val="20"/>
              </w:rPr>
              <w:t xml:space="preserve">0,271</w:t>
            </w:r>
            <w:r>
              <w:rPr>
                <w:sz w:val="20"/>
                <w:szCs w:val="20"/>
              </w:rPr>
            </w:r>
            <w:r>
              <w:rPr>
                <w:sz w:val="20"/>
                <w:szCs w:val="20"/>
              </w:rPr>
            </w:r>
          </w:p>
        </w:tc>
      </w:tr>
      <w:tr>
        <w:tblPrEx/>
        <w:trPr>
          <w:cantSplit/>
          <w:trHeight w:val="255"/>
        </w:trPr>
        <w:tc>
          <w:tcPr>
            <w:tcW w:w="1213" w:type="pct"/>
            <w:vAlign w:val="bottom"/>
            <w:textDirection w:val="lrTb"/>
            <w:noWrap w:val="false"/>
          </w:tcPr>
          <w:p>
            <w:pPr>
              <w:jc w:val="center"/>
              <w:rPr>
                <w:color w:val="000000"/>
                <w:sz w:val="20"/>
                <w:szCs w:val="20"/>
              </w:rPr>
            </w:pPr>
            <w:r>
              <w:rPr>
                <w:sz w:val="20"/>
                <w:szCs w:val="20"/>
              </w:rPr>
              <w:t xml:space="preserve">Итого</w:t>
            </w:r>
            <w:r>
              <w:rPr>
                <w:color w:val="000000"/>
                <w:sz w:val="20"/>
                <w:szCs w:val="20"/>
              </w:rPr>
            </w:r>
            <w:r>
              <w:rPr>
                <w:color w:val="000000"/>
                <w:sz w:val="20"/>
                <w:szCs w:val="20"/>
              </w:rPr>
            </w:r>
          </w:p>
        </w:tc>
        <w:tc>
          <w:tcPr>
            <w:tcW w:w="503"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60" w:type="pct"/>
            <w:vAlign w:val="center"/>
            <w:textDirection w:val="lrTb"/>
            <w:noWrap w:val="false"/>
          </w:tcPr>
          <w:p>
            <w:pPr>
              <w:ind w:left="-142" w:right="-142"/>
              <w:jc w:val="center"/>
              <w:rPr>
                <w:sz w:val="20"/>
                <w:szCs w:val="20"/>
              </w:rPr>
            </w:pPr>
            <w:r>
              <w:rPr>
                <w:sz w:val="20"/>
                <w:szCs w:val="20"/>
              </w:rPr>
              <w:t xml:space="preserve">1 ед.</w:t>
            </w:r>
            <w:r>
              <w:rPr>
                <w:sz w:val="20"/>
                <w:szCs w:val="20"/>
              </w:rPr>
            </w:r>
            <w:r>
              <w:rPr>
                <w:sz w:val="20"/>
                <w:szCs w:val="20"/>
              </w:rPr>
            </w:r>
          </w:p>
        </w:tc>
        <w:tc>
          <w:tcPr>
            <w:tcW w:w="512"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91"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375"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34" w:type="pct"/>
            <w:vAlign w:val="center"/>
            <w:textDirection w:val="lrTb"/>
            <w:noWrap w:val="false"/>
          </w:tcPr>
          <w:p>
            <w:pPr>
              <w:ind w:left="-142" w:right="-142"/>
              <w:jc w:val="center"/>
              <w:rPr>
                <w:sz w:val="20"/>
                <w:szCs w:val="20"/>
              </w:rPr>
            </w:pPr>
            <w:r>
              <w:rPr>
                <w:sz w:val="20"/>
                <w:szCs w:val="20"/>
              </w:rPr>
              <w:t xml:space="preserve">0,257</w:t>
            </w:r>
            <w:r>
              <w:rPr>
                <w:sz w:val="20"/>
                <w:szCs w:val="20"/>
              </w:rPr>
            </w:r>
            <w:r>
              <w:rPr>
                <w:sz w:val="20"/>
                <w:szCs w:val="20"/>
              </w:rPr>
            </w:r>
          </w:p>
        </w:tc>
        <w:tc>
          <w:tcPr>
            <w:tcW w:w="508"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c>
          <w:tcPr>
            <w:tcW w:w="504"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r>
      <w:tr>
        <w:tblPrEx/>
        <w:trPr>
          <w:cantSplit/>
          <w:trHeight w:val="255"/>
        </w:trPr>
        <w:tc>
          <w:tcPr>
            <w:tcW w:w="1213" w:type="pct"/>
            <w:vAlign w:val="bottom"/>
            <w:textDirection w:val="lrTb"/>
            <w:noWrap w:val="false"/>
          </w:tcPr>
          <w:p>
            <w:pPr>
              <w:jc w:val="center"/>
              <w:rPr>
                <w:color w:val="000000"/>
                <w:sz w:val="20"/>
                <w:szCs w:val="20"/>
              </w:rPr>
            </w:pPr>
            <w:r>
              <w:rPr>
                <w:color w:val="000000"/>
                <w:sz w:val="20"/>
                <w:szCs w:val="20"/>
              </w:rPr>
              <w:t xml:space="preserve">Котельная с.Красный Уралец, ул.Ленина, 6а</w:t>
            </w:r>
            <w:r>
              <w:rPr>
                <w:color w:val="000000"/>
                <w:sz w:val="20"/>
                <w:szCs w:val="20"/>
              </w:rPr>
            </w:r>
            <w:r>
              <w:rPr>
                <w:color w:val="000000"/>
                <w:sz w:val="20"/>
                <w:szCs w:val="20"/>
              </w:rPr>
            </w:r>
          </w:p>
        </w:tc>
        <w:tc>
          <w:tcPr>
            <w:tcW w:w="503" w:type="pct"/>
            <w:vAlign w:val="center"/>
            <w:textDirection w:val="lrTb"/>
            <w:noWrap w:val="false"/>
          </w:tcPr>
          <w:p>
            <w:pPr>
              <w:ind w:left="-142" w:right="-142"/>
              <w:jc w:val="center"/>
              <w:rPr>
                <w:sz w:val="20"/>
                <w:szCs w:val="20"/>
              </w:rPr>
            </w:pPr>
            <w:r>
              <w:rPr>
                <w:sz w:val="20"/>
                <w:szCs w:val="20"/>
              </w:rPr>
              <w:t xml:space="preserve">2018</w:t>
            </w:r>
            <w:r>
              <w:rPr>
                <w:sz w:val="20"/>
                <w:szCs w:val="20"/>
              </w:rPr>
            </w:r>
            <w:r>
              <w:rPr>
                <w:sz w:val="20"/>
                <w:szCs w:val="20"/>
              </w:rPr>
            </w:r>
          </w:p>
        </w:tc>
        <w:tc>
          <w:tcPr>
            <w:tcW w:w="460" w:type="pct"/>
            <w:vAlign w:val="center"/>
            <w:textDirection w:val="lrTb"/>
            <w:noWrap w:val="false"/>
          </w:tcPr>
          <w:p>
            <w:pPr>
              <w:ind w:left="-142" w:right="-142"/>
              <w:jc w:val="center"/>
              <w:rPr>
                <w:sz w:val="20"/>
                <w:szCs w:val="20"/>
              </w:rPr>
            </w:pPr>
            <w:r>
              <w:rPr>
                <w:sz w:val="20"/>
                <w:szCs w:val="20"/>
              </w:rPr>
              <w:t xml:space="preserve">FACI 645</w:t>
            </w:r>
            <w:r>
              <w:rPr>
                <w:sz w:val="20"/>
                <w:szCs w:val="20"/>
              </w:rPr>
            </w:r>
            <w:r>
              <w:rPr>
                <w:sz w:val="20"/>
                <w:szCs w:val="20"/>
              </w:rPr>
            </w:r>
          </w:p>
        </w:tc>
        <w:tc>
          <w:tcPr>
            <w:tcW w:w="512" w:type="pct"/>
            <w:vAlign w:val="center"/>
            <w:textDirection w:val="lrTb"/>
            <w:noWrap w:val="false"/>
          </w:tcPr>
          <w:p>
            <w:pPr>
              <w:ind w:left="-142" w:right="-142"/>
              <w:jc w:val="center"/>
              <w:rPr>
                <w:sz w:val="20"/>
                <w:szCs w:val="20"/>
              </w:rPr>
            </w:pPr>
            <w:r>
              <w:rPr>
                <w:sz w:val="20"/>
                <w:szCs w:val="20"/>
              </w:rPr>
              <w:t xml:space="preserve">2018</w:t>
            </w:r>
            <w:r>
              <w:rPr>
                <w:sz w:val="20"/>
                <w:szCs w:val="20"/>
              </w:rPr>
            </w:r>
            <w:r>
              <w:rPr>
                <w:sz w:val="20"/>
                <w:szCs w:val="20"/>
              </w:rPr>
            </w:r>
          </w:p>
        </w:tc>
        <w:tc>
          <w:tcPr>
            <w:tcW w:w="491"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375"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434" w:type="pct"/>
            <w:vAlign w:val="center"/>
            <w:textDirection w:val="lrTb"/>
            <w:noWrap w:val="false"/>
          </w:tcPr>
          <w:p>
            <w:pPr>
              <w:ind w:left="-142" w:right="-142"/>
              <w:jc w:val="center"/>
              <w:rPr>
                <w:sz w:val="20"/>
                <w:szCs w:val="20"/>
              </w:rPr>
            </w:pPr>
            <w:r>
              <w:rPr>
                <w:sz w:val="20"/>
                <w:szCs w:val="20"/>
              </w:rPr>
              <w:t xml:space="preserve">0,554</w:t>
            </w:r>
            <w:r>
              <w:rPr>
                <w:sz w:val="20"/>
                <w:szCs w:val="20"/>
              </w:rPr>
            </w:r>
            <w:r>
              <w:rPr>
                <w:sz w:val="20"/>
                <w:szCs w:val="20"/>
              </w:rPr>
            </w:r>
          </w:p>
        </w:tc>
        <w:tc>
          <w:tcPr>
            <w:tcW w:w="508" w:type="pct"/>
            <w:vAlign w:val="center"/>
            <w:vMerge w:val="restart"/>
            <w:textDirection w:val="lrTb"/>
            <w:noWrap w:val="false"/>
          </w:tcPr>
          <w:p>
            <w:pPr>
              <w:ind w:left="-142" w:right="-142"/>
              <w:jc w:val="center"/>
              <w:rPr>
                <w:sz w:val="20"/>
                <w:szCs w:val="20"/>
              </w:rPr>
            </w:pPr>
            <w:r>
              <w:rPr>
                <w:sz w:val="20"/>
                <w:szCs w:val="20"/>
              </w:rPr>
              <w:t xml:space="preserve">0,452</w:t>
            </w:r>
            <w:r>
              <w:rPr>
                <w:sz w:val="20"/>
                <w:szCs w:val="20"/>
              </w:rPr>
            </w:r>
            <w:r>
              <w:rPr>
                <w:sz w:val="20"/>
                <w:szCs w:val="20"/>
              </w:rPr>
            </w:r>
          </w:p>
        </w:tc>
        <w:tc>
          <w:tcPr>
            <w:tcW w:w="504" w:type="pct"/>
            <w:vAlign w:val="center"/>
            <w:vMerge w:val="restart"/>
            <w:textDirection w:val="lrTb"/>
            <w:noWrap w:val="false"/>
          </w:tcPr>
          <w:p>
            <w:pPr>
              <w:ind w:left="-142" w:right="-142"/>
              <w:jc w:val="center"/>
              <w:rPr>
                <w:sz w:val="20"/>
                <w:szCs w:val="20"/>
              </w:rPr>
            </w:pPr>
            <w:r>
              <w:rPr>
                <w:sz w:val="20"/>
                <w:szCs w:val="20"/>
              </w:rPr>
              <w:t xml:space="preserve">0,700</w:t>
            </w:r>
            <w:r>
              <w:rPr>
                <w:sz w:val="20"/>
                <w:szCs w:val="20"/>
              </w:rPr>
            </w:r>
            <w:r>
              <w:rPr>
                <w:sz w:val="20"/>
                <w:szCs w:val="20"/>
              </w:rPr>
            </w:r>
          </w:p>
        </w:tc>
      </w:tr>
      <w:tr>
        <w:tblPrEx/>
        <w:trPr>
          <w:cantSplit/>
          <w:trHeight w:val="255"/>
        </w:trPr>
        <w:tc>
          <w:tcPr>
            <w:tcW w:w="1213" w:type="pct"/>
            <w:vAlign w:val="bottom"/>
            <w:textDirection w:val="lrTb"/>
            <w:noWrap w:val="false"/>
          </w:tcPr>
          <w:p>
            <w:pPr>
              <w:jc w:val="center"/>
              <w:rPr>
                <w:color w:val="000000"/>
                <w:sz w:val="20"/>
                <w:szCs w:val="20"/>
              </w:rPr>
            </w:pPr>
            <w:r>
              <w:rPr>
                <w:sz w:val="20"/>
                <w:szCs w:val="20"/>
              </w:rPr>
              <w:t xml:space="preserve">Итого</w:t>
            </w:r>
            <w:r>
              <w:rPr>
                <w:color w:val="000000"/>
                <w:sz w:val="20"/>
                <w:szCs w:val="20"/>
              </w:rPr>
            </w:r>
            <w:r>
              <w:rPr>
                <w:color w:val="000000"/>
                <w:sz w:val="20"/>
                <w:szCs w:val="20"/>
              </w:rPr>
            </w:r>
          </w:p>
        </w:tc>
        <w:tc>
          <w:tcPr>
            <w:tcW w:w="503"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60" w:type="pct"/>
            <w:vAlign w:val="center"/>
            <w:textDirection w:val="lrTb"/>
            <w:noWrap w:val="false"/>
          </w:tcPr>
          <w:p>
            <w:pPr>
              <w:ind w:left="-142" w:right="-142"/>
              <w:jc w:val="center"/>
              <w:rPr>
                <w:sz w:val="20"/>
                <w:szCs w:val="20"/>
              </w:rPr>
            </w:pPr>
            <w:r>
              <w:rPr>
                <w:sz w:val="20"/>
                <w:szCs w:val="20"/>
              </w:rPr>
              <w:t xml:space="preserve">1 ед.</w:t>
            </w:r>
            <w:r>
              <w:rPr>
                <w:sz w:val="20"/>
                <w:szCs w:val="20"/>
              </w:rPr>
            </w:r>
            <w:r>
              <w:rPr>
                <w:sz w:val="20"/>
                <w:szCs w:val="20"/>
              </w:rPr>
            </w:r>
          </w:p>
        </w:tc>
        <w:tc>
          <w:tcPr>
            <w:tcW w:w="512"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91"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375"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34" w:type="pct"/>
            <w:vAlign w:val="center"/>
            <w:textDirection w:val="lrTb"/>
            <w:noWrap w:val="false"/>
          </w:tcPr>
          <w:p>
            <w:pPr>
              <w:ind w:left="-142" w:right="-142"/>
              <w:jc w:val="center"/>
              <w:rPr>
                <w:sz w:val="20"/>
                <w:szCs w:val="20"/>
              </w:rPr>
            </w:pPr>
            <w:r>
              <w:rPr>
                <w:sz w:val="20"/>
                <w:szCs w:val="20"/>
              </w:rPr>
              <w:t xml:space="preserve">0,554</w:t>
            </w:r>
            <w:r>
              <w:rPr>
                <w:sz w:val="20"/>
                <w:szCs w:val="20"/>
              </w:rPr>
            </w:r>
            <w:r>
              <w:rPr>
                <w:sz w:val="20"/>
                <w:szCs w:val="20"/>
              </w:rPr>
            </w:r>
          </w:p>
        </w:tc>
        <w:tc>
          <w:tcPr>
            <w:tcW w:w="508"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c>
          <w:tcPr>
            <w:tcW w:w="504"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r>
      <w:tr>
        <w:tblPrEx/>
        <w:trPr>
          <w:cantSplit/>
          <w:trHeight w:val="212"/>
        </w:trPr>
        <w:tc>
          <w:tcPr>
            <w:tcW w:w="1213" w:type="pct"/>
            <w:vAlign w:val="bottom"/>
            <w:textDirection w:val="lrTb"/>
            <w:noWrap w:val="false"/>
          </w:tcPr>
          <w:p>
            <w:pPr>
              <w:jc w:val="center"/>
              <w:rPr>
                <w:color w:val="000000"/>
                <w:sz w:val="20"/>
                <w:szCs w:val="20"/>
              </w:rPr>
            </w:pPr>
            <w:r>
              <w:rPr>
                <w:color w:val="000000"/>
                <w:sz w:val="20"/>
                <w:szCs w:val="20"/>
              </w:rPr>
              <w:t xml:space="preserve">Котельная с.Красный Уралец, нет адреса</w:t>
            </w:r>
            <w:r>
              <w:rPr>
                <w:color w:val="000000"/>
                <w:sz w:val="20"/>
                <w:szCs w:val="20"/>
              </w:rPr>
            </w:r>
            <w:r>
              <w:rPr>
                <w:color w:val="000000"/>
                <w:sz w:val="20"/>
                <w:szCs w:val="20"/>
              </w:rPr>
            </w:r>
          </w:p>
        </w:tc>
        <w:tc>
          <w:tcPr>
            <w:tcW w:w="503" w:type="pct"/>
            <w:vAlign w:val="center"/>
            <w:textDirection w:val="lrTb"/>
            <w:noWrap w:val="false"/>
          </w:tcPr>
          <w:p>
            <w:pPr>
              <w:ind w:left="-142" w:right="-142"/>
              <w:jc w:val="center"/>
              <w:rPr>
                <w:sz w:val="20"/>
                <w:szCs w:val="20"/>
              </w:rPr>
            </w:pPr>
            <w:r>
              <w:rPr>
                <w:sz w:val="20"/>
                <w:szCs w:val="20"/>
              </w:rPr>
              <w:t xml:space="preserve">2018</w:t>
            </w:r>
            <w:r>
              <w:rPr>
                <w:sz w:val="20"/>
                <w:szCs w:val="20"/>
              </w:rPr>
            </w:r>
            <w:r>
              <w:rPr>
                <w:sz w:val="20"/>
                <w:szCs w:val="20"/>
              </w:rPr>
            </w:r>
          </w:p>
        </w:tc>
        <w:tc>
          <w:tcPr>
            <w:tcW w:w="460" w:type="pct"/>
            <w:vAlign w:val="center"/>
            <w:textDirection w:val="lrTb"/>
            <w:noWrap w:val="false"/>
          </w:tcPr>
          <w:p>
            <w:pPr>
              <w:ind w:left="-142" w:right="-142"/>
              <w:jc w:val="center"/>
              <w:rPr>
                <w:sz w:val="20"/>
                <w:szCs w:val="20"/>
              </w:rPr>
            </w:pPr>
            <w:r>
              <w:rPr>
                <w:sz w:val="20"/>
                <w:szCs w:val="20"/>
              </w:rPr>
              <w:t xml:space="preserve">FACI 51</w:t>
            </w:r>
            <w:r>
              <w:rPr>
                <w:sz w:val="20"/>
                <w:szCs w:val="20"/>
              </w:rPr>
            </w:r>
            <w:r>
              <w:rPr>
                <w:sz w:val="20"/>
                <w:szCs w:val="20"/>
              </w:rPr>
            </w:r>
          </w:p>
        </w:tc>
        <w:tc>
          <w:tcPr>
            <w:tcW w:w="512" w:type="pct"/>
            <w:vAlign w:val="center"/>
            <w:textDirection w:val="lrTb"/>
            <w:noWrap w:val="false"/>
          </w:tcPr>
          <w:p>
            <w:pPr>
              <w:ind w:left="-142" w:right="-142"/>
              <w:jc w:val="center"/>
              <w:rPr>
                <w:sz w:val="20"/>
                <w:szCs w:val="20"/>
              </w:rPr>
            </w:pPr>
            <w:r>
              <w:rPr>
                <w:sz w:val="20"/>
                <w:szCs w:val="20"/>
              </w:rPr>
              <w:t xml:space="preserve">2018</w:t>
            </w:r>
            <w:r>
              <w:rPr>
                <w:sz w:val="20"/>
                <w:szCs w:val="20"/>
              </w:rPr>
            </w:r>
            <w:r>
              <w:rPr>
                <w:sz w:val="20"/>
                <w:szCs w:val="20"/>
              </w:rPr>
            </w:r>
          </w:p>
        </w:tc>
        <w:tc>
          <w:tcPr>
            <w:tcW w:w="491"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375"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434" w:type="pct"/>
            <w:vAlign w:val="center"/>
            <w:textDirection w:val="lrTb"/>
            <w:noWrap w:val="false"/>
          </w:tcPr>
          <w:p>
            <w:pPr>
              <w:ind w:left="-142" w:right="-142"/>
              <w:jc w:val="center"/>
              <w:rPr>
                <w:sz w:val="20"/>
                <w:szCs w:val="20"/>
              </w:rPr>
            </w:pPr>
            <w:r>
              <w:rPr>
                <w:sz w:val="20"/>
                <w:szCs w:val="20"/>
              </w:rPr>
              <w:t xml:space="preserve">0,043</w:t>
            </w:r>
            <w:r>
              <w:rPr>
                <w:sz w:val="20"/>
                <w:szCs w:val="20"/>
              </w:rPr>
            </w:r>
            <w:r>
              <w:rPr>
                <w:sz w:val="20"/>
                <w:szCs w:val="20"/>
              </w:rPr>
            </w:r>
          </w:p>
        </w:tc>
        <w:tc>
          <w:tcPr>
            <w:tcW w:w="508" w:type="pct"/>
            <w:vAlign w:val="center"/>
            <w:vMerge w:val="restart"/>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504" w:type="pct"/>
            <w:vAlign w:val="center"/>
            <w:vMerge w:val="restart"/>
            <w:textDirection w:val="lrTb"/>
            <w:noWrap w:val="false"/>
          </w:tcPr>
          <w:p>
            <w:pPr>
              <w:ind w:left="-142" w:right="-142"/>
              <w:jc w:val="center"/>
              <w:rPr>
                <w:sz w:val="20"/>
                <w:szCs w:val="20"/>
              </w:rPr>
            </w:pPr>
            <w:r>
              <w:rPr>
                <w:sz w:val="20"/>
                <w:szCs w:val="20"/>
              </w:rPr>
              <w:t xml:space="preserve">-</w:t>
            </w:r>
            <w:r>
              <w:rPr>
                <w:sz w:val="20"/>
                <w:szCs w:val="20"/>
              </w:rPr>
            </w:r>
            <w:r>
              <w:rPr>
                <w:sz w:val="20"/>
                <w:szCs w:val="20"/>
              </w:rPr>
            </w:r>
          </w:p>
        </w:tc>
      </w:tr>
      <w:tr>
        <w:tblPrEx/>
        <w:trPr>
          <w:cantSplit/>
          <w:trHeight w:val="255"/>
        </w:trPr>
        <w:tc>
          <w:tcPr>
            <w:tcW w:w="1213" w:type="pct"/>
            <w:vAlign w:val="bottom"/>
            <w:textDirection w:val="lrTb"/>
            <w:noWrap w:val="false"/>
          </w:tcPr>
          <w:p>
            <w:pPr>
              <w:jc w:val="center"/>
              <w:rPr>
                <w:color w:val="000000"/>
                <w:sz w:val="20"/>
                <w:szCs w:val="20"/>
              </w:rPr>
            </w:pPr>
            <w:r>
              <w:rPr>
                <w:sz w:val="20"/>
                <w:szCs w:val="20"/>
              </w:rPr>
              <w:t xml:space="preserve">Итого</w:t>
            </w:r>
            <w:r>
              <w:rPr>
                <w:color w:val="000000"/>
                <w:sz w:val="20"/>
                <w:szCs w:val="20"/>
              </w:rPr>
            </w:r>
            <w:r>
              <w:rPr>
                <w:color w:val="000000"/>
                <w:sz w:val="20"/>
                <w:szCs w:val="20"/>
              </w:rPr>
            </w:r>
          </w:p>
        </w:tc>
        <w:tc>
          <w:tcPr>
            <w:tcW w:w="503"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60" w:type="pct"/>
            <w:vAlign w:val="center"/>
            <w:textDirection w:val="lrTb"/>
            <w:noWrap w:val="false"/>
          </w:tcPr>
          <w:p>
            <w:pPr>
              <w:ind w:left="-142" w:right="-142"/>
              <w:jc w:val="center"/>
              <w:rPr>
                <w:sz w:val="20"/>
                <w:szCs w:val="20"/>
              </w:rPr>
            </w:pPr>
            <w:r>
              <w:rPr>
                <w:sz w:val="20"/>
                <w:szCs w:val="20"/>
              </w:rPr>
              <w:t xml:space="preserve">1 ед.</w:t>
            </w:r>
            <w:r>
              <w:rPr>
                <w:sz w:val="20"/>
                <w:szCs w:val="20"/>
              </w:rPr>
            </w:r>
            <w:r>
              <w:rPr>
                <w:sz w:val="20"/>
                <w:szCs w:val="20"/>
              </w:rPr>
            </w:r>
          </w:p>
        </w:tc>
        <w:tc>
          <w:tcPr>
            <w:tcW w:w="512"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91"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375"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34" w:type="pct"/>
            <w:vAlign w:val="center"/>
            <w:textDirection w:val="lrTb"/>
            <w:noWrap w:val="false"/>
          </w:tcPr>
          <w:p>
            <w:pPr>
              <w:ind w:left="-142" w:right="-142"/>
              <w:jc w:val="center"/>
              <w:rPr>
                <w:sz w:val="20"/>
                <w:szCs w:val="20"/>
              </w:rPr>
            </w:pPr>
            <w:r>
              <w:rPr>
                <w:sz w:val="20"/>
                <w:szCs w:val="20"/>
              </w:rPr>
              <w:t xml:space="preserve">0,043</w:t>
            </w:r>
            <w:r>
              <w:rPr>
                <w:sz w:val="20"/>
                <w:szCs w:val="20"/>
              </w:rPr>
            </w:r>
            <w:r>
              <w:rPr>
                <w:sz w:val="20"/>
                <w:szCs w:val="20"/>
              </w:rPr>
            </w:r>
          </w:p>
        </w:tc>
        <w:tc>
          <w:tcPr>
            <w:tcW w:w="508"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c>
          <w:tcPr>
            <w:tcW w:w="504"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r>
      <w:tr>
        <w:tblPrEx/>
        <w:trPr>
          <w:cantSplit/>
          <w:trHeight w:val="255"/>
        </w:trPr>
        <w:tc>
          <w:tcPr>
            <w:tcW w:w="1213" w:type="pct"/>
            <w:vAlign w:val="bottom"/>
            <w:textDirection w:val="lrTb"/>
            <w:noWrap w:val="false"/>
          </w:tcPr>
          <w:p>
            <w:pPr>
              <w:jc w:val="center"/>
              <w:rPr>
                <w:color w:val="000000"/>
                <w:sz w:val="20"/>
                <w:szCs w:val="20"/>
              </w:rPr>
            </w:pPr>
            <w:r>
              <w:rPr>
                <w:color w:val="000000"/>
                <w:sz w:val="20"/>
                <w:szCs w:val="20"/>
              </w:rPr>
              <w:t xml:space="preserve">Котельная с.Караси, ул.Школьная, 3б</w:t>
            </w:r>
            <w:r>
              <w:rPr>
                <w:color w:val="000000"/>
                <w:sz w:val="20"/>
                <w:szCs w:val="20"/>
              </w:rPr>
            </w:r>
            <w:r>
              <w:rPr>
                <w:color w:val="000000"/>
                <w:sz w:val="20"/>
                <w:szCs w:val="20"/>
              </w:rPr>
            </w:r>
          </w:p>
        </w:tc>
        <w:tc>
          <w:tcPr>
            <w:tcW w:w="503" w:type="pct"/>
            <w:vAlign w:val="center"/>
            <w:textDirection w:val="lrTb"/>
            <w:noWrap w:val="false"/>
          </w:tcPr>
          <w:p>
            <w:pPr>
              <w:ind w:left="-142" w:right="-142"/>
              <w:jc w:val="center"/>
              <w:rPr>
                <w:sz w:val="20"/>
                <w:szCs w:val="20"/>
              </w:rPr>
            </w:pPr>
            <w:r>
              <w:rPr>
                <w:sz w:val="20"/>
                <w:szCs w:val="20"/>
              </w:rPr>
              <w:t xml:space="preserve">2016</w:t>
            </w:r>
            <w:r>
              <w:rPr>
                <w:sz w:val="20"/>
                <w:szCs w:val="20"/>
              </w:rPr>
            </w:r>
            <w:r>
              <w:rPr>
                <w:sz w:val="20"/>
                <w:szCs w:val="20"/>
              </w:rPr>
            </w:r>
          </w:p>
        </w:tc>
        <w:tc>
          <w:tcPr>
            <w:tcW w:w="460" w:type="pct"/>
            <w:vAlign w:val="center"/>
            <w:textDirection w:val="lrTb"/>
            <w:noWrap w:val="false"/>
          </w:tcPr>
          <w:p>
            <w:pPr>
              <w:ind w:left="-142" w:right="-142"/>
              <w:jc w:val="center"/>
              <w:rPr>
                <w:sz w:val="20"/>
                <w:szCs w:val="20"/>
              </w:rPr>
            </w:pPr>
            <w:r>
              <w:rPr>
                <w:sz w:val="20"/>
                <w:szCs w:val="20"/>
              </w:rPr>
              <w:t xml:space="preserve">Roteks-300</w:t>
            </w:r>
            <w:r>
              <w:rPr>
                <w:sz w:val="20"/>
                <w:szCs w:val="20"/>
              </w:rPr>
            </w:r>
            <w:r>
              <w:rPr>
                <w:sz w:val="20"/>
                <w:szCs w:val="20"/>
              </w:rPr>
            </w:r>
          </w:p>
        </w:tc>
        <w:tc>
          <w:tcPr>
            <w:tcW w:w="512" w:type="pct"/>
            <w:vAlign w:val="center"/>
            <w:textDirection w:val="lrTb"/>
            <w:noWrap w:val="false"/>
          </w:tcPr>
          <w:p>
            <w:pPr>
              <w:ind w:left="-142" w:right="-142"/>
              <w:jc w:val="center"/>
              <w:rPr>
                <w:sz w:val="20"/>
                <w:szCs w:val="20"/>
              </w:rPr>
            </w:pPr>
            <w:r>
              <w:rPr>
                <w:sz w:val="20"/>
                <w:szCs w:val="20"/>
              </w:rPr>
              <w:t xml:space="preserve">2016</w:t>
            </w:r>
            <w:r>
              <w:rPr>
                <w:sz w:val="20"/>
                <w:szCs w:val="20"/>
              </w:rPr>
            </w:r>
            <w:r>
              <w:rPr>
                <w:sz w:val="20"/>
                <w:szCs w:val="20"/>
              </w:rPr>
            </w:r>
          </w:p>
        </w:tc>
        <w:tc>
          <w:tcPr>
            <w:tcW w:w="491"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375"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434" w:type="pct"/>
            <w:vAlign w:val="center"/>
            <w:textDirection w:val="lrTb"/>
            <w:noWrap w:val="false"/>
          </w:tcPr>
          <w:p>
            <w:pPr>
              <w:ind w:left="-142" w:right="-142"/>
              <w:jc w:val="center"/>
              <w:rPr>
                <w:sz w:val="20"/>
                <w:szCs w:val="20"/>
              </w:rPr>
            </w:pPr>
            <w:r>
              <w:rPr>
                <w:sz w:val="20"/>
                <w:szCs w:val="20"/>
              </w:rPr>
              <w:t xml:space="preserve">0,257</w:t>
            </w:r>
            <w:r>
              <w:rPr>
                <w:sz w:val="20"/>
                <w:szCs w:val="20"/>
              </w:rPr>
            </w:r>
            <w:r>
              <w:rPr>
                <w:sz w:val="20"/>
                <w:szCs w:val="20"/>
              </w:rPr>
            </w:r>
          </w:p>
        </w:tc>
        <w:tc>
          <w:tcPr>
            <w:tcW w:w="508" w:type="pct"/>
            <w:vAlign w:val="center"/>
            <w:vMerge w:val="restart"/>
            <w:textDirection w:val="lrTb"/>
            <w:noWrap w:val="false"/>
          </w:tcPr>
          <w:p>
            <w:pPr>
              <w:ind w:left="-142" w:right="-142"/>
              <w:jc w:val="center"/>
              <w:rPr>
                <w:sz w:val="20"/>
                <w:szCs w:val="20"/>
              </w:rPr>
            </w:pPr>
            <w:r>
              <w:rPr>
                <w:sz w:val="20"/>
                <w:szCs w:val="20"/>
              </w:rPr>
              <w:t xml:space="preserve">0,197</w:t>
            </w:r>
            <w:r>
              <w:rPr>
                <w:sz w:val="20"/>
                <w:szCs w:val="20"/>
              </w:rPr>
            </w:r>
            <w:r>
              <w:rPr>
                <w:sz w:val="20"/>
                <w:szCs w:val="20"/>
              </w:rPr>
            </w:r>
          </w:p>
        </w:tc>
        <w:tc>
          <w:tcPr>
            <w:tcW w:w="504" w:type="pct"/>
            <w:vAlign w:val="center"/>
            <w:vMerge w:val="restart"/>
            <w:textDirection w:val="lrTb"/>
            <w:noWrap w:val="false"/>
          </w:tcPr>
          <w:p>
            <w:pPr>
              <w:ind w:left="-142" w:right="-142"/>
              <w:jc w:val="center"/>
              <w:rPr>
                <w:sz w:val="20"/>
                <w:szCs w:val="20"/>
              </w:rPr>
            </w:pPr>
            <w:r>
              <w:rPr>
                <w:sz w:val="20"/>
                <w:szCs w:val="20"/>
              </w:rPr>
              <w:t xml:space="preserve">0,315</w:t>
            </w:r>
            <w:r>
              <w:rPr>
                <w:sz w:val="20"/>
                <w:szCs w:val="20"/>
              </w:rPr>
            </w:r>
            <w:r>
              <w:rPr>
                <w:sz w:val="20"/>
                <w:szCs w:val="20"/>
              </w:rPr>
            </w:r>
          </w:p>
        </w:tc>
      </w:tr>
      <w:tr>
        <w:tblPrEx/>
        <w:trPr>
          <w:cantSplit/>
          <w:trHeight w:val="255"/>
        </w:trPr>
        <w:tc>
          <w:tcPr>
            <w:tcW w:w="1213" w:type="pct"/>
            <w:vAlign w:val="bottom"/>
            <w:textDirection w:val="lrTb"/>
            <w:noWrap w:val="false"/>
          </w:tcPr>
          <w:p>
            <w:pPr>
              <w:jc w:val="center"/>
              <w:rPr>
                <w:color w:val="000000"/>
                <w:sz w:val="20"/>
                <w:szCs w:val="20"/>
              </w:rPr>
            </w:pPr>
            <w:r>
              <w:rPr>
                <w:sz w:val="20"/>
                <w:szCs w:val="20"/>
              </w:rPr>
              <w:t xml:space="preserve">Итого</w:t>
            </w:r>
            <w:r>
              <w:rPr>
                <w:color w:val="000000"/>
                <w:sz w:val="20"/>
                <w:szCs w:val="20"/>
              </w:rPr>
            </w:r>
            <w:r>
              <w:rPr>
                <w:color w:val="000000"/>
                <w:sz w:val="20"/>
                <w:szCs w:val="20"/>
              </w:rPr>
            </w:r>
          </w:p>
        </w:tc>
        <w:tc>
          <w:tcPr>
            <w:tcW w:w="503"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60" w:type="pct"/>
            <w:vAlign w:val="center"/>
            <w:textDirection w:val="lrTb"/>
            <w:noWrap w:val="false"/>
          </w:tcPr>
          <w:p>
            <w:pPr>
              <w:ind w:left="-142" w:right="-142"/>
              <w:jc w:val="center"/>
              <w:rPr>
                <w:sz w:val="20"/>
                <w:szCs w:val="20"/>
              </w:rPr>
            </w:pPr>
            <w:r>
              <w:rPr>
                <w:sz w:val="20"/>
                <w:szCs w:val="20"/>
              </w:rPr>
              <w:t xml:space="preserve">1 ед.</w:t>
            </w:r>
            <w:r>
              <w:rPr>
                <w:sz w:val="20"/>
                <w:szCs w:val="20"/>
              </w:rPr>
            </w:r>
            <w:r>
              <w:rPr>
                <w:sz w:val="20"/>
                <w:szCs w:val="20"/>
              </w:rPr>
            </w:r>
          </w:p>
        </w:tc>
        <w:tc>
          <w:tcPr>
            <w:tcW w:w="512"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91"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375"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34" w:type="pct"/>
            <w:vAlign w:val="center"/>
            <w:textDirection w:val="lrTb"/>
            <w:noWrap w:val="false"/>
          </w:tcPr>
          <w:p>
            <w:pPr>
              <w:ind w:left="-142" w:right="-142"/>
              <w:jc w:val="center"/>
              <w:rPr>
                <w:sz w:val="20"/>
                <w:szCs w:val="20"/>
              </w:rPr>
            </w:pPr>
            <w:r>
              <w:rPr>
                <w:sz w:val="20"/>
                <w:szCs w:val="20"/>
              </w:rPr>
              <w:t xml:space="preserve">0,257</w:t>
            </w:r>
            <w:r>
              <w:rPr>
                <w:sz w:val="20"/>
                <w:szCs w:val="20"/>
              </w:rPr>
            </w:r>
            <w:r>
              <w:rPr>
                <w:sz w:val="20"/>
                <w:szCs w:val="20"/>
              </w:rPr>
            </w:r>
          </w:p>
        </w:tc>
        <w:tc>
          <w:tcPr>
            <w:tcW w:w="508"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c>
          <w:tcPr>
            <w:tcW w:w="504"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r>
      <w:tr>
        <w:tblPrEx/>
        <w:trPr>
          <w:cantSplit/>
          <w:trHeight w:val="255"/>
        </w:trPr>
        <w:tc>
          <w:tcPr>
            <w:tcW w:w="1213" w:type="pct"/>
            <w:vAlign w:val="bottom"/>
            <w:textDirection w:val="lrTb"/>
            <w:noWrap w:val="false"/>
          </w:tcPr>
          <w:p>
            <w:pPr>
              <w:jc w:val="center"/>
              <w:rPr>
                <w:color w:val="000000"/>
                <w:sz w:val="20"/>
                <w:szCs w:val="20"/>
              </w:rPr>
            </w:pPr>
            <w:r>
              <w:rPr>
                <w:color w:val="000000"/>
                <w:sz w:val="20"/>
                <w:szCs w:val="20"/>
              </w:rPr>
              <w:t xml:space="preserve">Котельная с.Вилкино, ул.Ленина, 9а</w:t>
            </w:r>
            <w:r>
              <w:rPr>
                <w:color w:val="000000"/>
                <w:sz w:val="20"/>
                <w:szCs w:val="20"/>
              </w:rPr>
            </w:r>
            <w:r>
              <w:rPr>
                <w:color w:val="000000"/>
                <w:sz w:val="20"/>
                <w:szCs w:val="20"/>
              </w:rPr>
            </w:r>
          </w:p>
        </w:tc>
        <w:tc>
          <w:tcPr>
            <w:tcW w:w="503" w:type="pct"/>
            <w:vAlign w:val="center"/>
            <w:textDirection w:val="lrTb"/>
            <w:noWrap w:val="false"/>
          </w:tcPr>
          <w:p>
            <w:pPr>
              <w:ind w:left="-142" w:right="-142"/>
              <w:jc w:val="center"/>
              <w:rPr>
                <w:sz w:val="20"/>
                <w:szCs w:val="20"/>
              </w:rPr>
            </w:pPr>
            <w:r>
              <w:rPr>
                <w:sz w:val="20"/>
                <w:szCs w:val="20"/>
              </w:rPr>
              <w:t xml:space="preserve">2017</w:t>
            </w:r>
            <w:r>
              <w:rPr>
                <w:sz w:val="20"/>
                <w:szCs w:val="20"/>
              </w:rPr>
            </w:r>
            <w:r>
              <w:rPr>
                <w:sz w:val="20"/>
                <w:szCs w:val="20"/>
              </w:rPr>
            </w:r>
          </w:p>
        </w:tc>
        <w:tc>
          <w:tcPr>
            <w:tcW w:w="460" w:type="pct"/>
            <w:vAlign w:val="center"/>
            <w:textDirection w:val="lrTb"/>
            <w:noWrap w:val="false"/>
          </w:tcPr>
          <w:p>
            <w:pPr>
              <w:ind w:left="-142" w:right="-142"/>
              <w:jc w:val="center"/>
              <w:rPr>
                <w:sz w:val="20"/>
                <w:szCs w:val="20"/>
              </w:rPr>
            </w:pPr>
            <w:r>
              <w:rPr>
                <w:sz w:val="20"/>
                <w:szCs w:val="20"/>
              </w:rPr>
              <w:t xml:space="preserve">Roteks-300</w:t>
            </w:r>
            <w:r>
              <w:rPr>
                <w:sz w:val="20"/>
                <w:szCs w:val="20"/>
              </w:rPr>
            </w:r>
            <w:r>
              <w:rPr>
                <w:sz w:val="20"/>
                <w:szCs w:val="20"/>
              </w:rPr>
            </w:r>
          </w:p>
        </w:tc>
        <w:tc>
          <w:tcPr>
            <w:tcW w:w="512" w:type="pct"/>
            <w:vAlign w:val="center"/>
            <w:textDirection w:val="lrTb"/>
            <w:noWrap w:val="false"/>
          </w:tcPr>
          <w:p>
            <w:pPr>
              <w:ind w:left="-142" w:right="-142"/>
              <w:jc w:val="center"/>
              <w:rPr>
                <w:sz w:val="20"/>
                <w:szCs w:val="20"/>
              </w:rPr>
            </w:pPr>
            <w:r>
              <w:rPr>
                <w:sz w:val="20"/>
                <w:szCs w:val="20"/>
              </w:rPr>
              <w:t xml:space="preserve">2017</w:t>
            </w:r>
            <w:r>
              <w:rPr>
                <w:sz w:val="20"/>
                <w:szCs w:val="20"/>
              </w:rPr>
            </w:r>
            <w:r>
              <w:rPr>
                <w:sz w:val="20"/>
                <w:szCs w:val="20"/>
              </w:rPr>
            </w:r>
          </w:p>
        </w:tc>
        <w:tc>
          <w:tcPr>
            <w:tcW w:w="491"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375"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434" w:type="pct"/>
            <w:vAlign w:val="center"/>
            <w:textDirection w:val="lrTb"/>
            <w:noWrap w:val="false"/>
          </w:tcPr>
          <w:p>
            <w:pPr>
              <w:ind w:left="-142" w:right="-142"/>
              <w:jc w:val="center"/>
              <w:rPr>
                <w:sz w:val="20"/>
                <w:szCs w:val="20"/>
              </w:rPr>
            </w:pPr>
            <w:r>
              <w:rPr>
                <w:sz w:val="20"/>
                <w:szCs w:val="20"/>
              </w:rPr>
              <w:t xml:space="preserve">0,257</w:t>
            </w:r>
            <w:r>
              <w:rPr>
                <w:sz w:val="20"/>
                <w:szCs w:val="20"/>
              </w:rPr>
            </w:r>
            <w:r>
              <w:rPr>
                <w:sz w:val="20"/>
                <w:szCs w:val="20"/>
              </w:rPr>
            </w:r>
          </w:p>
        </w:tc>
        <w:tc>
          <w:tcPr>
            <w:tcW w:w="508" w:type="pct"/>
            <w:vAlign w:val="center"/>
            <w:vMerge w:val="restart"/>
            <w:textDirection w:val="lrTb"/>
            <w:noWrap w:val="false"/>
          </w:tcPr>
          <w:p>
            <w:pPr>
              <w:ind w:left="-142" w:right="-142"/>
              <w:jc w:val="center"/>
              <w:rPr>
                <w:sz w:val="20"/>
                <w:szCs w:val="20"/>
              </w:rPr>
            </w:pPr>
            <w:r>
              <w:rPr>
                <w:sz w:val="20"/>
                <w:szCs w:val="20"/>
              </w:rPr>
              <w:t xml:space="preserve">0,208</w:t>
            </w:r>
            <w:r>
              <w:rPr>
                <w:sz w:val="20"/>
                <w:szCs w:val="20"/>
              </w:rPr>
            </w:r>
            <w:r>
              <w:rPr>
                <w:sz w:val="20"/>
                <w:szCs w:val="20"/>
              </w:rPr>
            </w:r>
          </w:p>
        </w:tc>
        <w:tc>
          <w:tcPr>
            <w:tcW w:w="504" w:type="pct"/>
            <w:vAlign w:val="center"/>
            <w:vMerge w:val="restart"/>
            <w:textDirection w:val="lrTb"/>
            <w:noWrap w:val="false"/>
          </w:tcPr>
          <w:p>
            <w:pPr>
              <w:ind w:left="-142" w:right="-142"/>
              <w:jc w:val="center"/>
              <w:rPr>
                <w:sz w:val="20"/>
                <w:szCs w:val="20"/>
              </w:rPr>
            </w:pPr>
            <w:r>
              <w:rPr>
                <w:sz w:val="20"/>
                <w:szCs w:val="20"/>
              </w:rPr>
              <w:t xml:space="preserve">0,380</w:t>
            </w:r>
            <w:r>
              <w:rPr>
                <w:sz w:val="20"/>
                <w:szCs w:val="20"/>
              </w:rPr>
            </w:r>
            <w:r>
              <w:rPr>
                <w:sz w:val="20"/>
                <w:szCs w:val="20"/>
              </w:rPr>
            </w:r>
          </w:p>
        </w:tc>
      </w:tr>
      <w:tr>
        <w:tblPrEx/>
        <w:trPr>
          <w:cantSplit/>
          <w:trHeight w:val="255"/>
        </w:trPr>
        <w:tc>
          <w:tcPr>
            <w:tcW w:w="1213" w:type="pct"/>
            <w:vAlign w:val="bottom"/>
            <w:textDirection w:val="lrTb"/>
            <w:noWrap w:val="false"/>
          </w:tcPr>
          <w:p>
            <w:pPr>
              <w:jc w:val="center"/>
              <w:rPr>
                <w:color w:val="000000"/>
                <w:sz w:val="20"/>
                <w:szCs w:val="20"/>
              </w:rPr>
            </w:pPr>
            <w:r>
              <w:rPr>
                <w:sz w:val="20"/>
                <w:szCs w:val="20"/>
              </w:rPr>
              <w:t xml:space="preserve">Итого</w:t>
            </w:r>
            <w:r>
              <w:rPr>
                <w:color w:val="000000"/>
                <w:sz w:val="20"/>
                <w:szCs w:val="20"/>
              </w:rPr>
            </w:r>
            <w:r>
              <w:rPr>
                <w:color w:val="000000"/>
                <w:sz w:val="20"/>
                <w:szCs w:val="20"/>
              </w:rPr>
            </w:r>
          </w:p>
        </w:tc>
        <w:tc>
          <w:tcPr>
            <w:tcW w:w="503"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60" w:type="pct"/>
            <w:vAlign w:val="center"/>
            <w:textDirection w:val="lrTb"/>
            <w:noWrap w:val="false"/>
          </w:tcPr>
          <w:p>
            <w:pPr>
              <w:ind w:left="-142" w:right="-142"/>
              <w:jc w:val="center"/>
              <w:rPr>
                <w:sz w:val="20"/>
                <w:szCs w:val="20"/>
              </w:rPr>
            </w:pPr>
            <w:r>
              <w:rPr>
                <w:sz w:val="20"/>
                <w:szCs w:val="20"/>
              </w:rPr>
              <w:t xml:space="preserve">1 ед.</w:t>
            </w:r>
            <w:r>
              <w:rPr>
                <w:sz w:val="20"/>
                <w:szCs w:val="20"/>
              </w:rPr>
            </w:r>
            <w:r>
              <w:rPr>
                <w:sz w:val="20"/>
                <w:szCs w:val="20"/>
              </w:rPr>
            </w:r>
          </w:p>
        </w:tc>
        <w:tc>
          <w:tcPr>
            <w:tcW w:w="512"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91"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375"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34" w:type="pct"/>
            <w:vAlign w:val="center"/>
            <w:textDirection w:val="lrTb"/>
            <w:noWrap w:val="false"/>
          </w:tcPr>
          <w:p>
            <w:pPr>
              <w:ind w:left="-142" w:right="-142"/>
              <w:jc w:val="center"/>
              <w:rPr>
                <w:sz w:val="20"/>
                <w:szCs w:val="20"/>
              </w:rPr>
            </w:pPr>
            <w:r>
              <w:rPr>
                <w:sz w:val="20"/>
                <w:szCs w:val="20"/>
              </w:rPr>
              <w:t xml:space="preserve">0,257</w:t>
            </w:r>
            <w:r>
              <w:rPr>
                <w:sz w:val="20"/>
                <w:szCs w:val="20"/>
              </w:rPr>
            </w:r>
            <w:r>
              <w:rPr>
                <w:sz w:val="20"/>
                <w:szCs w:val="20"/>
              </w:rPr>
            </w:r>
          </w:p>
        </w:tc>
        <w:tc>
          <w:tcPr>
            <w:tcW w:w="508"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c>
          <w:tcPr>
            <w:tcW w:w="504"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r>
      <w:tr>
        <w:tblPrEx/>
        <w:trPr>
          <w:cantSplit/>
          <w:trHeight w:val="255"/>
        </w:trPr>
        <w:tc>
          <w:tcPr>
            <w:tcW w:w="1213" w:type="pct"/>
            <w:vAlign w:val="bottom"/>
            <w:textDirection w:val="lrTb"/>
            <w:noWrap w:val="false"/>
          </w:tcPr>
          <w:p>
            <w:pPr>
              <w:jc w:val="center"/>
              <w:rPr>
                <w:color w:val="000000"/>
                <w:sz w:val="20"/>
                <w:szCs w:val="20"/>
              </w:rPr>
            </w:pPr>
            <w:r>
              <w:rPr>
                <w:color w:val="000000"/>
                <w:sz w:val="20"/>
                <w:szCs w:val="20"/>
              </w:rPr>
              <w:t xml:space="preserve">Котельная с.Губерля, ул.Школьная, 10А</w:t>
            </w:r>
            <w:r>
              <w:rPr>
                <w:color w:val="000000"/>
                <w:sz w:val="20"/>
                <w:szCs w:val="20"/>
              </w:rPr>
            </w:r>
            <w:r>
              <w:rPr>
                <w:color w:val="000000"/>
                <w:sz w:val="20"/>
                <w:szCs w:val="20"/>
              </w:rPr>
            </w:r>
          </w:p>
        </w:tc>
        <w:tc>
          <w:tcPr>
            <w:tcW w:w="503" w:type="pct"/>
            <w:vAlign w:val="center"/>
            <w:textDirection w:val="lrTb"/>
            <w:noWrap w:val="false"/>
          </w:tcPr>
          <w:p>
            <w:pPr>
              <w:ind w:left="-142" w:right="-142"/>
              <w:jc w:val="center"/>
              <w:rPr>
                <w:sz w:val="20"/>
                <w:szCs w:val="20"/>
              </w:rPr>
            </w:pPr>
            <w:r>
              <w:rPr>
                <w:sz w:val="20"/>
                <w:szCs w:val="20"/>
              </w:rPr>
              <w:t xml:space="preserve">2016</w:t>
            </w:r>
            <w:r>
              <w:rPr>
                <w:sz w:val="20"/>
                <w:szCs w:val="20"/>
              </w:rPr>
            </w:r>
            <w:r>
              <w:rPr>
                <w:sz w:val="20"/>
                <w:szCs w:val="20"/>
              </w:rPr>
            </w:r>
          </w:p>
        </w:tc>
        <w:tc>
          <w:tcPr>
            <w:tcW w:w="460" w:type="pct"/>
            <w:vAlign w:val="center"/>
            <w:textDirection w:val="lrTb"/>
            <w:noWrap w:val="false"/>
          </w:tcPr>
          <w:p>
            <w:pPr>
              <w:ind w:left="-142" w:right="-142"/>
              <w:jc w:val="center"/>
              <w:rPr>
                <w:sz w:val="20"/>
                <w:szCs w:val="20"/>
              </w:rPr>
            </w:pPr>
            <w:r>
              <w:rPr>
                <w:sz w:val="20"/>
                <w:szCs w:val="20"/>
              </w:rPr>
              <w:t xml:space="preserve">ROTEKS 200</w:t>
            </w:r>
            <w:r>
              <w:rPr>
                <w:sz w:val="20"/>
                <w:szCs w:val="20"/>
              </w:rPr>
            </w:r>
            <w:r>
              <w:rPr>
                <w:sz w:val="20"/>
                <w:szCs w:val="20"/>
              </w:rPr>
            </w:r>
          </w:p>
        </w:tc>
        <w:tc>
          <w:tcPr>
            <w:tcW w:w="512" w:type="pct"/>
            <w:vAlign w:val="center"/>
            <w:textDirection w:val="lrTb"/>
            <w:noWrap w:val="false"/>
          </w:tcPr>
          <w:p>
            <w:pPr>
              <w:ind w:left="-142" w:right="-142"/>
              <w:jc w:val="center"/>
              <w:rPr>
                <w:sz w:val="20"/>
                <w:szCs w:val="20"/>
              </w:rPr>
            </w:pPr>
            <w:r>
              <w:rPr>
                <w:sz w:val="20"/>
                <w:szCs w:val="20"/>
              </w:rPr>
              <w:t xml:space="preserve">2016</w:t>
            </w:r>
            <w:r>
              <w:rPr>
                <w:sz w:val="20"/>
                <w:szCs w:val="20"/>
              </w:rPr>
            </w:r>
            <w:r>
              <w:rPr>
                <w:sz w:val="20"/>
                <w:szCs w:val="20"/>
              </w:rPr>
            </w:r>
          </w:p>
        </w:tc>
        <w:tc>
          <w:tcPr>
            <w:tcW w:w="491"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375"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434" w:type="pct"/>
            <w:vAlign w:val="center"/>
            <w:textDirection w:val="lrTb"/>
            <w:noWrap w:val="false"/>
          </w:tcPr>
          <w:p>
            <w:pPr>
              <w:ind w:left="-142" w:right="-142"/>
              <w:jc w:val="center"/>
              <w:rPr>
                <w:sz w:val="20"/>
                <w:szCs w:val="20"/>
              </w:rPr>
            </w:pPr>
            <w:r>
              <w:rPr>
                <w:sz w:val="20"/>
                <w:szCs w:val="20"/>
              </w:rPr>
              <w:t xml:space="preserve">0,171</w:t>
            </w:r>
            <w:r>
              <w:rPr>
                <w:sz w:val="20"/>
                <w:szCs w:val="20"/>
              </w:rPr>
            </w:r>
            <w:r>
              <w:rPr>
                <w:sz w:val="20"/>
                <w:szCs w:val="20"/>
              </w:rPr>
            </w:r>
          </w:p>
        </w:tc>
        <w:tc>
          <w:tcPr>
            <w:tcW w:w="508" w:type="pct"/>
            <w:vAlign w:val="center"/>
            <w:vMerge w:val="restart"/>
            <w:textDirection w:val="lrTb"/>
            <w:noWrap w:val="false"/>
          </w:tcPr>
          <w:p>
            <w:pPr>
              <w:ind w:left="-142" w:right="-142"/>
              <w:jc w:val="center"/>
              <w:rPr>
                <w:sz w:val="20"/>
                <w:szCs w:val="20"/>
              </w:rPr>
            </w:pPr>
            <w:r>
              <w:rPr>
                <w:sz w:val="20"/>
                <w:szCs w:val="20"/>
              </w:rPr>
              <w:t xml:space="preserve">0,429</w:t>
            </w:r>
            <w:r>
              <w:rPr>
                <w:sz w:val="20"/>
                <w:szCs w:val="20"/>
              </w:rPr>
            </w:r>
            <w:r>
              <w:rPr>
                <w:sz w:val="20"/>
                <w:szCs w:val="20"/>
              </w:rPr>
            </w:r>
          </w:p>
        </w:tc>
        <w:tc>
          <w:tcPr>
            <w:tcW w:w="504" w:type="pct"/>
            <w:vAlign w:val="center"/>
            <w:vMerge w:val="restart"/>
            <w:textDirection w:val="lrTb"/>
            <w:noWrap w:val="false"/>
          </w:tcPr>
          <w:p>
            <w:pPr>
              <w:ind w:left="-142" w:right="-142"/>
              <w:jc w:val="center"/>
              <w:rPr>
                <w:sz w:val="20"/>
                <w:szCs w:val="20"/>
              </w:rPr>
            </w:pPr>
            <w:r>
              <w:rPr>
                <w:sz w:val="20"/>
                <w:szCs w:val="20"/>
              </w:rPr>
              <w:t xml:space="preserve">0,050</w:t>
            </w:r>
            <w:r>
              <w:rPr>
                <w:sz w:val="20"/>
                <w:szCs w:val="20"/>
              </w:rPr>
            </w:r>
            <w:r>
              <w:rPr>
                <w:sz w:val="20"/>
                <w:szCs w:val="20"/>
              </w:rPr>
            </w:r>
          </w:p>
        </w:tc>
      </w:tr>
      <w:tr>
        <w:tblPrEx/>
        <w:trPr>
          <w:cantSplit/>
          <w:trHeight w:val="255"/>
        </w:trPr>
        <w:tc>
          <w:tcPr>
            <w:tcW w:w="1213" w:type="pct"/>
            <w:vAlign w:val="bottom"/>
            <w:textDirection w:val="lrTb"/>
            <w:noWrap w:val="false"/>
          </w:tcPr>
          <w:p>
            <w:pPr>
              <w:jc w:val="center"/>
              <w:rPr>
                <w:color w:val="000000"/>
                <w:sz w:val="20"/>
                <w:szCs w:val="20"/>
              </w:rPr>
            </w:pPr>
            <w:r>
              <w:rPr>
                <w:sz w:val="20"/>
                <w:szCs w:val="20"/>
              </w:rPr>
              <w:t xml:space="preserve">Итого</w:t>
            </w:r>
            <w:r>
              <w:rPr>
                <w:color w:val="000000"/>
                <w:sz w:val="20"/>
                <w:szCs w:val="20"/>
              </w:rPr>
            </w:r>
            <w:r>
              <w:rPr>
                <w:color w:val="000000"/>
                <w:sz w:val="20"/>
                <w:szCs w:val="20"/>
              </w:rPr>
            </w:r>
          </w:p>
        </w:tc>
        <w:tc>
          <w:tcPr>
            <w:tcW w:w="503"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60" w:type="pct"/>
            <w:vAlign w:val="center"/>
            <w:textDirection w:val="lrTb"/>
            <w:noWrap w:val="false"/>
          </w:tcPr>
          <w:p>
            <w:pPr>
              <w:ind w:left="-142" w:right="-142"/>
              <w:jc w:val="center"/>
              <w:rPr>
                <w:sz w:val="20"/>
                <w:szCs w:val="20"/>
              </w:rPr>
            </w:pPr>
            <w:r>
              <w:rPr>
                <w:sz w:val="20"/>
                <w:szCs w:val="20"/>
              </w:rPr>
              <w:t xml:space="preserve">1 ед.</w:t>
            </w:r>
            <w:r>
              <w:rPr>
                <w:sz w:val="20"/>
                <w:szCs w:val="20"/>
              </w:rPr>
            </w:r>
            <w:r>
              <w:rPr>
                <w:sz w:val="20"/>
                <w:szCs w:val="20"/>
              </w:rPr>
            </w:r>
          </w:p>
        </w:tc>
        <w:tc>
          <w:tcPr>
            <w:tcW w:w="512"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91"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375"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34" w:type="pct"/>
            <w:vAlign w:val="center"/>
            <w:textDirection w:val="lrTb"/>
            <w:noWrap w:val="false"/>
          </w:tcPr>
          <w:p>
            <w:pPr>
              <w:ind w:left="-142" w:right="-142"/>
              <w:jc w:val="center"/>
              <w:rPr>
                <w:sz w:val="20"/>
                <w:szCs w:val="20"/>
              </w:rPr>
            </w:pPr>
            <w:r>
              <w:rPr>
                <w:sz w:val="20"/>
                <w:szCs w:val="20"/>
              </w:rPr>
              <w:t xml:space="preserve">0,171</w:t>
            </w:r>
            <w:r>
              <w:rPr>
                <w:sz w:val="20"/>
                <w:szCs w:val="20"/>
              </w:rPr>
            </w:r>
            <w:r>
              <w:rPr>
                <w:sz w:val="20"/>
                <w:szCs w:val="20"/>
              </w:rPr>
            </w:r>
          </w:p>
        </w:tc>
        <w:tc>
          <w:tcPr>
            <w:tcW w:w="508"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c>
          <w:tcPr>
            <w:tcW w:w="504"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r>
      <w:tr>
        <w:tblPrEx/>
        <w:trPr>
          <w:cantSplit/>
          <w:trHeight w:val="255"/>
        </w:trPr>
        <w:tc>
          <w:tcPr>
            <w:tcW w:w="1213" w:type="pct"/>
            <w:vAlign w:val="bottom"/>
            <w:textDirection w:val="lrTb"/>
            <w:noWrap w:val="false"/>
          </w:tcPr>
          <w:p>
            <w:pPr>
              <w:jc w:val="center"/>
              <w:rPr>
                <w:color w:val="000000"/>
                <w:sz w:val="20"/>
                <w:szCs w:val="20"/>
              </w:rPr>
            </w:pPr>
            <w:r>
              <w:rPr>
                <w:color w:val="000000"/>
                <w:sz w:val="20"/>
                <w:szCs w:val="20"/>
              </w:rPr>
              <w:t xml:space="preserve">Котельная с.М.Белое, ул.Школьная, 2А</w:t>
            </w:r>
            <w:r>
              <w:rPr>
                <w:color w:val="000000"/>
                <w:sz w:val="20"/>
                <w:szCs w:val="20"/>
              </w:rPr>
            </w:r>
            <w:r>
              <w:rPr>
                <w:color w:val="000000"/>
                <w:sz w:val="20"/>
                <w:szCs w:val="20"/>
              </w:rPr>
            </w:r>
          </w:p>
        </w:tc>
        <w:tc>
          <w:tcPr>
            <w:tcW w:w="503" w:type="pct"/>
            <w:vAlign w:val="center"/>
            <w:textDirection w:val="lrTb"/>
            <w:noWrap w:val="false"/>
          </w:tcPr>
          <w:p>
            <w:pPr>
              <w:ind w:left="-142" w:right="-142"/>
              <w:jc w:val="center"/>
              <w:rPr>
                <w:sz w:val="20"/>
                <w:szCs w:val="20"/>
              </w:rPr>
            </w:pPr>
            <w:r>
              <w:rPr>
                <w:sz w:val="20"/>
                <w:szCs w:val="20"/>
              </w:rPr>
              <w:t xml:space="preserve">2017</w:t>
            </w:r>
            <w:r>
              <w:rPr>
                <w:sz w:val="20"/>
                <w:szCs w:val="20"/>
              </w:rPr>
            </w:r>
            <w:r>
              <w:rPr>
                <w:sz w:val="20"/>
                <w:szCs w:val="20"/>
              </w:rPr>
            </w:r>
          </w:p>
        </w:tc>
        <w:tc>
          <w:tcPr>
            <w:tcW w:w="460" w:type="pct"/>
            <w:vAlign w:val="center"/>
            <w:textDirection w:val="lrTb"/>
            <w:noWrap w:val="false"/>
          </w:tcPr>
          <w:p>
            <w:pPr>
              <w:ind w:left="-142" w:right="-142"/>
              <w:jc w:val="center"/>
              <w:rPr>
                <w:sz w:val="20"/>
                <w:szCs w:val="20"/>
              </w:rPr>
            </w:pPr>
            <w:r>
              <w:rPr>
                <w:sz w:val="20"/>
                <w:szCs w:val="20"/>
              </w:rPr>
              <w:t xml:space="preserve">Roteks-100</w:t>
            </w:r>
            <w:r>
              <w:rPr>
                <w:sz w:val="20"/>
                <w:szCs w:val="20"/>
              </w:rPr>
            </w:r>
            <w:r>
              <w:rPr>
                <w:sz w:val="20"/>
                <w:szCs w:val="20"/>
              </w:rPr>
            </w:r>
          </w:p>
        </w:tc>
        <w:tc>
          <w:tcPr>
            <w:tcW w:w="512" w:type="pct"/>
            <w:vAlign w:val="center"/>
            <w:textDirection w:val="lrTb"/>
            <w:noWrap w:val="false"/>
          </w:tcPr>
          <w:p>
            <w:pPr>
              <w:ind w:left="-142" w:right="-142"/>
              <w:jc w:val="center"/>
              <w:rPr>
                <w:sz w:val="20"/>
                <w:szCs w:val="20"/>
              </w:rPr>
            </w:pPr>
            <w:r>
              <w:rPr>
                <w:sz w:val="20"/>
                <w:szCs w:val="20"/>
              </w:rPr>
              <w:t xml:space="preserve">2017</w:t>
            </w:r>
            <w:r>
              <w:rPr>
                <w:sz w:val="20"/>
                <w:szCs w:val="20"/>
              </w:rPr>
            </w:r>
            <w:r>
              <w:rPr>
                <w:sz w:val="20"/>
                <w:szCs w:val="20"/>
              </w:rPr>
            </w:r>
          </w:p>
        </w:tc>
        <w:tc>
          <w:tcPr>
            <w:tcW w:w="491"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375"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434" w:type="pct"/>
            <w:vAlign w:val="center"/>
            <w:textDirection w:val="lrTb"/>
            <w:noWrap w:val="false"/>
          </w:tcPr>
          <w:p>
            <w:pPr>
              <w:ind w:left="-142" w:right="-142"/>
              <w:jc w:val="center"/>
              <w:rPr>
                <w:sz w:val="20"/>
                <w:szCs w:val="20"/>
              </w:rPr>
            </w:pPr>
            <w:r>
              <w:rPr>
                <w:sz w:val="20"/>
                <w:szCs w:val="20"/>
              </w:rPr>
              <w:t xml:space="preserve">0,085</w:t>
            </w:r>
            <w:r>
              <w:rPr>
                <w:sz w:val="20"/>
                <w:szCs w:val="20"/>
              </w:rPr>
            </w:r>
            <w:r>
              <w:rPr>
                <w:sz w:val="20"/>
                <w:szCs w:val="20"/>
              </w:rPr>
            </w:r>
          </w:p>
        </w:tc>
        <w:tc>
          <w:tcPr>
            <w:tcW w:w="508" w:type="pct"/>
            <w:vAlign w:val="center"/>
            <w:vMerge w:val="restart"/>
            <w:textDirection w:val="lrTb"/>
            <w:noWrap w:val="false"/>
          </w:tcPr>
          <w:p>
            <w:pPr>
              <w:ind w:left="-142" w:right="-142"/>
              <w:jc w:val="center"/>
              <w:rPr>
                <w:sz w:val="20"/>
                <w:szCs w:val="20"/>
              </w:rPr>
            </w:pPr>
            <w:r>
              <w:rPr>
                <w:sz w:val="20"/>
                <w:szCs w:val="20"/>
              </w:rPr>
              <w:t xml:space="preserve">0,429</w:t>
            </w:r>
            <w:r>
              <w:rPr>
                <w:sz w:val="20"/>
                <w:szCs w:val="20"/>
              </w:rPr>
            </w:r>
            <w:r>
              <w:rPr>
                <w:sz w:val="20"/>
                <w:szCs w:val="20"/>
              </w:rPr>
            </w:r>
          </w:p>
        </w:tc>
        <w:tc>
          <w:tcPr>
            <w:tcW w:w="504" w:type="pct"/>
            <w:vAlign w:val="center"/>
            <w:vMerge w:val="restart"/>
            <w:textDirection w:val="lrTb"/>
            <w:noWrap w:val="false"/>
          </w:tcPr>
          <w:p>
            <w:pPr>
              <w:ind w:left="-142" w:right="-142"/>
              <w:jc w:val="center"/>
              <w:rPr>
                <w:sz w:val="20"/>
                <w:szCs w:val="20"/>
              </w:rPr>
            </w:pPr>
            <w:r>
              <w:rPr>
                <w:sz w:val="20"/>
                <w:szCs w:val="20"/>
              </w:rPr>
              <w:t xml:space="preserve">0,030</w:t>
            </w:r>
            <w:r>
              <w:rPr>
                <w:sz w:val="20"/>
                <w:szCs w:val="20"/>
              </w:rPr>
            </w:r>
            <w:r>
              <w:rPr>
                <w:sz w:val="20"/>
                <w:szCs w:val="20"/>
              </w:rPr>
            </w:r>
          </w:p>
        </w:tc>
      </w:tr>
      <w:tr>
        <w:tblPrEx/>
        <w:trPr>
          <w:cantSplit/>
          <w:trHeight w:val="255"/>
        </w:trPr>
        <w:tc>
          <w:tcPr>
            <w:tcW w:w="1213" w:type="pct"/>
            <w:vAlign w:val="bottom"/>
            <w:textDirection w:val="lrTb"/>
            <w:noWrap w:val="false"/>
          </w:tcPr>
          <w:p>
            <w:pPr>
              <w:jc w:val="center"/>
              <w:rPr>
                <w:color w:val="000000"/>
                <w:sz w:val="20"/>
                <w:szCs w:val="20"/>
              </w:rPr>
            </w:pPr>
            <w:r>
              <w:rPr>
                <w:sz w:val="20"/>
                <w:szCs w:val="20"/>
              </w:rPr>
              <w:t xml:space="preserve">Итого</w:t>
            </w:r>
            <w:r>
              <w:rPr>
                <w:color w:val="000000"/>
                <w:sz w:val="20"/>
                <w:szCs w:val="20"/>
              </w:rPr>
            </w:r>
            <w:r>
              <w:rPr>
                <w:color w:val="000000"/>
                <w:sz w:val="20"/>
                <w:szCs w:val="20"/>
              </w:rPr>
            </w:r>
          </w:p>
        </w:tc>
        <w:tc>
          <w:tcPr>
            <w:tcW w:w="503"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60" w:type="pct"/>
            <w:vAlign w:val="center"/>
            <w:textDirection w:val="lrTb"/>
            <w:noWrap w:val="false"/>
          </w:tcPr>
          <w:p>
            <w:pPr>
              <w:ind w:left="-142" w:right="-142"/>
              <w:jc w:val="center"/>
              <w:rPr>
                <w:sz w:val="20"/>
                <w:szCs w:val="20"/>
              </w:rPr>
            </w:pPr>
            <w:r>
              <w:rPr>
                <w:sz w:val="20"/>
                <w:szCs w:val="20"/>
              </w:rPr>
              <w:t xml:space="preserve">1 ед.</w:t>
            </w:r>
            <w:r>
              <w:rPr>
                <w:sz w:val="20"/>
                <w:szCs w:val="20"/>
              </w:rPr>
            </w:r>
            <w:r>
              <w:rPr>
                <w:sz w:val="20"/>
                <w:szCs w:val="20"/>
              </w:rPr>
            </w:r>
          </w:p>
        </w:tc>
        <w:tc>
          <w:tcPr>
            <w:tcW w:w="512"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91"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375"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34" w:type="pct"/>
            <w:vAlign w:val="center"/>
            <w:textDirection w:val="lrTb"/>
            <w:noWrap w:val="false"/>
          </w:tcPr>
          <w:p>
            <w:pPr>
              <w:ind w:left="-142" w:right="-142"/>
              <w:jc w:val="center"/>
              <w:rPr>
                <w:sz w:val="20"/>
                <w:szCs w:val="20"/>
              </w:rPr>
            </w:pPr>
            <w:r>
              <w:rPr>
                <w:sz w:val="20"/>
                <w:szCs w:val="20"/>
              </w:rPr>
              <w:t xml:space="preserve">0,085</w:t>
            </w:r>
            <w:r>
              <w:rPr>
                <w:sz w:val="20"/>
                <w:szCs w:val="20"/>
              </w:rPr>
            </w:r>
            <w:r>
              <w:rPr>
                <w:sz w:val="20"/>
                <w:szCs w:val="20"/>
              </w:rPr>
            </w:r>
          </w:p>
        </w:tc>
        <w:tc>
          <w:tcPr>
            <w:tcW w:w="508"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c>
          <w:tcPr>
            <w:tcW w:w="504"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r>
      <w:tr>
        <w:tblPrEx/>
        <w:trPr>
          <w:cantSplit/>
          <w:trHeight w:val="255"/>
        </w:trPr>
        <w:tc>
          <w:tcPr>
            <w:tcW w:w="1213" w:type="pct"/>
            <w:vAlign w:val="bottom"/>
            <w:textDirection w:val="lrTb"/>
            <w:noWrap w:val="false"/>
          </w:tcPr>
          <w:p>
            <w:pPr>
              <w:jc w:val="center"/>
              <w:rPr>
                <w:color w:val="000000"/>
                <w:sz w:val="20"/>
                <w:szCs w:val="20"/>
              </w:rPr>
            </w:pPr>
            <w:r>
              <w:rPr>
                <w:color w:val="000000"/>
                <w:sz w:val="20"/>
                <w:szCs w:val="20"/>
              </w:rPr>
              <w:t xml:space="preserve">Котельная с.М.Белое, ул.Школьная, 2Б</w:t>
            </w:r>
            <w:r>
              <w:rPr>
                <w:color w:val="000000"/>
                <w:sz w:val="20"/>
                <w:szCs w:val="20"/>
              </w:rPr>
            </w:r>
            <w:r>
              <w:rPr>
                <w:color w:val="000000"/>
                <w:sz w:val="20"/>
                <w:szCs w:val="20"/>
              </w:rPr>
            </w:r>
          </w:p>
        </w:tc>
        <w:tc>
          <w:tcPr>
            <w:tcW w:w="503" w:type="pct"/>
            <w:vAlign w:val="center"/>
            <w:textDirection w:val="lrTb"/>
            <w:noWrap w:val="false"/>
          </w:tcPr>
          <w:p>
            <w:pPr>
              <w:ind w:left="-142" w:right="-142"/>
              <w:jc w:val="center"/>
              <w:rPr>
                <w:sz w:val="20"/>
                <w:szCs w:val="20"/>
              </w:rPr>
            </w:pPr>
            <w:r>
              <w:rPr>
                <w:sz w:val="20"/>
                <w:szCs w:val="20"/>
              </w:rPr>
              <w:t xml:space="preserve">2018</w:t>
            </w:r>
            <w:r>
              <w:rPr>
                <w:sz w:val="20"/>
                <w:szCs w:val="20"/>
              </w:rPr>
            </w:r>
            <w:r>
              <w:rPr>
                <w:sz w:val="20"/>
                <w:szCs w:val="20"/>
              </w:rPr>
            </w:r>
          </w:p>
        </w:tc>
        <w:tc>
          <w:tcPr>
            <w:tcW w:w="460" w:type="pct"/>
            <w:vAlign w:val="center"/>
            <w:textDirection w:val="lrTb"/>
            <w:noWrap w:val="false"/>
          </w:tcPr>
          <w:p>
            <w:pPr>
              <w:ind w:left="-142" w:right="-142"/>
              <w:jc w:val="center"/>
              <w:rPr>
                <w:sz w:val="20"/>
                <w:szCs w:val="20"/>
              </w:rPr>
            </w:pPr>
            <w:r>
              <w:rPr>
                <w:sz w:val="20"/>
                <w:szCs w:val="20"/>
              </w:rPr>
              <w:t xml:space="preserve">Roteks-200</w:t>
            </w:r>
            <w:r>
              <w:rPr>
                <w:sz w:val="20"/>
                <w:szCs w:val="20"/>
              </w:rPr>
            </w:r>
            <w:r>
              <w:rPr>
                <w:sz w:val="20"/>
                <w:szCs w:val="20"/>
              </w:rPr>
            </w:r>
          </w:p>
        </w:tc>
        <w:tc>
          <w:tcPr>
            <w:tcW w:w="512" w:type="pct"/>
            <w:vAlign w:val="center"/>
            <w:textDirection w:val="lrTb"/>
            <w:noWrap w:val="false"/>
          </w:tcPr>
          <w:p>
            <w:pPr>
              <w:ind w:left="-142" w:right="-142"/>
              <w:jc w:val="center"/>
              <w:rPr>
                <w:sz w:val="20"/>
                <w:szCs w:val="20"/>
              </w:rPr>
            </w:pPr>
            <w:r>
              <w:rPr>
                <w:sz w:val="20"/>
                <w:szCs w:val="20"/>
              </w:rPr>
              <w:t xml:space="preserve">2018</w:t>
            </w:r>
            <w:r>
              <w:rPr>
                <w:sz w:val="20"/>
                <w:szCs w:val="20"/>
              </w:rPr>
            </w:r>
            <w:r>
              <w:rPr>
                <w:sz w:val="20"/>
                <w:szCs w:val="20"/>
              </w:rPr>
            </w:r>
          </w:p>
        </w:tc>
        <w:tc>
          <w:tcPr>
            <w:tcW w:w="491"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375"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434" w:type="pct"/>
            <w:vAlign w:val="center"/>
            <w:textDirection w:val="lrTb"/>
            <w:noWrap w:val="false"/>
          </w:tcPr>
          <w:p>
            <w:pPr>
              <w:ind w:left="-142" w:right="-142"/>
              <w:jc w:val="center"/>
              <w:rPr>
                <w:sz w:val="20"/>
                <w:szCs w:val="20"/>
              </w:rPr>
            </w:pPr>
            <w:r>
              <w:rPr>
                <w:sz w:val="20"/>
                <w:szCs w:val="20"/>
              </w:rPr>
              <w:t xml:space="preserve">0,171</w:t>
            </w:r>
            <w:r>
              <w:rPr>
                <w:sz w:val="20"/>
                <w:szCs w:val="20"/>
              </w:rPr>
            </w:r>
            <w:r>
              <w:rPr>
                <w:sz w:val="20"/>
                <w:szCs w:val="20"/>
              </w:rPr>
            </w:r>
          </w:p>
        </w:tc>
        <w:tc>
          <w:tcPr>
            <w:tcW w:w="508" w:type="pct"/>
            <w:vAlign w:val="center"/>
            <w:vMerge w:val="restart"/>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504" w:type="pct"/>
            <w:vAlign w:val="center"/>
            <w:vMerge w:val="restart"/>
            <w:textDirection w:val="lrTb"/>
            <w:noWrap w:val="false"/>
          </w:tcPr>
          <w:p>
            <w:pPr>
              <w:ind w:left="-142" w:right="-142"/>
              <w:jc w:val="center"/>
              <w:rPr>
                <w:sz w:val="20"/>
                <w:szCs w:val="20"/>
              </w:rPr>
            </w:pPr>
            <w:r>
              <w:rPr>
                <w:sz w:val="20"/>
                <w:szCs w:val="20"/>
              </w:rPr>
              <w:t xml:space="preserve">0,096</w:t>
            </w:r>
            <w:r>
              <w:rPr>
                <w:sz w:val="20"/>
                <w:szCs w:val="20"/>
              </w:rPr>
            </w:r>
            <w:r>
              <w:rPr>
                <w:sz w:val="20"/>
                <w:szCs w:val="20"/>
              </w:rPr>
            </w:r>
          </w:p>
        </w:tc>
      </w:tr>
      <w:tr>
        <w:tblPrEx/>
        <w:trPr>
          <w:cantSplit/>
          <w:trHeight w:val="255"/>
        </w:trPr>
        <w:tc>
          <w:tcPr>
            <w:tcW w:w="1213" w:type="pct"/>
            <w:vAlign w:val="bottom"/>
            <w:textDirection w:val="lrTb"/>
            <w:noWrap w:val="false"/>
          </w:tcPr>
          <w:p>
            <w:pPr>
              <w:jc w:val="center"/>
              <w:rPr>
                <w:color w:val="000000"/>
                <w:sz w:val="20"/>
                <w:szCs w:val="20"/>
              </w:rPr>
            </w:pPr>
            <w:r>
              <w:rPr>
                <w:sz w:val="20"/>
                <w:szCs w:val="20"/>
              </w:rPr>
              <w:t xml:space="preserve">Итого</w:t>
            </w:r>
            <w:r>
              <w:rPr>
                <w:color w:val="000000"/>
                <w:sz w:val="20"/>
                <w:szCs w:val="20"/>
              </w:rPr>
            </w:r>
            <w:r>
              <w:rPr>
                <w:color w:val="000000"/>
                <w:sz w:val="20"/>
                <w:szCs w:val="20"/>
              </w:rPr>
            </w:r>
          </w:p>
        </w:tc>
        <w:tc>
          <w:tcPr>
            <w:tcW w:w="503"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60" w:type="pct"/>
            <w:vAlign w:val="center"/>
            <w:textDirection w:val="lrTb"/>
            <w:noWrap w:val="false"/>
          </w:tcPr>
          <w:p>
            <w:pPr>
              <w:ind w:left="-142" w:right="-142"/>
              <w:jc w:val="center"/>
              <w:rPr>
                <w:sz w:val="20"/>
                <w:szCs w:val="20"/>
              </w:rPr>
            </w:pPr>
            <w:r>
              <w:rPr>
                <w:sz w:val="20"/>
                <w:szCs w:val="20"/>
              </w:rPr>
              <w:t xml:space="preserve">1 ед.</w:t>
            </w:r>
            <w:r>
              <w:rPr>
                <w:sz w:val="20"/>
                <w:szCs w:val="20"/>
              </w:rPr>
            </w:r>
            <w:r>
              <w:rPr>
                <w:sz w:val="20"/>
                <w:szCs w:val="20"/>
              </w:rPr>
            </w:r>
          </w:p>
        </w:tc>
        <w:tc>
          <w:tcPr>
            <w:tcW w:w="512"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91"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375"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34" w:type="pct"/>
            <w:vAlign w:val="center"/>
            <w:textDirection w:val="lrTb"/>
            <w:noWrap w:val="false"/>
          </w:tcPr>
          <w:p>
            <w:pPr>
              <w:ind w:left="-142" w:right="-142"/>
              <w:jc w:val="center"/>
              <w:rPr>
                <w:sz w:val="20"/>
                <w:szCs w:val="20"/>
              </w:rPr>
            </w:pPr>
            <w:r>
              <w:rPr>
                <w:sz w:val="20"/>
                <w:szCs w:val="20"/>
              </w:rPr>
              <w:t xml:space="preserve">0,171</w:t>
            </w:r>
            <w:r>
              <w:rPr>
                <w:sz w:val="20"/>
                <w:szCs w:val="20"/>
              </w:rPr>
            </w:r>
            <w:r>
              <w:rPr>
                <w:sz w:val="20"/>
                <w:szCs w:val="20"/>
              </w:rPr>
            </w:r>
          </w:p>
        </w:tc>
        <w:tc>
          <w:tcPr>
            <w:tcW w:w="508"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c>
          <w:tcPr>
            <w:tcW w:w="504"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r>
      <w:tr>
        <w:tblPrEx/>
        <w:trPr>
          <w:cantSplit/>
          <w:trHeight w:val="255"/>
        </w:trPr>
        <w:tc>
          <w:tcPr>
            <w:tcW w:w="1213" w:type="pct"/>
            <w:vAlign w:val="center"/>
            <w:textDirection w:val="lrTb"/>
            <w:noWrap w:val="false"/>
          </w:tcPr>
          <w:p>
            <w:pPr>
              <w:jc w:val="center"/>
              <w:rPr>
                <w:color w:val="000000"/>
                <w:sz w:val="20"/>
                <w:szCs w:val="20"/>
              </w:rPr>
            </w:pPr>
            <w:r>
              <w:rPr>
                <w:color w:val="000000"/>
                <w:sz w:val="20"/>
                <w:szCs w:val="20"/>
              </w:rPr>
              <w:t xml:space="preserve">Котельная д. Фадюшино, ул. Центральная, 50Б</w:t>
            </w:r>
            <w:r>
              <w:rPr>
                <w:color w:val="000000"/>
                <w:sz w:val="20"/>
                <w:szCs w:val="20"/>
              </w:rPr>
            </w:r>
            <w:r>
              <w:rPr>
                <w:color w:val="000000"/>
                <w:sz w:val="20"/>
                <w:szCs w:val="20"/>
              </w:rPr>
            </w:r>
          </w:p>
        </w:tc>
        <w:tc>
          <w:tcPr>
            <w:tcW w:w="503" w:type="pct"/>
            <w:vAlign w:val="center"/>
            <w:textDirection w:val="lrTb"/>
            <w:noWrap w:val="false"/>
          </w:tcPr>
          <w:p>
            <w:pPr>
              <w:ind w:left="-142" w:right="-142"/>
              <w:jc w:val="center"/>
              <w:rPr>
                <w:sz w:val="20"/>
                <w:szCs w:val="20"/>
              </w:rPr>
            </w:pPr>
            <w:r>
              <w:rPr>
                <w:sz w:val="20"/>
                <w:szCs w:val="20"/>
              </w:rPr>
              <w:t xml:space="preserve">2016</w:t>
            </w:r>
            <w:r>
              <w:rPr>
                <w:sz w:val="20"/>
                <w:szCs w:val="20"/>
              </w:rPr>
            </w:r>
            <w:r>
              <w:rPr>
                <w:sz w:val="20"/>
                <w:szCs w:val="20"/>
              </w:rPr>
            </w:r>
          </w:p>
        </w:tc>
        <w:tc>
          <w:tcPr>
            <w:tcW w:w="460" w:type="pct"/>
            <w:vAlign w:val="center"/>
            <w:textDirection w:val="lrTb"/>
            <w:noWrap w:val="false"/>
          </w:tcPr>
          <w:p>
            <w:pPr>
              <w:ind w:left="-142" w:right="-142"/>
              <w:jc w:val="center"/>
              <w:rPr>
                <w:sz w:val="20"/>
                <w:szCs w:val="20"/>
              </w:rPr>
            </w:pPr>
            <w:r>
              <w:rPr>
                <w:sz w:val="20"/>
                <w:szCs w:val="20"/>
              </w:rPr>
              <w:t xml:space="preserve">FACI 51</w:t>
            </w:r>
            <w:r>
              <w:rPr>
                <w:sz w:val="20"/>
                <w:szCs w:val="20"/>
              </w:rPr>
            </w:r>
            <w:r>
              <w:rPr>
                <w:sz w:val="20"/>
                <w:szCs w:val="20"/>
              </w:rPr>
            </w:r>
          </w:p>
        </w:tc>
        <w:tc>
          <w:tcPr>
            <w:tcW w:w="512" w:type="pct"/>
            <w:vAlign w:val="center"/>
            <w:textDirection w:val="lrTb"/>
            <w:noWrap w:val="false"/>
          </w:tcPr>
          <w:p>
            <w:pPr>
              <w:ind w:left="-142" w:right="-142"/>
              <w:jc w:val="center"/>
              <w:rPr>
                <w:sz w:val="20"/>
                <w:szCs w:val="20"/>
              </w:rPr>
            </w:pPr>
            <w:r>
              <w:rPr>
                <w:sz w:val="20"/>
                <w:szCs w:val="20"/>
              </w:rPr>
              <w:t xml:space="preserve">2016</w:t>
            </w:r>
            <w:r>
              <w:rPr>
                <w:sz w:val="20"/>
                <w:szCs w:val="20"/>
              </w:rPr>
            </w:r>
            <w:r>
              <w:rPr>
                <w:sz w:val="20"/>
                <w:szCs w:val="20"/>
              </w:rPr>
            </w:r>
          </w:p>
        </w:tc>
        <w:tc>
          <w:tcPr>
            <w:tcW w:w="491"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375"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434" w:type="pct"/>
            <w:vAlign w:val="center"/>
            <w:textDirection w:val="lrTb"/>
            <w:noWrap w:val="false"/>
          </w:tcPr>
          <w:p>
            <w:pPr>
              <w:ind w:left="-142" w:right="-142"/>
              <w:jc w:val="center"/>
              <w:rPr>
                <w:sz w:val="20"/>
                <w:szCs w:val="20"/>
              </w:rPr>
            </w:pPr>
            <w:r>
              <w:rPr>
                <w:sz w:val="20"/>
                <w:szCs w:val="20"/>
              </w:rPr>
              <w:t xml:space="preserve">0,</w:t>
            </w:r>
            <w:r>
              <w:rPr>
                <w:sz w:val="20"/>
                <w:szCs w:val="20"/>
              </w:rPr>
              <w:t xml:space="preserve">087</w:t>
            </w:r>
            <w:r>
              <w:rPr>
                <w:sz w:val="20"/>
                <w:szCs w:val="20"/>
              </w:rPr>
            </w:r>
            <w:r>
              <w:rPr>
                <w:sz w:val="20"/>
                <w:szCs w:val="20"/>
              </w:rPr>
            </w:r>
          </w:p>
        </w:tc>
        <w:tc>
          <w:tcPr>
            <w:tcW w:w="508" w:type="pct"/>
            <w:vAlign w:val="center"/>
            <w:vMerge w:val="restart"/>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504" w:type="pct"/>
            <w:vAlign w:val="center"/>
            <w:vMerge w:val="restart"/>
            <w:textDirection w:val="lrTb"/>
            <w:noWrap w:val="false"/>
          </w:tcPr>
          <w:p>
            <w:pPr>
              <w:ind w:left="-142" w:right="-142"/>
              <w:jc w:val="center"/>
              <w:rPr>
                <w:sz w:val="20"/>
                <w:szCs w:val="20"/>
              </w:rPr>
            </w:pPr>
            <w:r>
              <w:rPr>
                <w:sz w:val="20"/>
                <w:szCs w:val="20"/>
              </w:rPr>
              <w:t xml:space="preserve">0,33</w:t>
            </w:r>
            <w:r>
              <w:rPr>
                <w:sz w:val="20"/>
                <w:szCs w:val="20"/>
              </w:rPr>
            </w:r>
            <w:r>
              <w:rPr>
                <w:sz w:val="20"/>
                <w:szCs w:val="20"/>
              </w:rPr>
            </w:r>
          </w:p>
        </w:tc>
      </w:tr>
      <w:tr>
        <w:tblPrEx/>
        <w:trPr>
          <w:cantSplit/>
          <w:trHeight w:val="255"/>
        </w:trPr>
        <w:tc>
          <w:tcPr>
            <w:tcW w:w="1213" w:type="pct"/>
            <w:vAlign w:val="center"/>
            <w:textDirection w:val="lrTb"/>
            <w:noWrap w:val="false"/>
          </w:tcPr>
          <w:p>
            <w:pPr>
              <w:jc w:val="center"/>
              <w:rPr>
                <w:color w:val="000000"/>
                <w:sz w:val="20"/>
                <w:szCs w:val="20"/>
              </w:rPr>
            </w:pPr>
            <w:r>
              <w:rPr>
                <w:sz w:val="20"/>
                <w:szCs w:val="20"/>
              </w:rPr>
              <w:t xml:space="preserve">Итого</w:t>
            </w:r>
            <w:r>
              <w:rPr>
                <w:color w:val="000000"/>
                <w:sz w:val="20"/>
                <w:szCs w:val="20"/>
              </w:rPr>
            </w:r>
            <w:r>
              <w:rPr>
                <w:color w:val="000000"/>
                <w:sz w:val="20"/>
                <w:szCs w:val="20"/>
              </w:rPr>
            </w:r>
          </w:p>
        </w:tc>
        <w:tc>
          <w:tcPr>
            <w:tcW w:w="503"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60" w:type="pct"/>
            <w:vAlign w:val="center"/>
            <w:textDirection w:val="lrTb"/>
            <w:noWrap w:val="false"/>
          </w:tcPr>
          <w:p>
            <w:pPr>
              <w:ind w:left="-142" w:right="-142"/>
              <w:jc w:val="center"/>
              <w:rPr>
                <w:sz w:val="20"/>
                <w:szCs w:val="20"/>
              </w:rPr>
            </w:pPr>
            <w:r>
              <w:rPr>
                <w:sz w:val="20"/>
                <w:szCs w:val="20"/>
              </w:rPr>
              <w:t xml:space="preserve">1 ед.</w:t>
            </w:r>
            <w:r>
              <w:rPr>
                <w:sz w:val="20"/>
                <w:szCs w:val="20"/>
              </w:rPr>
            </w:r>
            <w:r>
              <w:rPr>
                <w:sz w:val="20"/>
                <w:szCs w:val="20"/>
              </w:rPr>
            </w:r>
          </w:p>
        </w:tc>
        <w:tc>
          <w:tcPr>
            <w:tcW w:w="512"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91"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375"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34" w:type="pct"/>
            <w:vAlign w:val="center"/>
            <w:textDirection w:val="lrTb"/>
            <w:noWrap w:val="false"/>
          </w:tcPr>
          <w:p>
            <w:pPr>
              <w:ind w:left="-142" w:right="-142"/>
              <w:jc w:val="center"/>
              <w:rPr>
                <w:sz w:val="20"/>
                <w:szCs w:val="20"/>
              </w:rPr>
            </w:pPr>
            <w:r>
              <w:rPr>
                <w:sz w:val="20"/>
                <w:szCs w:val="20"/>
              </w:rPr>
              <w:t xml:space="preserve">0,</w:t>
            </w:r>
            <w:r>
              <w:rPr>
                <w:sz w:val="20"/>
                <w:szCs w:val="20"/>
              </w:rPr>
              <w:t xml:space="preserve">087</w:t>
            </w:r>
            <w:r>
              <w:rPr>
                <w:sz w:val="20"/>
                <w:szCs w:val="20"/>
              </w:rPr>
            </w:r>
            <w:r>
              <w:rPr>
                <w:sz w:val="20"/>
                <w:szCs w:val="20"/>
              </w:rPr>
            </w:r>
          </w:p>
        </w:tc>
        <w:tc>
          <w:tcPr>
            <w:tcW w:w="508"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c>
          <w:tcPr>
            <w:tcW w:w="504"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r>
      <w:tr>
        <w:tblPrEx/>
        <w:trPr>
          <w:cantSplit/>
          <w:trHeight w:val="255"/>
        </w:trPr>
        <w:tc>
          <w:tcPr>
            <w:tcW w:w="1213" w:type="pct"/>
            <w:vAlign w:val="bottom"/>
            <w:textDirection w:val="lrTb"/>
            <w:noWrap w:val="false"/>
          </w:tcPr>
          <w:p>
            <w:pPr>
              <w:jc w:val="center"/>
              <w:rPr>
                <w:color w:val="000000"/>
                <w:sz w:val="20"/>
                <w:szCs w:val="20"/>
              </w:rPr>
            </w:pPr>
            <w:r>
              <w:rPr>
                <w:color w:val="000000"/>
                <w:sz w:val="20"/>
                <w:szCs w:val="20"/>
              </w:rPr>
              <w:t xml:space="preserve">Котельная с. Скоблино, пер. Октябрьский 11</w:t>
            </w:r>
            <w:r>
              <w:rPr>
                <w:color w:val="000000"/>
                <w:sz w:val="20"/>
                <w:szCs w:val="20"/>
              </w:rPr>
            </w:r>
            <w:r>
              <w:rPr>
                <w:color w:val="000000"/>
                <w:sz w:val="20"/>
                <w:szCs w:val="20"/>
              </w:rPr>
            </w:r>
          </w:p>
        </w:tc>
        <w:tc>
          <w:tcPr>
            <w:tcW w:w="503" w:type="pct"/>
            <w:vAlign w:val="center"/>
            <w:textDirection w:val="lrTb"/>
            <w:noWrap w:val="false"/>
          </w:tcPr>
          <w:p>
            <w:pPr>
              <w:ind w:left="-142" w:right="-142"/>
              <w:jc w:val="center"/>
              <w:rPr>
                <w:sz w:val="20"/>
                <w:szCs w:val="20"/>
              </w:rPr>
            </w:pPr>
            <w:r>
              <w:rPr>
                <w:sz w:val="20"/>
                <w:szCs w:val="20"/>
              </w:rPr>
              <w:t xml:space="preserve">2017</w:t>
            </w:r>
            <w:r>
              <w:rPr>
                <w:sz w:val="20"/>
                <w:szCs w:val="20"/>
              </w:rPr>
            </w:r>
            <w:r>
              <w:rPr>
                <w:sz w:val="20"/>
                <w:szCs w:val="20"/>
              </w:rPr>
            </w:r>
          </w:p>
        </w:tc>
        <w:tc>
          <w:tcPr>
            <w:tcW w:w="460" w:type="pct"/>
            <w:vAlign w:val="center"/>
            <w:textDirection w:val="lrTb"/>
            <w:noWrap w:val="false"/>
          </w:tcPr>
          <w:p>
            <w:pPr>
              <w:ind w:left="-142" w:right="-142"/>
              <w:jc w:val="center"/>
              <w:rPr>
                <w:sz w:val="20"/>
                <w:szCs w:val="20"/>
              </w:rPr>
            </w:pPr>
            <w:r>
              <w:rPr>
                <w:sz w:val="20"/>
                <w:szCs w:val="20"/>
              </w:rPr>
              <w:t xml:space="preserve">Roteks-300</w:t>
            </w:r>
            <w:r>
              <w:rPr>
                <w:sz w:val="20"/>
                <w:szCs w:val="20"/>
              </w:rPr>
            </w:r>
            <w:r>
              <w:rPr>
                <w:sz w:val="20"/>
                <w:szCs w:val="20"/>
              </w:rPr>
            </w:r>
          </w:p>
        </w:tc>
        <w:tc>
          <w:tcPr>
            <w:tcW w:w="512" w:type="pct"/>
            <w:vAlign w:val="center"/>
            <w:textDirection w:val="lrTb"/>
            <w:noWrap w:val="false"/>
          </w:tcPr>
          <w:p>
            <w:pPr>
              <w:ind w:left="-142" w:right="-142"/>
              <w:jc w:val="center"/>
              <w:rPr>
                <w:sz w:val="20"/>
                <w:szCs w:val="20"/>
              </w:rPr>
            </w:pPr>
            <w:r>
              <w:rPr>
                <w:sz w:val="20"/>
                <w:szCs w:val="20"/>
              </w:rPr>
              <w:t xml:space="preserve">2017</w:t>
            </w:r>
            <w:r>
              <w:rPr>
                <w:sz w:val="20"/>
                <w:szCs w:val="20"/>
              </w:rPr>
            </w:r>
            <w:r>
              <w:rPr>
                <w:sz w:val="20"/>
                <w:szCs w:val="20"/>
              </w:rPr>
            </w:r>
          </w:p>
        </w:tc>
        <w:tc>
          <w:tcPr>
            <w:tcW w:w="491"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375"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434" w:type="pct"/>
            <w:vAlign w:val="center"/>
            <w:textDirection w:val="lrTb"/>
            <w:noWrap w:val="false"/>
          </w:tcPr>
          <w:p>
            <w:pPr>
              <w:ind w:left="-142" w:right="-142"/>
              <w:jc w:val="center"/>
              <w:rPr>
                <w:sz w:val="20"/>
                <w:szCs w:val="20"/>
              </w:rPr>
            </w:pPr>
            <w:r>
              <w:rPr>
                <w:sz w:val="20"/>
                <w:szCs w:val="20"/>
              </w:rPr>
              <w:t xml:space="preserve">0,257</w:t>
            </w:r>
            <w:r>
              <w:rPr>
                <w:sz w:val="20"/>
                <w:szCs w:val="20"/>
              </w:rPr>
            </w:r>
            <w:r>
              <w:rPr>
                <w:sz w:val="20"/>
                <w:szCs w:val="20"/>
              </w:rPr>
            </w:r>
          </w:p>
        </w:tc>
        <w:tc>
          <w:tcPr>
            <w:tcW w:w="508" w:type="pct"/>
            <w:vAlign w:val="center"/>
            <w:vMerge w:val="restart"/>
            <w:textDirection w:val="lrTb"/>
            <w:noWrap w:val="false"/>
          </w:tcPr>
          <w:p>
            <w:pPr>
              <w:ind w:left="-142" w:right="-142"/>
              <w:jc w:val="center"/>
              <w:rPr>
                <w:sz w:val="20"/>
                <w:szCs w:val="20"/>
              </w:rPr>
            </w:pPr>
            <w:r>
              <w:rPr>
                <w:sz w:val="20"/>
                <w:szCs w:val="20"/>
              </w:rPr>
              <w:t xml:space="preserve">0,233</w:t>
            </w:r>
            <w:r>
              <w:rPr>
                <w:sz w:val="20"/>
                <w:szCs w:val="20"/>
              </w:rPr>
            </w:r>
            <w:r>
              <w:rPr>
                <w:sz w:val="20"/>
                <w:szCs w:val="20"/>
              </w:rPr>
            </w:r>
          </w:p>
        </w:tc>
        <w:tc>
          <w:tcPr>
            <w:tcW w:w="504" w:type="pct"/>
            <w:vAlign w:val="center"/>
            <w:vMerge w:val="restart"/>
            <w:textDirection w:val="lrTb"/>
            <w:noWrap w:val="false"/>
          </w:tcPr>
          <w:p>
            <w:pPr>
              <w:ind w:left="-142" w:right="-142"/>
              <w:jc w:val="center"/>
              <w:rPr>
                <w:sz w:val="20"/>
                <w:szCs w:val="20"/>
              </w:rPr>
            </w:pPr>
            <w:r>
              <w:rPr>
                <w:sz w:val="20"/>
                <w:szCs w:val="20"/>
              </w:rPr>
              <w:t xml:space="preserve">1,066</w:t>
            </w:r>
            <w:r>
              <w:rPr>
                <w:sz w:val="20"/>
                <w:szCs w:val="20"/>
              </w:rPr>
            </w:r>
            <w:r>
              <w:rPr>
                <w:sz w:val="20"/>
                <w:szCs w:val="20"/>
              </w:rPr>
            </w:r>
          </w:p>
        </w:tc>
      </w:tr>
      <w:tr>
        <w:tblPrEx/>
        <w:trPr>
          <w:cantSplit/>
          <w:trHeight w:val="255"/>
        </w:trPr>
        <w:tc>
          <w:tcPr>
            <w:tcW w:w="1213" w:type="pct"/>
            <w:vAlign w:val="bottom"/>
            <w:textDirection w:val="lrTb"/>
            <w:noWrap w:val="false"/>
          </w:tcPr>
          <w:p>
            <w:pPr>
              <w:jc w:val="center"/>
              <w:rPr>
                <w:color w:val="000000"/>
                <w:sz w:val="20"/>
                <w:szCs w:val="20"/>
              </w:rPr>
            </w:pPr>
            <w:r>
              <w:rPr>
                <w:sz w:val="20"/>
                <w:szCs w:val="20"/>
              </w:rPr>
              <w:t xml:space="preserve">Итого</w:t>
            </w:r>
            <w:r>
              <w:rPr>
                <w:color w:val="000000"/>
                <w:sz w:val="20"/>
                <w:szCs w:val="20"/>
              </w:rPr>
            </w:r>
            <w:r>
              <w:rPr>
                <w:color w:val="000000"/>
                <w:sz w:val="20"/>
                <w:szCs w:val="20"/>
              </w:rPr>
            </w:r>
          </w:p>
        </w:tc>
        <w:tc>
          <w:tcPr>
            <w:tcW w:w="503"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60" w:type="pct"/>
            <w:vAlign w:val="center"/>
            <w:textDirection w:val="lrTb"/>
            <w:noWrap w:val="false"/>
          </w:tcPr>
          <w:p>
            <w:pPr>
              <w:ind w:left="-142" w:right="-142"/>
              <w:jc w:val="center"/>
              <w:rPr>
                <w:sz w:val="20"/>
                <w:szCs w:val="20"/>
              </w:rPr>
            </w:pPr>
            <w:r>
              <w:rPr>
                <w:sz w:val="20"/>
                <w:szCs w:val="20"/>
              </w:rPr>
              <w:t xml:space="preserve">1 ед.</w:t>
            </w:r>
            <w:r>
              <w:rPr>
                <w:sz w:val="20"/>
                <w:szCs w:val="20"/>
              </w:rPr>
            </w:r>
            <w:r>
              <w:rPr>
                <w:sz w:val="20"/>
                <w:szCs w:val="20"/>
              </w:rPr>
            </w:r>
          </w:p>
        </w:tc>
        <w:tc>
          <w:tcPr>
            <w:tcW w:w="512"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91"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375"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34" w:type="pct"/>
            <w:vAlign w:val="center"/>
            <w:textDirection w:val="lrTb"/>
            <w:noWrap w:val="false"/>
          </w:tcPr>
          <w:p>
            <w:pPr>
              <w:ind w:left="-142" w:right="-142"/>
              <w:jc w:val="center"/>
              <w:rPr>
                <w:sz w:val="20"/>
                <w:szCs w:val="20"/>
              </w:rPr>
            </w:pPr>
            <w:r>
              <w:rPr>
                <w:sz w:val="20"/>
                <w:szCs w:val="20"/>
              </w:rPr>
              <w:t xml:space="preserve">0,257</w:t>
            </w:r>
            <w:r>
              <w:rPr>
                <w:sz w:val="20"/>
                <w:szCs w:val="20"/>
              </w:rPr>
            </w:r>
            <w:r>
              <w:rPr>
                <w:sz w:val="20"/>
                <w:szCs w:val="20"/>
              </w:rPr>
            </w:r>
          </w:p>
        </w:tc>
        <w:tc>
          <w:tcPr>
            <w:tcW w:w="508"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c>
          <w:tcPr>
            <w:tcW w:w="504" w:type="pct"/>
            <w:vAlign w:val="center"/>
            <w:vMerge w:val="continue"/>
            <w:textDirection w:val="lrTb"/>
            <w:noWrap w:val="false"/>
          </w:tcPr>
          <w:p>
            <w:pPr>
              <w:ind w:left="-142" w:right="-142"/>
              <w:jc w:val="center"/>
              <w:rPr>
                <w:sz w:val="20"/>
                <w:szCs w:val="20"/>
              </w:rPr>
            </w:pPr>
            <w:r>
              <w:rPr>
                <w:sz w:val="20"/>
                <w:szCs w:val="20"/>
              </w:rPr>
            </w:r>
            <w:r>
              <w:rPr>
                <w:sz w:val="20"/>
                <w:szCs w:val="20"/>
              </w:rPr>
            </w:r>
            <w:r>
              <w:rPr>
                <w:sz w:val="20"/>
                <w:szCs w:val="20"/>
              </w:rPr>
            </w:r>
          </w:p>
        </w:tc>
      </w:tr>
      <w:tr>
        <w:tblPrEx/>
        <w:trPr>
          <w:cantSplit/>
          <w:trHeight w:val="255"/>
        </w:trPr>
        <w:tc>
          <w:tcPr>
            <w:tcW w:w="1213" w:type="pct"/>
            <w:vAlign w:val="bottom"/>
            <w:textDirection w:val="lrTb"/>
            <w:noWrap w:val="false"/>
          </w:tcPr>
          <w:p>
            <w:pPr>
              <w:jc w:val="center"/>
              <w:rPr>
                <w:rFonts w:ascii="Liberation Serif" w:hAnsi="Liberation Serif" w:cs="Calibri"/>
                <w:color w:val="000000"/>
                <w:sz w:val="20"/>
                <w:szCs w:val="20"/>
              </w:rPr>
            </w:pPr>
            <w:r>
              <w:rPr>
                <w:color w:val="000000"/>
                <w:sz w:val="20"/>
                <w:szCs w:val="20"/>
              </w:rPr>
              <w:t xml:space="preserve">Котельная </w:t>
            </w:r>
            <w:r>
              <w:rPr>
                <w:rFonts w:ascii="Liberation Serif" w:hAnsi="Liberation Serif" w:cs="Calibri"/>
                <w:color w:val="000000"/>
                <w:sz w:val="20"/>
                <w:szCs w:val="20"/>
              </w:rPr>
              <w:t xml:space="preserve">п. Лесные Горки</w:t>
            </w:r>
            <w:r>
              <w:rPr>
                <w:rFonts w:ascii="Liberation Serif" w:hAnsi="Liberation Serif" w:cs="Calibri"/>
                <w:color w:val="000000"/>
                <w:sz w:val="20"/>
                <w:szCs w:val="20"/>
              </w:rPr>
            </w:r>
            <w:r>
              <w:rPr>
                <w:rFonts w:ascii="Liberation Serif" w:hAnsi="Liberation Serif" w:cs="Calibri"/>
                <w:color w:val="000000"/>
                <w:sz w:val="20"/>
                <w:szCs w:val="20"/>
              </w:rPr>
            </w:r>
          </w:p>
        </w:tc>
        <w:tc>
          <w:tcPr>
            <w:tcW w:w="503"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460"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512"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491"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375"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434"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508"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504" w:type="pct"/>
            <w:vAlign w:val="center"/>
            <w:textDirection w:val="lrTb"/>
            <w:noWrap w:val="false"/>
          </w:tcPr>
          <w:p>
            <w:pPr>
              <w:ind w:left="-142" w:right="-142"/>
              <w:jc w:val="center"/>
              <w:rPr>
                <w:sz w:val="20"/>
                <w:szCs w:val="20"/>
              </w:rPr>
            </w:pPr>
            <w:r>
              <w:rPr>
                <w:sz w:val="20"/>
                <w:szCs w:val="20"/>
              </w:rPr>
              <w:t xml:space="preserve">1,230</w:t>
            </w:r>
            <w:r>
              <w:rPr>
                <w:sz w:val="20"/>
                <w:szCs w:val="20"/>
              </w:rPr>
            </w:r>
            <w:r>
              <w:rPr>
                <w:sz w:val="20"/>
                <w:szCs w:val="20"/>
              </w:rPr>
            </w:r>
          </w:p>
        </w:tc>
      </w:tr>
      <w:tr>
        <w:tblPrEx/>
        <w:trPr>
          <w:cantSplit/>
          <w:trHeight w:val="255"/>
        </w:trPr>
        <w:tc>
          <w:tcPr>
            <w:gridSpan w:val="2"/>
            <w:tcW w:w="1716" w:type="pct"/>
            <w:vAlign w:val="center"/>
            <w:textDirection w:val="lrTb"/>
            <w:noWrap w:val="false"/>
          </w:tcPr>
          <w:p>
            <w:pPr>
              <w:ind w:left="-142" w:right="-142"/>
              <w:jc w:val="center"/>
              <w:rPr>
                <w:sz w:val="20"/>
                <w:szCs w:val="20"/>
              </w:rPr>
            </w:pPr>
            <w:r>
              <w:rPr>
                <w:sz w:val="20"/>
                <w:szCs w:val="20"/>
              </w:rPr>
              <w:t xml:space="preserve">Всего по всем котельным</w:t>
            </w:r>
            <w:r>
              <w:rPr>
                <w:sz w:val="20"/>
                <w:szCs w:val="20"/>
              </w:rPr>
            </w:r>
            <w:r>
              <w:rPr>
                <w:sz w:val="20"/>
                <w:szCs w:val="20"/>
              </w:rPr>
            </w:r>
          </w:p>
        </w:tc>
        <w:tc>
          <w:tcPr>
            <w:tcW w:w="460" w:type="pct"/>
            <w:vAlign w:val="center"/>
            <w:textDirection w:val="lrTb"/>
            <w:noWrap w:val="false"/>
          </w:tcPr>
          <w:p>
            <w:pPr>
              <w:ind w:left="-142" w:right="-142"/>
              <w:jc w:val="center"/>
              <w:rPr>
                <w:sz w:val="20"/>
                <w:szCs w:val="20"/>
              </w:rPr>
            </w:pPr>
            <w:r>
              <w:rPr>
                <w:sz w:val="20"/>
                <w:szCs w:val="20"/>
              </w:rPr>
              <w:t xml:space="preserve">26 ед.</w:t>
            </w:r>
            <w:r>
              <w:rPr>
                <w:sz w:val="20"/>
                <w:szCs w:val="20"/>
              </w:rPr>
            </w:r>
            <w:r>
              <w:rPr>
                <w:sz w:val="20"/>
                <w:szCs w:val="20"/>
              </w:rPr>
            </w:r>
          </w:p>
        </w:tc>
        <w:tc>
          <w:tcPr>
            <w:tcW w:w="512"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91"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375"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434" w:type="pct"/>
            <w:vAlign w:val="center"/>
            <w:textDirection w:val="lrTb"/>
            <w:noWrap w:val="false"/>
          </w:tcPr>
          <w:p>
            <w:pPr>
              <w:ind w:left="-142" w:right="-142"/>
              <w:jc w:val="center"/>
              <w:rPr>
                <w:sz w:val="20"/>
                <w:szCs w:val="20"/>
              </w:rPr>
            </w:pPr>
            <w:r>
              <w:rPr>
                <w:sz w:val="20"/>
                <w:szCs w:val="20"/>
              </w:rPr>
              <w:t xml:space="preserve">5,794</w:t>
            </w:r>
            <w:r>
              <w:rPr>
                <w:sz w:val="20"/>
                <w:szCs w:val="20"/>
              </w:rPr>
            </w:r>
            <w:r>
              <w:rPr>
                <w:sz w:val="20"/>
                <w:szCs w:val="20"/>
              </w:rPr>
            </w:r>
          </w:p>
        </w:tc>
        <w:tc>
          <w:tcPr>
            <w:tcW w:w="508" w:type="pct"/>
            <w:vAlign w:val="center"/>
            <w:textDirection w:val="lrTb"/>
            <w:noWrap w:val="false"/>
          </w:tcPr>
          <w:p>
            <w:pPr>
              <w:ind w:left="-142" w:right="-142"/>
              <w:jc w:val="center"/>
              <w:rPr>
                <w:sz w:val="20"/>
                <w:szCs w:val="20"/>
              </w:rPr>
            </w:pPr>
            <w:r>
              <w:rPr>
                <w:sz w:val="20"/>
                <w:szCs w:val="20"/>
              </w:rPr>
            </w:r>
            <w:r>
              <w:rPr>
                <w:sz w:val="20"/>
                <w:szCs w:val="20"/>
              </w:rPr>
            </w:r>
            <w:r>
              <w:rPr>
                <w:sz w:val="20"/>
                <w:szCs w:val="20"/>
              </w:rPr>
            </w:r>
          </w:p>
        </w:tc>
        <w:tc>
          <w:tcPr>
            <w:tcW w:w="504" w:type="pct"/>
            <w:vAlign w:val="center"/>
            <w:textDirection w:val="lrTb"/>
            <w:noWrap w:val="false"/>
          </w:tcPr>
          <w:p>
            <w:pPr>
              <w:ind w:left="-142" w:right="-142"/>
              <w:jc w:val="center"/>
              <w:rPr>
                <w:sz w:val="20"/>
                <w:szCs w:val="20"/>
              </w:rPr>
            </w:pPr>
            <w:r>
              <w:rPr>
                <w:sz w:val="20"/>
                <w:szCs w:val="20"/>
              </w:rPr>
              <w:t xml:space="preserve">7,529</w:t>
            </w:r>
            <w:r>
              <w:rPr>
                <w:sz w:val="20"/>
                <w:szCs w:val="20"/>
              </w:rPr>
            </w:r>
            <w:r>
              <w:rPr>
                <w:sz w:val="20"/>
                <w:szCs w:val="20"/>
              </w:rPr>
            </w:r>
          </w:p>
        </w:tc>
      </w:tr>
    </w:tbl>
    <w:p>
      <w:pPr>
        <w:jc w:val="center"/>
        <w:spacing w:before="72"/>
        <w:rPr>
          <w:sz w:val="24"/>
          <w:szCs w:val="24"/>
        </w:rPr>
      </w:pPr>
      <w:r>
        <w:rPr>
          <w:sz w:val="24"/>
          <w:szCs w:val="24"/>
        </w:rPr>
      </w:r>
      <w:r>
        <w:rPr>
          <w:sz w:val="24"/>
          <w:szCs w:val="24"/>
        </w:rPr>
      </w:r>
      <w:r>
        <w:rPr>
          <w:sz w:val="24"/>
          <w:szCs w:val="24"/>
        </w:rPr>
      </w:r>
    </w:p>
    <w:p>
      <w:pPr>
        <w:jc w:val="center"/>
        <w:spacing w:before="72"/>
        <w:rPr>
          <w:sz w:val="24"/>
          <w:szCs w:val="24"/>
        </w:rPr>
      </w:pPr>
      <w:r>
        <w:rPr>
          <w:sz w:val="24"/>
          <w:szCs w:val="24"/>
        </w:rPr>
      </w:r>
      <w:r>
        <w:rPr>
          <w:sz w:val="24"/>
          <w:szCs w:val="24"/>
        </w:rPr>
      </w:r>
      <w:r>
        <w:rPr>
          <w:sz w:val="24"/>
          <w:szCs w:val="24"/>
        </w:rPr>
      </w:r>
    </w:p>
    <w:p>
      <w:pPr>
        <w:jc w:val="center"/>
        <w:spacing w:before="72"/>
        <w:rPr>
          <w:sz w:val="24"/>
          <w:szCs w:val="24"/>
        </w:rPr>
        <w:sectPr>
          <w:footnotePr/>
          <w:endnotePr/>
          <w:type w:val="continuous"/>
          <w:pgSz w:w="16840" w:h="11910" w:orient="landscape"/>
          <w:pgMar w:top="1298" w:right="1100" w:bottom="743" w:left="941" w:header="0" w:footer="760" w:gutter="0"/>
          <w:cols w:num="1" w:sep="0" w:space="720" w:equalWidth="1"/>
          <w:docGrid w:linePitch="360"/>
        </w:sectPr>
      </w:pPr>
      <w:r>
        <w:rPr>
          <w:sz w:val="24"/>
          <w:szCs w:val="24"/>
        </w:rPr>
      </w:r>
      <w:r>
        <w:rPr>
          <w:sz w:val="24"/>
          <w:szCs w:val="24"/>
        </w:rPr>
      </w:r>
      <w:r>
        <w:rPr>
          <w:sz w:val="24"/>
          <w:szCs w:val="24"/>
        </w:rPr>
      </w:r>
    </w:p>
    <w:p>
      <w:pPr>
        <w:pStyle w:val="1248"/>
        <w:ind w:right="109" w:firstLine="733"/>
        <w:jc w:val="left"/>
        <w:spacing w:before="71"/>
      </w:pPr>
      <w:r/>
      <w:bookmarkStart w:id="29" w:name="_bookmark12"/>
      <w:r/>
      <w:bookmarkStart w:id="30" w:name="_bookmark25"/>
      <w:r/>
      <w:bookmarkStart w:id="31" w:name="_Toc130231876"/>
      <w:r/>
      <w:bookmarkStart w:id="32" w:name="_Toc165540659"/>
      <w:r/>
      <w:bookmarkEnd w:id="29"/>
      <w:r/>
      <w:bookmarkEnd w:id="30"/>
      <w:r>
        <w:rPr>
          <w:lang w:eastAsia="ru-RU"/>
        </w:rPr>
        <w:t xml:space="preserve">1.2.2 </w:t>
      </w:r>
      <w:r>
        <w:t xml:space="preserve">Параметры</w:t>
      </w:r>
      <w:r>
        <w:rPr>
          <w:spacing w:val="-15"/>
        </w:rPr>
        <w:t xml:space="preserve"> </w:t>
      </w:r>
      <w:r>
        <w:t xml:space="preserve">установленной</w:t>
      </w:r>
      <w:r>
        <w:rPr>
          <w:spacing w:val="-15"/>
        </w:rPr>
        <w:t xml:space="preserve"> </w:t>
      </w:r>
      <w:r>
        <w:t xml:space="preserve">тепловой</w:t>
      </w:r>
      <w:r>
        <w:rPr>
          <w:spacing w:val="-15"/>
        </w:rPr>
        <w:t xml:space="preserve"> </w:t>
      </w:r>
      <w:r>
        <w:t xml:space="preserve">мощности</w:t>
      </w:r>
      <w:r>
        <w:rPr>
          <w:spacing w:val="-15"/>
        </w:rPr>
        <w:t xml:space="preserve"> </w:t>
      </w:r>
      <w:r>
        <w:t xml:space="preserve">источника</w:t>
      </w:r>
      <w:r>
        <w:rPr>
          <w:spacing w:val="-15"/>
        </w:rPr>
        <w:t xml:space="preserve"> </w:t>
      </w:r>
      <w:r>
        <w:t xml:space="preserve">тепловой</w:t>
      </w:r>
      <w:r>
        <w:rPr>
          <w:spacing w:val="-15"/>
        </w:rPr>
        <w:t xml:space="preserve"> </w:t>
      </w:r>
      <w:r>
        <w:t xml:space="preserve">энергии, в том числе теплофикационного оборудования и теплофикационной установки</w:t>
      </w:r>
      <w:bookmarkEnd w:id="31"/>
      <w:r/>
      <w:bookmarkEnd w:id="32"/>
      <w:r/>
      <w:r/>
    </w:p>
    <w:p>
      <w:pPr>
        <w:pStyle w:val="1247"/>
        <w:ind w:left="118" w:right="108" w:firstLine="707"/>
        <w:spacing w:before="115"/>
        <w:tabs>
          <w:tab w:val="left" w:pos="2198" w:leader="none"/>
          <w:tab w:val="left" w:pos="3952" w:leader="none"/>
          <w:tab w:val="left" w:pos="5113" w:leader="none"/>
          <w:tab w:val="left" w:pos="6374" w:leader="none"/>
          <w:tab w:val="left" w:pos="7782" w:leader="none"/>
          <w:tab w:val="left" w:pos="8943" w:leader="none"/>
        </w:tabs>
      </w:pPr>
      <w:r>
        <w:rPr>
          <w:spacing w:val="-2"/>
        </w:rPr>
        <w:t xml:space="preserve">Параметры</w:t>
      </w:r>
      <w:r>
        <w:tab/>
      </w:r>
      <w:r>
        <w:rPr>
          <w:spacing w:val="-2"/>
        </w:rPr>
        <w:t xml:space="preserve">установленной</w:t>
      </w:r>
      <w:r>
        <w:tab/>
      </w:r>
      <w:r>
        <w:rPr>
          <w:spacing w:val="-2"/>
        </w:rPr>
        <w:t xml:space="preserve">тепловой</w:t>
      </w:r>
      <w:r>
        <w:tab/>
      </w:r>
      <w:r>
        <w:rPr>
          <w:spacing w:val="-2"/>
        </w:rPr>
        <w:t xml:space="preserve">мощности</w:t>
      </w:r>
      <w:r>
        <w:tab/>
      </w:r>
      <w:r>
        <w:rPr>
          <w:spacing w:val="-2"/>
        </w:rPr>
        <w:t xml:space="preserve">источников</w:t>
      </w:r>
      <w:r>
        <w:tab/>
      </w:r>
      <w:r>
        <w:rPr>
          <w:spacing w:val="-2"/>
        </w:rPr>
        <w:t xml:space="preserve">тепловой</w:t>
      </w:r>
      <w:r>
        <w:tab/>
      </w:r>
      <w:r>
        <w:rPr>
          <w:spacing w:val="-2"/>
        </w:rPr>
        <w:t xml:space="preserve">энергии </w:t>
      </w:r>
      <w:r>
        <w:t xml:space="preserve">Юргамышского муниципального округа отражены в п. 1.2.1.</w:t>
      </w:r>
      <w:r/>
    </w:p>
    <w:p>
      <w:pPr>
        <w:pStyle w:val="1247"/>
        <w:spacing w:before="7" w:after="1"/>
        <w:rPr>
          <w:b/>
          <w:sz w:val="10"/>
        </w:rPr>
      </w:pPr>
      <w:r>
        <w:rPr>
          <w:b/>
          <w:sz w:val="10"/>
        </w:rPr>
      </w:r>
      <w:r>
        <w:rPr>
          <w:b/>
          <w:sz w:val="10"/>
        </w:rPr>
      </w:r>
      <w:r>
        <w:rPr>
          <w:b/>
          <w:sz w:val="10"/>
        </w:rPr>
      </w:r>
    </w:p>
    <w:p>
      <w:pPr>
        <w:pStyle w:val="1248"/>
        <w:ind w:left="1373" w:hanging="522"/>
        <w:jc w:val="left"/>
      </w:pPr>
      <w:r/>
      <w:bookmarkStart w:id="33" w:name="_bookmark27"/>
      <w:r/>
      <w:bookmarkStart w:id="34" w:name="_Toc130231877"/>
      <w:r/>
      <w:bookmarkStart w:id="35" w:name="_Toc165540660"/>
      <w:r/>
      <w:bookmarkEnd w:id="33"/>
      <w:r>
        <w:rPr>
          <w:lang w:eastAsia="ru-RU"/>
        </w:rPr>
        <w:t xml:space="preserve">1.2.3 </w:t>
      </w:r>
      <w:r>
        <w:t xml:space="preserve">Ограничения</w:t>
      </w:r>
      <w:r>
        <w:rPr>
          <w:spacing w:val="57"/>
        </w:rPr>
        <w:t xml:space="preserve"> </w:t>
      </w:r>
      <w:r>
        <w:t xml:space="preserve">тепловой</w:t>
      </w:r>
      <w:r>
        <w:rPr>
          <w:spacing w:val="59"/>
        </w:rPr>
        <w:t xml:space="preserve"> </w:t>
      </w:r>
      <w:r>
        <w:t xml:space="preserve">мощности</w:t>
      </w:r>
      <w:r>
        <w:rPr>
          <w:spacing w:val="59"/>
        </w:rPr>
        <w:t xml:space="preserve"> </w:t>
      </w:r>
      <w:r>
        <w:t xml:space="preserve">и</w:t>
      </w:r>
      <w:r>
        <w:rPr>
          <w:spacing w:val="64"/>
        </w:rPr>
        <w:t xml:space="preserve"> </w:t>
      </w:r>
      <w:r>
        <w:t xml:space="preserve">параметров</w:t>
      </w:r>
      <w:r>
        <w:rPr>
          <w:spacing w:val="59"/>
        </w:rPr>
        <w:t xml:space="preserve"> </w:t>
      </w:r>
      <w:r>
        <w:t xml:space="preserve">располагаемой</w:t>
      </w:r>
      <w:r>
        <w:rPr>
          <w:spacing w:val="59"/>
        </w:rPr>
        <w:t xml:space="preserve"> </w:t>
      </w:r>
      <w:r>
        <w:rPr>
          <w:spacing w:val="-2"/>
        </w:rPr>
        <w:t xml:space="preserve">тепловой</w:t>
      </w:r>
      <w:bookmarkEnd w:id="34"/>
      <w:r/>
      <w:bookmarkEnd w:id="35"/>
      <w:r/>
      <w:r/>
    </w:p>
    <w:p>
      <w:pPr>
        <w:ind w:left="118"/>
        <w:rPr>
          <w:b/>
          <w:sz w:val="24"/>
        </w:rPr>
      </w:pPr>
      <w:r>
        <w:rPr>
          <w:b/>
          <w:spacing w:val="-2"/>
          <w:sz w:val="24"/>
        </w:rPr>
        <w:t xml:space="preserve">мощности</w:t>
      </w:r>
      <w:r>
        <w:rPr>
          <w:b/>
          <w:sz w:val="24"/>
        </w:rPr>
      </w:r>
      <w:r>
        <w:rPr>
          <w:b/>
          <w:sz w:val="24"/>
        </w:rPr>
      </w:r>
    </w:p>
    <w:p>
      <w:pPr>
        <w:pStyle w:val="1247"/>
        <w:ind w:left="118" w:right="108" w:firstLine="707"/>
        <w:jc w:val="right"/>
        <w:spacing w:before="115"/>
        <w:tabs>
          <w:tab w:val="left" w:pos="2198" w:leader="none"/>
          <w:tab w:val="left" w:pos="3952" w:leader="none"/>
          <w:tab w:val="left" w:pos="5113" w:leader="none"/>
          <w:tab w:val="left" w:pos="6374" w:leader="none"/>
          <w:tab w:val="left" w:pos="7782" w:leader="none"/>
          <w:tab w:val="left" w:pos="8943" w:leader="none"/>
        </w:tabs>
      </w:pPr>
      <w:r>
        <w:t xml:space="preserve">Таблица 1.2.</w:t>
      </w:r>
      <w:r>
        <w:t xml:space="preserve">3</w:t>
      </w:r>
      <w:r>
        <w:t xml:space="preserve">.1</w:t>
      </w:r>
      <w:r/>
    </w:p>
    <w:p>
      <w:pPr>
        <w:pStyle w:val="1247"/>
        <w:ind w:left="118" w:right="108" w:firstLine="707"/>
        <w:jc w:val="center"/>
        <w:spacing w:before="115"/>
        <w:tabs>
          <w:tab w:val="left" w:pos="2198" w:leader="none"/>
          <w:tab w:val="left" w:pos="3952" w:leader="none"/>
          <w:tab w:val="left" w:pos="5113" w:leader="none"/>
          <w:tab w:val="left" w:pos="6374" w:leader="none"/>
          <w:tab w:val="left" w:pos="7782" w:leader="none"/>
          <w:tab w:val="left" w:pos="8943" w:leader="none"/>
        </w:tabs>
      </w:pPr>
      <w:r>
        <w:t xml:space="preserve">Ограничения тепловой мощности и параметры располагаемой тепловой мощности централизованных источников теплоснабжения</w:t>
      </w:r>
      <w:r/>
    </w:p>
    <w:tbl>
      <w:tblPr>
        <w:tblW w:w="4885" w:type="pct"/>
        <w:tblCellMar>
          <w:left w:w="10" w:type="dxa"/>
          <w:right w:w="10" w:type="dxa"/>
        </w:tblCellMar>
        <w:tblLook w:val="04A0" w:firstRow="1" w:lastRow="0" w:firstColumn="1" w:lastColumn="0" w:noHBand="0" w:noVBand="1"/>
      </w:tblPr>
      <w:tblGrid>
        <w:gridCol w:w="3963"/>
        <w:gridCol w:w="1890"/>
        <w:gridCol w:w="1890"/>
        <w:gridCol w:w="1890"/>
      </w:tblGrid>
      <w:tr>
        <w:tblPrEx/>
        <w:trPr>
          <w:trHeight w:val="725" w:hRule="exact"/>
        </w:trPr>
        <w:tc>
          <w:tcPr>
            <w:shd w:val="clear" w:color="auto" w:fill="ffffff"/>
            <w:tcBorders>
              <w:top w:val="single" w:color="auto" w:sz="4" w:space="0"/>
              <w:left w:val="single" w:color="auto" w:sz="4" w:space="0"/>
            </w:tcBorders>
            <w:tcW w:w="2057" w:type="pct"/>
            <w:vAlign w:val="center"/>
            <w:textDirection w:val="lrTb"/>
            <w:noWrap w:val="false"/>
          </w:tcPr>
          <w:p>
            <w:pPr>
              <w:jc w:val="center"/>
              <w:rPr>
                <w:sz w:val="20"/>
                <w:szCs w:val="20"/>
              </w:rPr>
            </w:pPr>
            <w:r>
              <w:rPr>
                <w:sz w:val="20"/>
                <w:szCs w:val="20"/>
              </w:rPr>
              <w:t xml:space="preserve">Наименование источника тепловой энергии</w:t>
            </w:r>
            <w:r>
              <w:rPr>
                <w:sz w:val="20"/>
                <w:szCs w:val="20"/>
              </w:rPr>
            </w:r>
            <w:r>
              <w:rPr>
                <w:sz w:val="20"/>
                <w:szCs w:val="20"/>
              </w:rPr>
            </w:r>
          </w:p>
        </w:tc>
        <w:tc>
          <w:tcPr>
            <w:shd w:val="clear" w:color="auto" w:fill="ffffff"/>
            <w:tcBorders>
              <w:top w:val="single" w:color="auto" w:sz="4" w:space="0"/>
              <w:left w:val="single" w:color="auto" w:sz="4" w:space="0"/>
            </w:tcBorders>
            <w:tcW w:w="981" w:type="pct"/>
            <w:vAlign w:val="center"/>
            <w:textDirection w:val="lrTb"/>
            <w:noWrap w:val="false"/>
          </w:tcPr>
          <w:p>
            <w:pPr>
              <w:jc w:val="center"/>
              <w:rPr>
                <w:sz w:val="20"/>
                <w:szCs w:val="20"/>
              </w:rPr>
            </w:pPr>
            <w:r>
              <w:rPr>
                <w:sz w:val="20"/>
                <w:szCs w:val="20"/>
              </w:rPr>
              <w:t xml:space="preserve">Срок эксплуа</w:t>
            </w:r>
            <w:r>
              <w:rPr>
                <w:sz w:val="20"/>
                <w:szCs w:val="20"/>
              </w:rPr>
              <w:t xml:space="preserve">тации, г</w:t>
            </w:r>
            <w:r>
              <w:rPr>
                <w:sz w:val="20"/>
                <w:szCs w:val="20"/>
              </w:rPr>
            </w:r>
            <w:r>
              <w:rPr>
                <w:sz w:val="20"/>
                <w:szCs w:val="20"/>
              </w:rPr>
            </w:r>
          </w:p>
        </w:tc>
        <w:tc>
          <w:tcPr>
            <w:shd w:val="clear" w:color="auto" w:fill="ffffff"/>
            <w:tcBorders>
              <w:top w:val="single" w:color="auto" w:sz="4" w:space="0"/>
              <w:left w:val="single" w:color="auto" w:sz="4" w:space="0"/>
            </w:tcBorders>
            <w:tcW w:w="981" w:type="pct"/>
            <w:vAlign w:val="center"/>
            <w:textDirection w:val="lrTb"/>
            <w:noWrap w:val="false"/>
          </w:tcPr>
          <w:p>
            <w:pPr>
              <w:ind w:right="-10"/>
              <w:jc w:val="center"/>
              <w:rPr>
                <w:sz w:val="20"/>
                <w:szCs w:val="20"/>
              </w:rPr>
            </w:pPr>
            <w:r>
              <w:rPr>
                <w:sz w:val="20"/>
                <w:szCs w:val="20"/>
              </w:rPr>
              <w:t xml:space="preserve">Ограничения тепловой мощности,</w:t>
            </w:r>
            <w:r>
              <w:rPr>
                <w:sz w:val="20"/>
                <w:szCs w:val="20"/>
              </w:rPr>
            </w:r>
            <w:r>
              <w:rPr>
                <w:sz w:val="20"/>
                <w:szCs w:val="20"/>
              </w:rPr>
            </w:r>
          </w:p>
          <w:p>
            <w:pPr>
              <w:ind w:right="-10"/>
              <w:jc w:val="center"/>
              <w:rPr>
                <w:sz w:val="20"/>
                <w:szCs w:val="20"/>
              </w:rPr>
            </w:pPr>
            <w:r>
              <w:rPr>
                <w:sz w:val="20"/>
                <w:szCs w:val="20"/>
              </w:rPr>
              <w:t xml:space="preserve">Гкал/ч</w:t>
            </w:r>
            <w:r>
              <w:rPr>
                <w:sz w:val="20"/>
                <w:szCs w:val="20"/>
              </w:rPr>
            </w:r>
            <w:r>
              <w:rPr>
                <w:sz w:val="20"/>
                <w:szCs w:val="20"/>
              </w:rPr>
            </w:r>
          </w:p>
        </w:tc>
        <w:tc>
          <w:tcPr>
            <w:shd w:val="clear" w:color="auto" w:fill="ffffff"/>
            <w:tcBorders>
              <w:top w:val="single" w:color="auto" w:sz="4" w:space="0"/>
              <w:left w:val="single" w:color="auto" w:sz="4" w:space="0"/>
              <w:right w:val="single" w:color="auto" w:sz="4" w:space="0"/>
            </w:tcBorders>
            <w:tcW w:w="981" w:type="pct"/>
            <w:vAlign w:val="center"/>
            <w:textDirection w:val="lrTb"/>
            <w:noWrap w:val="false"/>
          </w:tcPr>
          <w:p>
            <w:pPr>
              <w:ind w:right="-10"/>
              <w:jc w:val="center"/>
              <w:rPr>
                <w:sz w:val="20"/>
                <w:szCs w:val="20"/>
              </w:rPr>
            </w:pPr>
            <w:r>
              <w:rPr>
                <w:sz w:val="20"/>
                <w:szCs w:val="20"/>
              </w:rPr>
              <w:t xml:space="preserve">Располагаемая тепловая мощность, Гкал/ч</w:t>
            </w:r>
            <w:r>
              <w:rPr>
                <w:sz w:val="20"/>
                <w:szCs w:val="20"/>
              </w:rPr>
            </w:r>
            <w:r>
              <w:rPr>
                <w:sz w:val="20"/>
                <w:szCs w:val="20"/>
              </w:rPr>
            </w:r>
          </w:p>
        </w:tc>
      </w:tr>
      <w:tr>
        <w:tblPrEx/>
        <w:trPr>
          <w:trHeight w:val="457" w:hRule="exact"/>
        </w:trPr>
        <w:tc>
          <w:tcPr>
            <w:shd w:val="clear" w:color="auto" w:fill="ffffff"/>
            <w:tcBorders>
              <w:top w:val="single" w:color="auto" w:sz="4" w:space="0"/>
              <w:left w:val="single" w:color="auto" w:sz="4" w:space="0"/>
            </w:tcBorders>
            <w:tcW w:w="2057" w:type="pct"/>
            <w:vAlign w:val="center"/>
            <w:textDirection w:val="lrTb"/>
            <w:noWrap w:val="false"/>
          </w:tcPr>
          <w:p>
            <w:pPr>
              <w:jc w:val="center"/>
              <w:rPr>
                <w:sz w:val="20"/>
                <w:szCs w:val="20"/>
              </w:rPr>
            </w:pPr>
            <w:r>
              <w:rPr>
                <w:color w:val="000000"/>
                <w:sz w:val="20"/>
                <w:szCs w:val="20"/>
              </w:rPr>
              <w:t xml:space="preserve">Котельная </w:t>
            </w:r>
            <w:r>
              <w:rPr>
                <w:rFonts w:ascii="Liberation Serif" w:hAnsi="Liberation Serif" w:cs="Calibri"/>
                <w:color w:val="000000"/>
                <w:sz w:val="20"/>
                <w:szCs w:val="20"/>
              </w:rPr>
              <w:t xml:space="preserve">п. Новый Мир, ЛПДС «Юргамыш»</w:t>
            </w:r>
            <w:r>
              <w:rPr>
                <w:sz w:val="20"/>
                <w:szCs w:val="20"/>
              </w:rPr>
            </w:r>
            <w:r>
              <w:rPr>
                <w:sz w:val="20"/>
                <w:szCs w:val="20"/>
              </w:rPr>
            </w:r>
          </w:p>
        </w:tc>
        <w:tc>
          <w:tcPr>
            <w:shd w:val="clear" w:color="auto" w:fill="ffffff"/>
            <w:tcBorders>
              <w:top w:val="single" w:color="auto" w:sz="4" w:space="0"/>
              <w:left w:val="single" w:color="auto" w:sz="4" w:space="0"/>
            </w:tcBorders>
            <w:tcW w:w="981" w:type="pct"/>
            <w:vAlign w:val="center"/>
            <w:textDirection w:val="lrTb"/>
            <w:noWrap w:val="false"/>
          </w:tcPr>
          <w:p>
            <w:pPr>
              <w:jc w:val="center"/>
              <w:rPr>
                <w:sz w:val="20"/>
                <w:szCs w:val="20"/>
              </w:rPr>
            </w:pPr>
            <w:r>
              <w:rPr>
                <w:sz w:val="20"/>
                <w:szCs w:val="20"/>
              </w:rPr>
              <w:t xml:space="preserve">18</w:t>
            </w:r>
            <w:r>
              <w:rPr>
                <w:sz w:val="20"/>
                <w:szCs w:val="20"/>
              </w:rPr>
            </w:r>
            <w:r>
              <w:rPr>
                <w:sz w:val="20"/>
                <w:szCs w:val="20"/>
              </w:rPr>
            </w:r>
          </w:p>
        </w:tc>
        <w:tc>
          <w:tcPr>
            <w:shd w:val="clear" w:color="auto" w:fill="ffffff"/>
            <w:tcBorders>
              <w:top w:val="single" w:color="auto" w:sz="4" w:space="0"/>
              <w:left w:val="single" w:color="auto" w:sz="4" w:space="0"/>
            </w:tcBorders>
            <w:tcW w:w="981" w:type="pct"/>
            <w:vAlign w:val="center"/>
            <w:textDirection w:val="lrTb"/>
            <w:noWrap w:val="false"/>
          </w:tcPr>
          <w:p>
            <w:pPr>
              <w:ind w:right="-10"/>
              <w:jc w:val="center"/>
              <w:rPr>
                <w:sz w:val="20"/>
                <w:szCs w:val="20"/>
              </w:rPr>
            </w:pPr>
            <w:r>
              <w:rPr>
                <w:sz w:val="20"/>
                <w:szCs w:val="20"/>
              </w:rPr>
              <w:t xml:space="preserve">7,80</w:t>
            </w:r>
            <w:r>
              <w:rPr>
                <w:sz w:val="20"/>
                <w:szCs w:val="20"/>
              </w:rPr>
            </w:r>
            <w:r>
              <w:rPr>
                <w:sz w:val="20"/>
                <w:szCs w:val="20"/>
              </w:rPr>
            </w:r>
          </w:p>
        </w:tc>
        <w:tc>
          <w:tcPr>
            <w:shd w:val="clear" w:color="auto" w:fill="ffffff"/>
            <w:tcBorders>
              <w:top w:val="single" w:color="auto" w:sz="4" w:space="0"/>
              <w:left w:val="single" w:color="auto" w:sz="4" w:space="0"/>
              <w:right w:val="single" w:color="auto" w:sz="4" w:space="0"/>
            </w:tcBorders>
            <w:tcW w:w="981" w:type="pct"/>
            <w:vAlign w:val="center"/>
            <w:textDirection w:val="lrTb"/>
            <w:noWrap w:val="false"/>
          </w:tcPr>
          <w:p>
            <w:pPr>
              <w:ind w:right="-10"/>
              <w:jc w:val="center"/>
              <w:rPr>
                <w:sz w:val="20"/>
                <w:szCs w:val="20"/>
              </w:rPr>
            </w:pPr>
            <w:r>
              <w:rPr>
                <w:sz w:val="20"/>
                <w:szCs w:val="20"/>
              </w:rPr>
              <w:t xml:space="preserve">13,20</w:t>
            </w:r>
            <w:r>
              <w:rPr>
                <w:sz w:val="20"/>
                <w:szCs w:val="20"/>
              </w:rPr>
            </w:r>
            <w:r>
              <w:rPr>
                <w:sz w:val="20"/>
                <w:szCs w:val="20"/>
              </w:rPr>
            </w:r>
          </w:p>
        </w:tc>
      </w:tr>
      <w:tr>
        <w:tblPrEx/>
        <w:trPr>
          <w:trHeight w:val="705" w:hRule="exact"/>
        </w:trPr>
        <w:tc>
          <w:tcPr>
            <w:shd w:val="clear" w:color="auto" w:fill="ffffff"/>
            <w:tcBorders>
              <w:top w:val="single" w:color="auto" w:sz="4" w:space="0"/>
              <w:left w:val="single" w:color="auto" w:sz="4" w:space="0"/>
            </w:tcBorders>
            <w:tcW w:w="2057" w:type="pct"/>
            <w:vAlign w:val="center"/>
            <w:textDirection w:val="lrTb"/>
            <w:noWrap w:val="false"/>
          </w:tcPr>
          <w:p>
            <w:pPr>
              <w:jc w:val="center"/>
              <w:rPr>
                <w:sz w:val="20"/>
                <w:szCs w:val="20"/>
              </w:rPr>
            </w:pPr>
            <w:r>
              <w:rPr>
                <w:color w:val="000000"/>
                <w:sz w:val="20"/>
                <w:szCs w:val="20"/>
              </w:rPr>
              <w:t xml:space="preserve">Котельная </w:t>
            </w:r>
            <w:r>
              <w:rPr>
                <w:rFonts w:ascii="Liberation Serif" w:hAnsi="Liberation Serif" w:cs="Calibri"/>
                <w:color w:val="000000"/>
                <w:sz w:val="20"/>
                <w:szCs w:val="20"/>
              </w:rPr>
              <w:t xml:space="preserve">р.п.  Юргамыш, ул. Железнодорожная, территория тягловой подстанции ОАО «РЖД»</w:t>
            </w:r>
            <w:r>
              <w:rPr>
                <w:sz w:val="20"/>
                <w:szCs w:val="20"/>
              </w:rPr>
            </w:r>
            <w:r>
              <w:rPr>
                <w:sz w:val="20"/>
                <w:szCs w:val="20"/>
              </w:rPr>
            </w:r>
          </w:p>
        </w:tc>
        <w:tc>
          <w:tcPr>
            <w:shd w:val="clear" w:color="auto" w:fill="ffffff"/>
            <w:tcBorders>
              <w:top w:val="single" w:color="auto" w:sz="4" w:space="0"/>
              <w:left w:val="single" w:color="auto" w:sz="4" w:space="0"/>
            </w:tcBorders>
            <w:tcW w:w="981" w:type="pct"/>
            <w:vAlign w:val="center"/>
            <w:textDirection w:val="lrTb"/>
            <w:noWrap w:val="false"/>
          </w:tcPr>
          <w:p>
            <w:pPr>
              <w:jc w:val="center"/>
              <w:rPr>
                <w:sz w:val="20"/>
                <w:szCs w:val="20"/>
              </w:rPr>
            </w:pPr>
            <w:r>
              <w:rPr>
                <w:sz w:val="20"/>
                <w:szCs w:val="20"/>
              </w:rPr>
              <w:t xml:space="preserve">23</w:t>
            </w:r>
            <w:r>
              <w:rPr>
                <w:sz w:val="20"/>
                <w:szCs w:val="20"/>
              </w:rPr>
            </w:r>
            <w:r>
              <w:rPr>
                <w:sz w:val="20"/>
                <w:szCs w:val="20"/>
              </w:rPr>
            </w:r>
          </w:p>
        </w:tc>
        <w:tc>
          <w:tcPr>
            <w:shd w:val="clear" w:color="auto" w:fill="ffffff"/>
            <w:tcBorders>
              <w:top w:val="single" w:color="auto" w:sz="4" w:space="0"/>
              <w:left w:val="single" w:color="auto" w:sz="4" w:space="0"/>
            </w:tcBorders>
            <w:tcW w:w="981" w:type="pct"/>
            <w:vAlign w:val="center"/>
            <w:textDirection w:val="lrTb"/>
            <w:noWrap w:val="false"/>
          </w:tcPr>
          <w:p>
            <w:pPr>
              <w:ind w:right="-10"/>
              <w:jc w:val="center"/>
              <w:spacing w:line="240" w:lineRule="exact"/>
              <w:rPr>
                <w:sz w:val="20"/>
                <w:szCs w:val="20"/>
              </w:rPr>
            </w:pPr>
            <w:r>
              <w:rPr>
                <w:sz w:val="20"/>
                <w:szCs w:val="20"/>
              </w:rPr>
              <w:t xml:space="preserve">0,045</w:t>
            </w:r>
            <w:r>
              <w:rPr>
                <w:sz w:val="20"/>
                <w:szCs w:val="20"/>
              </w:rPr>
            </w:r>
            <w:r>
              <w:rPr>
                <w:sz w:val="20"/>
                <w:szCs w:val="20"/>
              </w:rPr>
            </w:r>
          </w:p>
        </w:tc>
        <w:tc>
          <w:tcPr>
            <w:shd w:val="clear" w:color="auto" w:fill="ffffff"/>
            <w:tcBorders>
              <w:top w:val="single" w:color="auto" w:sz="4" w:space="0"/>
              <w:left w:val="single" w:color="auto" w:sz="4" w:space="0"/>
              <w:right w:val="single" w:color="auto" w:sz="4" w:space="0"/>
            </w:tcBorders>
            <w:tcW w:w="981" w:type="pct"/>
            <w:vAlign w:val="center"/>
            <w:textDirection w:val="lrTb"/>
            <w:noWrap w:val="false"/>
          </w:tcPr>
          <w:p>
            <w:pPr>
              <w:ind w:right="-10"/>
              <w:jc w:val="center"/>
              <w:spacing w:line="240" w:lineRule="exact"/>
              <w:rPr>
                <w:sz w:val="20"/>
                <w:szCs w:val="20"/>
              </w:rPr>
            </w:pPr>
            <w:r>
              <w:rPr>
                <w:sz w:val="20"/>
                <w:szCs w:val="20"/>
              </w:rPr>
              <w:t xml:space="preserve">0,915</w:t>
            </w:r>
            <w:r>
              <w:rPr>
                <w:sz w:val="20"/>
                <w:szCs w:val="20"/>
              </w:rPr>
            </w:r>
            <w:r>
              <w:rPr>
                <w:sz w:val="20"/>
                <w:szCs w:val="20"/>
              </w:rPr>
            </w:r>
          </w:p>
        </w:tc>
      </w:tr>
      <w:tr>
        <w:tblPrEx/>
        <w:trPr>
          <w:trHeight w:val="822" w:hRule="exact"/>
        </w:trPr>
        <w:tc>
          <w:tcPr>
            <w:shd w:val="clear" w:color="auto" w:fill="ffffff"/>
            <w:tcBorders>
              <w:top w:val="single" w:color="auto" w:sz="4" w:space="0"/>
              <w:left w:val="single" w:color="auto" w:sz="4" w:space="0"/>
              <w:bottom w:val="single" w:color="auto" w:sz="4" w:space="0"/>
            </w:tcBorders>
            <w:tcW w:w="2057" w:type="pct"/>
            <w:vAlign w:val="center"/>
            <w:textDirection w:val="lrTb"/>
            <w:noWrap w:val="false"/>
          </w:tcPr>
          <w:p>
            <w:pPr>
              <w:jc w:val="center"/>
              <w:rPr>
                <w:sz w:val="20"/>
                <w:szCs w:val="20"/>
              </w:rPr>
            </w:pPr>
            <w:r>
              <w:rPr>
                <w:sz w:val="20"/>
                <w:szCs w:val="20"/>
              </w:rPr>
              <w:t xml:space="preserve">Котельная ФКУ ИК №7 УФСИН России по Курганской области,</w:t>
            </w:r>
            <w:r>
              <w:rPr>
                <w:rFonts w:ascii="Liberation Serif" w:hAnsi="Liberation Serif" w:cs="Calibri"/>
                <w:color w:val="000000"/>
                <w:sz w:val="20"/>
                <w:szCs w:val="20"/>
              </w:rPr>
              <w:t xml:space="preserve"> Курганская область, р.п. Юргамыш, ул. Труда, 147</w:t>
            </w:r>
            <w:r>
              <w:rPr>
                <w:sz w:val="20"/>
                <w:szCs w:val="20"/>
              </w:rPr>
            </w:r>
            <w:r>
              <w:rPr>
                <w:sz w:val="20"/>
                <w:szCs w:val="20"/>
              </w:rPr>
            </w:r>
          </w:p>
        </w:tc>
        <w:tc>
          <w:tcPr>
            <w:shd w:val="clear" w:color="auto" w:fill="ffffff"/>
            <w:tcBorders>
              <w:top w:val="single" w:color="auto" w:sz="4" w:space="0"/>
              <w:left w:val="single" w:color="auto" w:sz="4" w:space="0"/>
              <w:bottom w:val="single" w:color="auto" w:sz="4" w:space="0"/>
            </w:tcBorders>
            <w:tcW w:w="981" w:type="pct"/>
            <w:vAlign w:val="center"/>
            <w:textDirection w:val="lrTb"/>
            <w:noWrap w:val="false"/>
          </w:tcPr>
          <w:p>
            <w:pPr>
              <w:jc w:val="center"/>
              <w:rPr>
                <w:sz w:val="20"/>
                <w:szCs w:val="20"/>
              </w:rPr>
            </w:pPr>
            <w:r>
              <w:rPr>
                <w:sz w:val="20"/>
                <w:szCs w:val="20"/>
              </w:rPr>
              <w:t xml:space="preserve">н/д</w:t>
            </w:r>
            <w:r>
              <w:rPr>
                <w:sz w:val="20"/>
                <w:szCs w:val="20"/>
              </w:rPr>
            </w:r>
            <w:r>
              <w:rPr>
                <w:sz w:val="20"/>
                <w:szCs w:val="20"/>
              </w:rPr>
            </w:r>
          </w:p>
        </w:tc>
        <w:tc>
          <w:tcPr>
            <w:shd w:val="clear" w:color="auto" w:fill="ffffff"/>
            <w:tcBorders>
              <w:top w:val="single" w:color="auto" w:sz="4" w:space="0"/>
              <w:left w:val="single" w:color="auto" w:sz="4" w:space="0"/>
              <w:bottom w:val="single" w:color="auto" w:sz="4" w:space="0"/>
            </w:tcBorders>
            <w:tcW w:w="981" w:type="pct"/>
            <w:vAlign w:val="center"/>
            <w:textDirection w:val="lrTb"/>
            <w:noWrap w:val="false"/>
          </w:tcPr>
          <w:p>
            <w:pPr>
              <w:ind w:right="-10"/>
              <w:jc w:val="center"/>
              <w:rPr>
                <w:sz w:val="20"/>
                <w:szCs w:val="20"/>
              </w:rPr>
            </w:pPr>
            <w:r>
              <w:rPr>
                <w:sz w:val="20"/>
                <w:szCs w:val="20"/>
              </w:rPr>
              <w:t xml:space="preserve">н/д</w:t>
            </w:r>
            <w:r>
              <w:rPr>
                <w:sz w:val="20"/>
                <w:szCs w:val="20"/>
              </w:rPr>
            </w:r>
            <w:r>
              <w:rPr>
                <w:sz w:val="20"/>
                <w:szCs w:val="20"/>
              </w:rPr>
            </w:r>
          </w:p>
        </w:tc>
        <w:tc>
          <w:tcPr>
            <w:shd w:val="clear" w:color="auto" w:fill="ffffff"/>
            <w:tcBorders>
              <w:top w:val="single" w:color="auto" w:sz="4" w:space="0"/>
              <w:left w:val="single" w:color="auto" w:sz="4" w:space="0"/>
              <w:bottom w:val="single" w:color="auto" w:sz="4" w:space="0"/>
              <w:right w:val="single" w:color="auto" w:sz="4" w:space="0"/>
            </w:tcBorders>
            <w:tcW w:w="981" w:type="pct"/>
            <w:vAlign w:val="center"/>
            <w:textDirection w:val="lrTb"/>
            <w:noWrap w:val="false"/>
          </w:tcPr>
          <w:p>
            <w:pPr>
              <w:ind w:right="-10"/>
              <w:jc w:val="center"/>
              <w:rPr>
                <w:sz w:val="20"/>
                <w:szCs w:val="20"/>
              </w:rPr>
            </w:pPr>
            <w:r>
              <w:rPr>
                <w:sz w:val="20"/>
                <w:szCs w:val="20"/>
              </w:rPr>
              <w:t xml:space="preserve">6,15</w:t>
            </w:r>
            <w:r>
              <w:rPr>
                <w:sz w:val="20"/>
                <w:szCs w:val="20"/>
              </w:rPr>
            </w:r>
            <w:r>
              <w:rPr>
                <w:sz w:val="20"/>
                <w:szCs w:val="20"/>
              </w:rPr>
            </w:r>
          </w:p>
        </w:tc>
      </w:tr>
      <w:tr>
        <w:tblPrEx/>
        <w:trPr>
          <w:trHeight w:val="397" w:hRule="exact"/>
        </w:trPr>
        <w:tc>
          <w:tcPr>
            <w:shd w:val="clear" w:color="auto" w:fill="ffffff"/>
            <w:tcBorders>
              <w:top w:val="single" w:color="auto" w:sz="4" w:space="0"/>
              <w:left w:val="single" w:color="auto" w:sz="4" w:space="0"/>
              <w:bottom w:val="single" w:color="auto" w:sz="4" w:space="0"/>
              <w:right w:val="single" w:color="auto" w:sz="4" w:space="0"/>
            </w:tcBorders>
            <w:tcW w:w="2057" w:type="pct"/>
            <w:vAlign w:val="center"/>
            <w:textDirection w:val="lrTb"/>
            <w:noWrap w:val="false"/>
          </w:tcPr>
          <w:p>
            <w:pPr>
              <w:jc w:val="center"/>
              <w:rPr>
                <w:sz w:val="20"/>
                <w:szCs w:val="20"/>
              </w:rPr>
            </w:pPr>
            <w:r>
              <w:rPr>
                <w:sz w:val="20"/>
                <w:szCs w:val="20"/>
              </w:rPr>
              <w:t xml:space="preserve">Котельная </w:t>
            </w:r>
            <w:r>
              <w:rPr>
                <w:rFonts w:ascii="Liberation Serif" w:hAnsi="Liberation Serif" w:cs="Calibri"/>
                <w:color w:val="000000"/>
                <w:sz w:val="20"/>
                <w:szCs w:val="20"/>
              </w:rPr>
              <w:t xml:space="preserve">р.п. Юргамыш, ул. Ленина, 47а</w:t>
            </w:r>
            <w:r>
              <w:rPr>
                <w:sz w:val="20"/>
                <w:szCs w:val="20"/>
              </w:rPr>
            </w:r>
            <w:r>
              <w:rPr>
                <w:sz w:val="20"/>
                <w:szCs w:val="20"/>
              </w:rPr>
            </w:r>
          </w:p>
        </w:tc>
        <w:tc>
          <w:tcPr>
            <w:shd w:val="clear" w:color="auto" w:fill="ffffff"/>
            <w:tcBorders>
              <w:top w:val="single" w:color="auto" w:sz="4" w:space="0"/>
              <w:left w:val="single" w:color="auto" w:sz="4" w:space="0"/>
              <w:bottom w:val="single" w:color="auto" w:sz="4" w:space="0"/>
              <w:right w:val="single" w:color="auto" w:sz="4" w:space="0"/>
            </w:tcBorders>
            <w:tcW w:w="981" w:type="pct"/>
            <w:vAlign w:val="center"/>
            <w:textDirection w:val="lrTb"/>
            <w:noWrap w:val="false"/>
          </w:tcPr>
          <w:p>
            <w:pPr>
              <w:ind w:left="-142" w:right="-142"/>
              <w:jc w:val="center"/>
              <w:rPr>
                <w:sz w:val="20"/>
                <w:szCs w:val="20"/>
              </w:rPr>
            </w:pPr>
            <w:r>
              <w:rPr>
                <w:sz w:val="20"/>
                <w:szCs w:val="20"/>
              </w:rPr>
              <w:t xml:space="preserve">13</w:t>
            </w:r>
            <w:r>
              <w:rPr>
                <w:sz w:val="20"/>
                <w:szCs w:val="20"/>
              </w:rPr>
            </w:r>
            <w:r>
              <w:rPr>
                <w:sz w:val="20"/>
                <w:szCs w:val="20"/>
              </w:rPr>
            </w:r>
          </w:p>
        </w:tc>
        <w:tc>
          <w:tcPr>
            <w:shd w:val="clear" w:color="auto" w:fill="ffffff"/>
            <w:tcBorders>
              <w:top w:val="single" w:color="auto" w:sz="4" w:space="0"/>
              <w:left w:val="single" w:color="auto" w:sz="4" w:space="0"/>
              <w:bottom w:val="single" w:color="auto" w:sz="4" w:space="0"/>
              <w:right w:val="single" w:color="auto" w:sz="4" w:space="0"/>
            </w:tcBorders>
            <w:tcW w:w="981" w:type="pct"/>
            <w:vAlign w:val="center"/>
            <w:textDirection w:val="lrTb"/>
            <w:noWrap w:val="false"/>
          </w:tcPr>
          <w:p>
            <w:pPr>
              <w:ind w:left="-142" w:right="-142"/>
              <w:jc w:val="center"/>
              <w:rPr>
                <w:sz w:val="20"/>
                <w:szCs w:val="20"/>
              </w:rPr>
            </w:pPr>
            <w:r>
              <w:rPr>
                <w:sz w:val="20"/>
                <w:szCs w:val="20"/>
              </w:rPr>
              <w:t xml:space="preserve">0,069</w:t>
            </w:r>
            <w:r>
              <w:rPr>
                <w:sz w:val="20"/>
                <w:szCs w:val="20"/>
              </w:rPr>
            </w:r>
            <w:r>
              <w:rPr>
                <w:sz w:val="20"/>
                <w:szCs w:val="20"/>
              </w:rPr>
            </w:r>
          </w:p>
        </w:tc>
        <w:tc>
          <w:tcPr>
            <w:shd w:val="clear" w:color="auto" w:fill="ffffff"/>
            <w:tcBorders>
              <w:top w:val="single" w:color="auto" w:sz="4" w:space="0"/>
              <w:left w:val="single" w:color="auto" w:sz="4" w:space="0"/>
              <w:bottom w:val="single" w:color="auto" w:sz="4" w:space="0"/>
              <w:right w:val="single" w:color="auto" w:sz="4" w:space="0"/>
            </w:tcBorders>
            <w:tcW w:w="981" w:type="pct"/>
            <w:vAlign w:val="center"/>
            <w:textDirection w:val="lrTb"/>
            <w:noWrap w:val="false"/>
          </w:tcPr>
          <w:p>
            <w:pPr>
              <w:ind w:left="-142" w:right="-142"/>
              <w:jc w:val="center"/>
              <w:rPr>
                <w:sz w:val="20"/>
                <w:szCs w:val="20"/>
              </w:rPr>
            </w:pPr>
            <w:r>
              <w:rPr>
                <w:sz w:val="20"/>
                <w:szCs w:val="20"/>
              </w:rPr>
              <w:t xml:space="preserve">4,761</w:t>
            </w:r>
            <w:r>
              <w:rPr>
                <w:sz w:val="20"/>
                <w:szCs w:val="20"/>
              </w:rPr>
            </w:r>
            <w:r>
              <w:rPr>
                <w:sz w:val="20"/>
                <w:szCs w:val="20"/>
              </w:rPr>
            </w:r>
          </w:p>
        </w:tc>
      </w:tr>
    </w:tbl>
    <w:p>
      <w:pPr>
        <w:pStyle w:val="1248"/>
        <w:ind w:left="119" w:right="113" w:firstLine="731"/>
        <w:spacing w:before="0"/>
        <w:rPr>
          <w:lang w:eastAsia="ru-RU"/>
        </w:rPr>
      </w:pPr>
      <w:r/>
      <w:bookmarkStart w:id="36" w:name="_bookmark29"/>
      <w:r/>
      <w:bookmarkStart w:id="37" w:name="_Toc130231878"/>
      <w:r/>
      <w:bookmarkStart w:id="38" w:name="_Toc165540661"/>
      <w:r/>
      <w:bookmarkEnd w:id="36"/>
      <w:r>
        <w:rPr>
          <w:lang w:eastAsia="ru-RU"/>
        </w:rPr>
      </w:r>
      <w:r>
        <w:rPr>
          <w:lang w:eastAsia="ru-RU"/>
        </w:rPr>
      </w:r>
    </w:p>
    <w:p>
      <w:pPr>
        <w:pStyle w:val="1248"/>
        <w:ind w:right="111" w:firstLine="733"/>
        <w:spacing w:before="144"/>
      </w:pPr>
      <w:r>
        <w:rPr>
          <w:lang w:eastAsia="ru-RU"/>
        </w:rPr>
        <w:t xml:space="preserve">1.2.4 </w:t>
      </w:r>
      <w:r>
        <w:t xml:space="preserve">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bookmarkEnd w:id="37"/>
      <w:r/>
      <w:bookmarkEnd w:id="38"/>
      <w:r/>
      <w:r/>
    </w:p>
    <w:p>
      <w:pPr>
        <w:pStyle w:val="1247"/>
        <w:ind w:left="118" w:right="111" w:firstLine="707"/>
        <w:jc w:val="both"/>
        <w:spacing w:before="115"/>
      </w:pPr>
      <w:r>
        <w:t xml:space="preserve">Затраты тепловой энергии (мощности) на собственные и хозяйственные нужды в отношении </w:t>
      </w:r>
      <w:r>
        <w:t xml:space="preserve">централизованных </w:t>
      </w:r>
      <w:r>
        <w:t xml:space="preserve">источников тепловой энергии и параметры тепловой мощности нетто представлены в следующей таблице.</w:t>
      </w:r>
      <w:r/>
    </w:p>
    <w:p>
      <w:pPr>
        <w:ind w:left="156" w:right="153"/>
        <w:jc w:val="right"/>
        <w:rPr>
          <w:spacing w:val="-7"/>
          <w:sz w:val="24"/>
          <w:szCs w:val="24"/>
        </w:rPr>
      </w:pPr>
      <w:r/>
      <w:bookmarkStart w:id="39" w:name="_bookmark30"/>
      <w:r/>
      <w:bookmarkEnd w:id="39"/>
      <w:r>
        <w:rPr>
          <w:sz w:val="24"/>
          <w:szCs w:val="24"/>
        </w:rPr>
        <w:t xml:space="preserve">Таблица</w:t>
      </w:r>
      <w:r>
        <w:rPr>
          <w:spacing w:val="-8"/>
          <w:sz w:val="24"/>
          <w:szCs w:val="24"/>
        </w:rPr>
        <w:t xml:space="preserve"> </w:t>
      </w:r>
      <w:r>
        <w:rPr>
          <w:sz w:val="24"/>
          <w:szCs w:val="24"/>
        </w:rPr>
        <w:t xml:space="preserve">1</w:t>
      </w:r>
      <w:r>
        <w:rPr>
          <w:sz w:val="24"/>
          <w:szCs w:val="24"/>
        </w:rPr>
        <w:t xml:space="preserve">.2.4.1</w:t>
      </w:r>
      <w:r>
        <w:rPr>
          <w:spacing w:val="-7"/>
          <w:sz w:val="24"/>
          <w:szCs w:val="24"/>
        </w:rPr>
      </w:r>
      <w:r>
        <w:rPr>
          <w:spacing w:val="-7"/>
          <w:sz w:val="24"/>
          <w:szCs w:val="24"/>
        </w:rPr>
      </w:r>
    </w:p>
    <w:p>
      <w:pPr>
        <w:ind w:left="156" w:right="153"/>
        <w:jc w:val="center"/>
        <w:rPr>
          <w:spacing w:val="-2"/>
          <w:sz w:val="24"/>
          <w:szCs w:val="24"/>
        </w:rPr>
      </w:pPr>
      <w:r>
        <w:rPr>
          <w:sz w:val="24"/>
          <w:szCs w:val="24"/>
        </w:rPr>
        <w:t xml:space="preserve">Параметры</w:t>
      </w:r>
      <w:r>
        <w:rPr>
          <w:spacing w:val="-10"/>
          <w:sz w:val="24"/>
          <w:szCs w:val="24"/>
        </w:rPr>
        <w:t xml:space="preserve"> </w:t>
      </w:r>
      <w:r>
        <w:rPr>
          <w:sz w:val="24"/>
          <w:szCs w:val="24"/>
        </w:rPr>
        <w:t xml:space="preserve">установленной</w:t>
      </w:r>
      <w:r>
        <w:rPr>
          <w:spacing w:val="-10"/>
          <w:sz w:val="24"/>
          <w:szCs w:val="24"/>
        </w:rPr>
        <w:t xml:space="preserve"> </w:t>
      </w:r>
      <w:r>
        <w:rPr>
          <w:sz w:val="24"/>
          <w:szCs w:val="24"/>
        </w:rPr>
        <w:t xml:space="preserve">тепловой</w:t>
      </w:r>
      <w:r>
        <w:rPr>
          <w:spacing w:val="-9"/>
          <w:sz w:val="24"/>
          <w:szCs w:val="24"/>
        </w:rPr>
        <w:t xml:space="preserve"> </w:t>
      </w:r>
      <w:r>
        <w:rPr>
          <w:sz w:val="24"/>
          <w:szCs w:val="24"/>
        </w:rPr>
        <w:t xml:space="preserve">мощности</w:t>
      </w:r>
      <w:r>
        <w:rPr>
          <w:spacing w:val="-7"/>
          <w:sz w:val="24"/>
          <w:szCs w:val="24"/>
        </w:rPr>
        <w:t xml:space="preserve"> </w:t>
      </w:r>
      <w:r>
        <w:rPr>
          <w:spacing w:val="-2"/>
          <w:sz w:val="24"/>
          <w:szCs w:val="24"/>
        </w:rPr>
        <w:t xml:space="preserve">нетто</w:t>
      </w:r>
      <w:r>
        <w:rPr>
          <w:spacing w:val="-2"/>
          <w:sz w:val="24"/>
          <w:szCs w:val="24"/>
        </w:rPr>
      </w:r>
      <w:r>
        <w:rPr>
          <w:spacing w:val="-2"/>
          <w:sz w:val="24"/>
          <w:szCs w:val="24"/>
        </w:rPr>
      </w:r>
    </w:p>
    <w:tbl>
      <w:tblPr>
        <w:tblW w:w="4885" w:type="pct"/>
        <w:tblCellMar>
          <w:left w:w="10" w:type="dxa"/>
          <w:right w:w="10" w:type="dxa"/>
        </w:tblCellMar>
        <w:tblLook w:val="04A0" w:firstRow="1" w:lastRow="0" w:firstColumn="1" w:lastColumn="0" w:noHBand="0" w:noVBand="1"/>
      </w:tblPr>
      <w:tblGrid>
        <w:gridCol w:w="3963"/>
        <w:gridCol w:w="1915"/>
        <w:gridCol w:w="1913"/>
        <w:gridCol w:w="1842"/>
      </w:tblGrid>
      <w:tr>
        <w:tblPrEx/>
        <w:trPr>
          <w:trHeight w:val="1054" w:hRule="exact"/>
        </w:trPr>
        <w:tc>
          <w:tcPr>
            <w:shd w:val="clear" w:color="auto" w:fill="ffffff"/>
            <w:tcBorders>
              <w:top w:val="single" w:color="auto" w:sz="4" w:space="0"/>
              <w:left w:val="single" w:color="auto" w:sz="4" w:space="0"/>
            </w:tcBorders>
            <w:tcW w:w="2057" w:type="pct"/>
            <w:vAlign w:val="center"/>
            <w:textDirection w:val="lrTb"/>
            <w:noWrap w:val="false"/>
          </w:tcPr>
          <w:p>
            <w:pPr>
              <w:jc w:val="center"/>
              <w:rPr>
                <w:sz w:val="20"/>
                <w:szCs w:val="20"/>
              </w:rPr>
            </w:pPr>
            <w:r>
              <w:rPr>
                <w:sz w:val="20"/>
                <w:szCs w:val="20"/>
              </w:rPr>
              <w:t xml:space="preserve">Наименование источника тепловой энергии</w:t>
            </w:r>
            <w:r>
              <w:rPr>
                <w:sz w:val="20"/>
                <w:szCs w:val="20"/>
              </w:rPr>
            </w:r>
            <w:r>
              <w:rPr>
                <w:sz w:val="20"/>
                <w:szCs w:val="20"/>
              </w:rPr>
            </w:r>
          </w:p>
        </w:tc>
        <w:tc>
          <w:tcPr>
            <w:shd w:val="clear" w:color="auto" w:fill="ffffff"/>
            <w:tcBorders>
              <w:top w:val="single" w:color="auto" w:sz="4" w:space="0"/>
              <w:left w:val="single" w:color="auto" w:sz="4" w:space="0"/>
            </w:tcBorders>
            <w:tcW w:w="994" w:type="pct"/>
            <w:vAlign w:val="center"/>
            <w:textDirection w:val="lrTb"/>
            <w:noWrap w:val="false"/>
          </w:tcPr>
          <w:p>
            <w:pPr>
              <w:jc w:val="center"/>
              <w:rPr>
                <w:sz w:val="20"/>
                <w:szCs w:val="20"/>
              </w:rPr>
            </w:pPr>
            <w:r>
              <w:rPr>
                <w:sz w:val="20"/>
                <w:szCs w:val="20"/>
              </w:rPr>
              <w:t xml:space="preserve">Марка и количество котлов</w:t>
            </w:r>
            <w:r>
              <w:rPr>
                <w:sz w:val="20"/>
                <w:szCs w:val="20"/>
              </w:rPr>
            </w:r>
            <w:r>
              <w:rPr>
                <w:sz w:val="20"/>
                <w:szCs w:val="20"/>
              </w:rPr>
            </w:r>
          </w:p>
        </w:tc>
        <w:tc>
          <w:tcPr>
            <w:shd w:val="clear" w:color="auto" w:fill="ffffff"/>
            <w:tcBorders>
              <w:top w:val="single" w:color="auto" w:sz="4" w:space="0"/>
              <w:left w:val="single" w:color="auto" w:sz="4" w:space="0"/>
            </w:tcBorders>
            <w:tcW w:w="993" w:type="pct"/>
            <w:vAlign w:val="center"/>
            <w:textDirection w:val="lrTb"/>
            <w:noWrap w:val="false"/>
          </w:tcPr>
          <w:p>
            <w:pPr>
              <w:ind w:right="-10"/>
              <w:jc w:val="center"/>
              <w:rPr>
                <w:sz w:val="20"/>
                <w:szCs w:val="20"/>
              </w:rPr>
            </w:pPr>
            <w:r>
              <w:rPr>
                <w:sz w:val="20"/>
                <w:szCs w:val="20"/>
              </w:rPr>
              <w:t xml:space="preserve">Затраты тепловой мощности на собств. и хоз. нужды, Гкал/ч</w:t>
            </w:r>
            <w:r>
              <w:rPr>
                <w:sz w:val="20"/>
                <w:szCs w:val="20"/>
              </w:rPr>
            </w:r>
            <w:r>
              <w:rPr>
                <w:sz w:val="20"/>
                <w:szCs w:val="20"/>
              </w:rPr>
            </w:r>
          </w:p>
        </w:tc>
        <w:tc>
          <w:tcPr>
            <w:shd w:val="clear" w:color="auto" w:fill="ffffff"/>
            <w:tcBorders>
              <w:top w:val="single" w:color="auto" w:sz="4" w:space="0"/>
              <w:left w:val="single" w:color="auto" w:sz="4" w:space="0"/>
              <w:right w:val="single" w:color="auto" w:sz="4" w:space="0"/>
            </w:tcBorders>
            <w:tcW w:w="956" w:type="pct"/>
            <w:vAlign w:val="center"/>
            <w:textDirection w:val="lrTb"/>
            <w:noWrap w:val="false"/>
          </w:tcPr>
          <w:p>
            <w:pPr>
              <w:pStyle w:val="1251"/>
              <w:ind w:left="61" w:right="49"/>
              <w:spacing w:before="33"/>
              <w:rPr>
                <w:sz w:val="20"/>
              </w:rPr>
            </w:pPr>
            <w:r>
              <w:rPr>
                <w:sz w:val="20"/>
              </w:rPr>
              <w:t xml:space="preserve">Мощность</w:t>
            </w:r>
            <w:r>
              <w:rPr>
                <w:spacing w:val="-10"/>
                <w:sz w:val="20"/>
              </w:rPr>
              <w:t xml:space="preserve"> </w:t>
            </w:r>
            <w:r>
              <w:rPr>
                <w:spacing w:val="-2"/>
                <w:sz w:val="20"/>
              </w:rPr>
              <w:t xml:space="preserve">источника</w:t>
            </w:r>
            <w:r>
              <w:rPr>
                <w:sz w:val="20"/>
              </w:rPr>
            </w:r>
            <w:r>
              <w:rPr>
                <w:sz w:val="20"/>
              </w:rPr>
            </w:r>
          </w:p>
          <w:p>
            <w:pPr>
              <w:ind w:right="-10"/>
              <w:jc w:val="center"/>
              <w:rPr>
                <w:sz w:val="20"/>
                <w:szCs w:val="20"/>
              </w:rPr>
            </w:pPr>
            <w:r>
              <w:rPr>
                <w:sz w:val="20"/>
              </w:rPr>
              <w:t xml:space="preserve">тепловой</w:t>
            </w:r>
            <w:r>
              <w:rPr>
                <w:spacing w:val="-13"/>
                <w:sz w:val="20"/>
              </w:rPr>
              <w:t xml:space="preserve"> </w:t>
            </w:r>
            <w:r>
              <w:rPr>
                <w:sz w:val="20"/>
              </w:rPr>
              <w:t xml:space="preserve">энергии</w:t>
            </w:r>
            <w:r>
              <w:rPr>
                <w:spacing w:val="-12"/>
                <w:sz w:val="20"/>
              </w:rPr>
              <w:t xml:space="preserve"> </w:t>
            </w:r>
            <w:r>
              <w:rPr>
                <w:sz w:val="20"/>
              </w:rPr>
              <w:t xml:space="preserve">нетто, </w:t>
            </w:r>
            <w:r>
              <w:rPr>
                <w:spacing w:val="-2"/>
                <w:sz w:val="20"/>
              </w:rPr>
              <w:t xml:space="preserve">Гкал/ч</w:t>
            </w:r>
            <w:r>
              <w:rPr>
                <w:sz w:val="20"/>
                <w:szCs w:val="20"/>
              </w:rPr>
            </w:r>
            <w:r>
              <w:rPr>
                <w:sz w:val="20"/>
                <w:szCs w:val="20"/>
              </w:rPr>
            </w:r>
          </w:p>
        </w:tc>
      </w:tr>
      <w:tr>
        <w:tblPrEx/>
        <w:trPr>
          <w:trHeight w:val="562" w:hRule="exact"/>
        </w:trPr>
        <w:tc>
          <w:tcPr>
            <w:shd w:val="clear" w:color="auto" w:fill="ffffff"/>
            <w:tcBorders>
              <w:top w:val="single" w:color="auto" w:sz="4" w:space="0"/>
              <w:left w:val="single" w:color="auto" w:sz="4" w:space="0"/>
            </w:tcBorders>
            <w:tcW w:w="2057" w:type="pct"/>
            <w:vAlign w:val="center"/>
            <w:textDirection w:val="lrTb"/>
            <w:noWrap w:val="false"/>
          </w:tcPr>
          <w:p>
            <w:pPr>
              <w:jc w:val="center"/>
              <w:rPr>
                <w:sz w:val="20"/>
                <w:szCs w:val="20"/>
              </w:rPr>
            </w:pPr>
            <w:r>
              <w:rPr>
                <w:color w:val="000000"/>
                <w:sz w:val="20"/>
                <w:szCs w:val="20"/>
              </w:rPr>
              <w:t xml:space="preserve">Котельная </w:t>
            </w:r>
            <w:r>
              <w:rPr>
                <w:rFonts w:ascii="Liberation Serif" w:hAnsi="Liberation Serif" w:cs="Calibri"/>
                <w:color w:val="000000"/>
                <w:sz w:val="20"/>
                <w:szCs w:val="20"/>
              </w:rPr>
              <w:t xml:space="preserve">п. Новый Мир, ЛПДС «Юргамыш»</w:t>
            </w:r>
            <w:r>
              <w:rPr>
                <w:sz w:val="20"/>
                <w:szCs w:val="20"/>
              </w:rPr>
            </w:r>
            <w:r>
              <w:rPr>
                <w:sz w:val="20"/>
                <w:szCs w:val="20"/>
              </w:rPr>
            </w:r>
          </w:p>
        </w:tc>
        <w:tc>
          <w:tcPr>
            <w:shd w:val="clear" w:color="auto" w:fill="ffffff"/>
            <w:tcBorders>
              <w:top w:val="single" w:color="auto" w:sz="4" w:space="0"/>
              <w:left w:val="single" w:color="auto" w:sz="4" w:space="0"/>
            </w:tcBorders>
            <w:tcW w:w="994" w:type="pct"/>
            <w:vAlign w:val="center"/>
            <w:textDirection w:val="lrTb"/>
            <w:noWrap w:val="false"/>
          </w:tcPr>
          <w:p>
            <w:pPr>
              <w:jc w:val="center"/>
              <w:rPr>
                <w:sz w:val="20"/>
                <w:szCs w:val="20"/>
              </w:rPr>
            </w:pPr>
            <w:r>
              <w:rPr>
                <w:sz w:val="20"/>
                <w:szCs w:val="20"/>
              </w:rPr>
              <w:t xml:space="preserve">КВЖ-8,12-115ГМ </w:t>
            </w:r>
            <w:r>
              <w:rPr>
                <w:sz w:val="20"/>
                <w:szCs w:val="20"/>
              </w:rPr>
            </w:r>
            <w:r>
              <w:rPr>
                <w:sz w:val="20"/>
                <w:szCs w:val="20"/>
              </w:rPr>
            </w:r>
          </w:p>
          <w:p>
            <w:pPr>
              <w:jc w:val="center"/>
              <w:rPr>
                <w:sz w:val="20"/>
                <w:szCs w:val="20"/>
              </w:rPr>
            </w:pPr>
            <w:r>
              <w:rPr>
                <w:sz w:val="20"/>
                <w:szCs w:val="20"/>
              </w:rPr>
              <w:t xml:space="preserve">(3 котла)</w:t>
            </w:r>
            <w:r>
              <w:rPr>
                <w:sz w:val="20"/>
                <w:szCs w:val="20"/>
              </w:rPr>
            </w:r>
            <w:r>
              <w:rPr>
                <w:sz w:val="20"/>
                <w:szCs w:val="20"/>
              </w:rPr>
            </w:r>
          </w:p>
        </w:tc>
        <w:tc>
          <w:tcPr>
            <w:shd w:val="clear" w:color="auto" w:fill="ffffff"/>
            <w:tcBorders>
              <w:top w:val="single" w:color="auto" w:sz="4" w:space="0"/>
              <w:left w:val="single" w:color="auto" w:sz="4" w:space="0"/>
            </w:tcBorders>
            <w:tcW w:w="993" w:type="pct"/>
            <w:vAlign w:val="center"/>
            <w:textDirection w:val="lrTb"/>
            <w:noWrap w:val="false"/>
          </w:tcPr>
          <w:p>
            <w:pPr>
              <w:ind w:right="-10"/>
              <w:jc w:val="center"/>
              <w:rPr>
                <w:sz w:val="20"/>
                <w:szCs w:val="20"/>
              </w:rPr>
            </w:pPr>
            <w:r>
              <w:rPr>
                <w:sz w:val="20"/>
                <w:szCs w:val="20"/>
              </w:rPr>
              <w:t xml:space="preserve">0,02</w:t>
            </w:r>
            <w:r>
              <w:rPr>
                <w:sz w:val="20"/>
                <w:szCs w:val="20"/>
              </w:rPr>
            </w:r>
            <w:r>
              <w:rPr>
                <w:sz w:val="20"/>
                <w:szCs w:val="20"/>
              </w:rPr>
            </w:r>
          </w:p>
        </w:tc>
        <w:tc>
          <w:tcPr>
            <w:shd w:val="clear" w:color="auto" w:fill="ffffff"/>
            <w:tcBorders>
              <w:top w:val="single" w:color="auto" w:sz="4" w:space="0"/>
              <w:left w:val="single" w:color="auto" w:sz="4" w:space="0"/>
              <w:right w:val="single" w:color="auto" w:sz="4" w:space="0"/>
            </w:tcBorders>
            <w:tcW w:w="956" w:type="pct"/>
            <w:vAlign w:val="center"/>
            <w:textDirection w:val="lrTb"/>
            <w:noWrap w:val="false"/>
          </w:tcPr>
          <w:p>
            <w:pPr>
              <w:ind w:right="-10"/>
              <w:jc w:val="center"/>
              <w:rPr>
                <w:sz w:val="20"/>
                <w:szCs w:val="20"/>
              </w:rPr>
            </w:pPr>
            <w:r>
              <w:rPr>
                <w:sz w:val="20"/>
                <w:szCs w:val="20"/>
              </w:rPr>
              <w:t xml:space="preserve">13,18</w:t>
            </w:r>
            <w:r>
              <w:rPr>
                <w:sz w:val="20"/>
                <w:szCs w:val="20"/>
              </w:rPr>
            </w:r>
            <w:r>
              <w:rPr>
                <w:sz w:val="20"/>
                <w:szCs w:val="20"/>
              </w:rPr>
            </w:r>
          </w:p>
        </w:tc>
      </w:tr>
      <w:tr>
        <w:tblPrEx/>
        <w:trPr>
          <w:trHeight w:val="709" w:hRule="exact"/>
        </w:trPr>
        <w:tc>
          <w:tcPr>
            <w:shd w:val="clear" w:color="auto" w:fill="ffffff"/>
            <w:tcBorders>
              <w:top w:val="single" w:color="auto" w:sz="4" w:space="0"/>
              <w:left w:val="single" w:color="auto" w:sz="4" w:space="0"/>
            </w:tcBorders>
            <w:tcW w:w="2057" w:type="pct"/>
            <w:vAlign w:val="center"/>
            <w:textDirection w:val="lrTb"/>
            <w:noWrap w:val="false"/>
          </w:tcPr>
          <w:p>
            <w:pPr>
              <w:jc w:val="center"/>
              <w:rPr>
                <w:sz w:val="20"/>
                <w:szCs w:val="20"/>
              </w:rPr>
            </w:pPr>
            <w:r>
              <w:rPr>
                <w:color w:val="000000"/>
                <w:sz w:val="20"/>
                <w:szCs w:val="20"/>
              </w:rPr>
              <w:t xml:space="preserve">Котельная </w:t>
            </w:r>
            <w:r>
              <w:rPr>
                <w:rFonts w:ascii="Liberation Serif" w:hAnsi="Liberation Serif" w:cs="Calibri"/>
                <w:color w:val="000000"/>
                <w:sz w:val="20"/>
                <w:szCs w:val="20"/>
              </w:rPr>
              <w:t xml:space="preserve">р.п.  Юргамыш, ул. Железнодорожная, территория тягловой подстанции ОАО «РЖД»</w:t>
            </w:r>
            <w:r>
              <w:rPr>
                <w:sz w:val="20"/>
                <w:szCs w:val="20"/>
              </w:rPr>
            </w:r>
            <w:r>
              <w:rPr>
                <w:sz w:val="20"/>
                <w:szCs w:val="20"/>
              </w:rPr>
            </w:r>
          </w:p>
        </w:tc>
        <w:tc>
          <w:tcPr>
            <w:shd w:val="clear" w:color="auto" w:fill="ffffff"/>
            <w:tcBorders>
              <w:top w:val="single" w:color="auto" w:sz="4" w:space="0"/>
              <w:left w:val="single" w:color="auto" w:sz="4" w:space="0"/>
            </w:tcBorders>
            <w:tcW w:w="994" w:type="pct"/>
            <w:vAlign w:val="center"/>
            <w:textDirection w:val="lrTb"/>
            <w:noWrap w:val="false"/>
          </w:tcPr>
          <w:p>
            <w:pPr>
              <w:jc w:val="center"/>
              <w:rPr>
                <w:sz w:val="20"/>
                <w:szCs w:val="20"/>
              </w:rPr>
            </w:pPr>
            <w:r>
              <w:rPr>
                <w:sz w:val="20"/>
                <w:szCs w:val="20"/>
              </w:rPr>
              <w:t xml:space="preserve">НР-18Ф-0,63 </w:t>
            </w:r>
            <w:r>
              <w:rPr>
                <w:sz w:val="20"/>
                <w:szCs w:val="20"/>
              </w:rPr>
            </w:r>
            <w:r>
              <w:rPr>
                <w:sz w:val="20"/>
                <w:szCs w:val="20"/>
              </w:rPr>
            </w:r>
          </w:p>
          <w:p>
            <w:pPr>
              <w:jc w:val="center"/>
              <w:rPr>
                <w:sz w:val="20"/>
                <w:szCs w:val="20"/>
              </w:rPr>
            </w:pPr>
            <w:r>
              <w:rPr>
                <w:sz w:val="20"/>
                <w:szCs w:val="20"/>
              </w:rPr>
              <w:t xml:space="preserve">(2 котла)</w:t>
            </w:r>
            <w:r>
              <w:rPr>
                <w:sz w:val="20"/>
                <w:szCs w:val="20"/>
              </w:rPr>
            </w:r>
            <w:r>
              <w:rPr>
                <w:sz w:val="20"/>
                <w:szCs w:val="20"/>
              </w:rPr>
            </w:r>
          </w:p>
        </w:tc>
        <w:tc>
          <w:tcPr>
            <w:shd w:val="clear" w:color="auto" w:fill="ffffff"/>
            <w:tcBorders>
              <w:top w:val="single" w:color="auto" w:sz="4" w:space="0"/>
              <w:left w:val="single" w:color="auto" w:sz="4" w:space="0"/>
            </w:tcBorders>
            <w:tcW w:w="993" w:type="pct"/>
            <w:vAlign w:val="center"/>
            <w:textDirection w:val="lrTb"/>
            <w:noWrap w:val="false"/>
          </w:tcPr>
          <w:p>
            <w:pPr>
              <w:ind w:right="-10"/>
              <w:jc w:val="center"/>
              <w:rPr>
                <w:sz w:val="20"/>
                <w:szCs w:val="20"/>
              </w:rPr>
            </w:pPr>
            <w:r>
              <w:rPr>
                <w:sz w:val="20"/>
                <w:szCs w:val="20"/>
              </w:rPr>
              <w:t xml:space="preserve">0,048</w:t>
            </w:r>
            <w:r>
              <w:rPr>
                <w:sz w:val="20"/>
                <w:szCs w:val="20"/>
              </w:rPr>
            </w:r>
            <w:r>
              <w:rPr>
                <w:sz w:val="20"/>
                <w:szCs w:val="20"/>
              </w:rPr>
            </w:r>
          </w:p>
        </w:tc>
        <w:tc>
          <w:tcPr>
            <w:shd w:val="clear" w:color="auto" w:fill="ffffff"/>
            <w:tcBorders>
              <w:top w:val="single" w:color="auto" w:sz="4" w:space="0"/>
              <w:left w:val="single" w:color="auto" w:sz="4" w:space="0"/>
              <w:right w:val="single" w:color="auto" w:sz="4" w:space="0"/>
            </w:tcBorders>
            <w:tcW w:w="956" w:type="pct"/>
            <w:vAlign w:val="center"/>
            <w:textDirection w:val="lrTb"/>
            <w:noWrap w:val="false"/>
          </w:tcPr>
          <w:p>
            <w:pPr>
              <w:ind w:right="-10"/>
              <w:jc w:val="center"/>
              <w:rPr>
                <w:sz w:val="20"/>
                <w:szCs w:val="20"/>
              </w:rPr>
            </w:pPr>
            <w:r>
              <w:rPr>
                <w:sz w:val="20"/>
                <w:szCs w:val="20"/>
              </w:rPr>
              <w:t xml:space="preserve">0,867</w:t>
            </w:r>
            <w:r>
              <w:rPr>
                <w:sz w:val="20"/>
                <w:szCs w:val="20"/>
              </w:rPr>
            </w:r>
            <w:r>
              <w:rPr>
                <w:sz w:val="20"/>
                <w:szCs w:val="20"/>
              </w:rPr>
            </w:r>
          </w:p>
        </w:tc>
      </w:tr>
      <w:tr>
        <w:tblPrEx/>
        <w:trPr>
          <w:trHeight w:val="719" w:hRule="exact"/>
        </w:trPr>
        <w:tc>
          <w:tcPr>
            <w:shd w:val="clear" w:color="auto" w:fill="ffffff"/>
            <w:tcBorders>
              <w:top w:val="single" w:color="auto" w:sz="4" w:space="0"/>
              <w:left w:val="single" w:color="auto" w:sz="4" w:space="0"/>
              <w:bottom w:val="single" w:color="auto" w:sz="4" w:space="0"/>
            </w:tcBorders>
            <w:tcW w:w="2057" w:type="pct"/>
            <w:vAlign w:val="center"/>
            <w:textDirection w:val="lrTb"/>
            <w:noWrap w:val="false"/>
          </w:tcPr>
          <w:p>
            <w:pPr>
              <w:jc w:val="center"/>
              <w:rPr>
                <w:sz w:val="20"/>
                <w:szCs w:val="20"/>
              </w:rPr>
            </w:pPr>
            <w:r>
              <w:rPr>
                <w:sz w:val="20"/>
                <w:szCs w:val="20"/>
              </w:rPr>
              <w:t xml:space="preserve">Котельная ФКУ ИК №7 УФСИН России по Курганской области,</w:t>
            </w:r>
            <w:r>
              <w:rPr>
                <w:rFonts w:ascii="Liberation Serif" w:hAnsi="Liberation Serif" w:cs="Calibri"/>
                <w:color w:val="000000"/>
                <w:sz w:val="20"/>
                <w:szCs w:val="20"/>
              </w:rPr>
              <w:t xml:space="preserve"> Курганская область, р.п. Юргамыш, ул. Труда, 147</w:t>
            </w:r>
            <w:r>
              <w:rPr>
                <w:sz w:val="20"/>
                <w:szCs w:val="20"/>
              </w:rPr>
            </w:r>
            <w:r>
              <w:rPr>
                <w:sz w:val="20"/>
                <w:szCs w:val="20"/>
              </w:rPr>
            </w:r>
          </w:p>
        </w:tc>
        <w:tc>
          <w:tcPr>
            <w:shd w:val="clear" w:color="auto" w:fill="ffffff"/>
            <w:tcBorders>
              <w:top w:val="single" w:color="auto" w:sz="4" w:space="0"/>
              <w:left w:val="single" w:color="auto" w:sz="4" w:space="0"/>
              <w:bottom w:val="single" w:color="auto" w:sz="4" w:space="0"/>
            </w:tcBorders>
            <w:tcW w:w="994" w:type="pct"/>
            <w:vAlign w:val="center"/>
            <w:textDirection w:val="lrTb"/>
            <w:noWrap w:val="false"/>
          </w:tcPr>
          <w:p>
            <w:pPr>
              <w:jc w:val="center"/>
              <w:rPr>
                <w:sz w:val="20"/>
                <w:szCs w:val="20"/>
              </w:rPr>
            </w:pPr>
            <w:r>
              <w:rPr>
                <w:sz w:val="20"/>
                <w:szCs w:val="20"/>
              </w:rPr>
              <w:t xml:space="preserve">КВр-2,5 (1 котел)</w:t>
            </w:r>
            <w:r>
              <w:rPr>
                <w:sz w:val="20"/>
                <w:szCs w:val="20"/>
              </w:rPr>
            </w:r>
            <w:r>
              <w:rPr>
                <w:sz w:val="20"/>
                <w:szCs w:val="20"/>
              </w:rPr>
            </w:r>
          </w:p>
          <w:p>
            <w:pPr>
              <w:jc w:val="center"/>
              <w:rPr>
                <w:sz w:val="20"/>
                <w:szCs w:val="20"/>
              </w:rPr>
            </w:pPr>
            <w:r>
              <w:rPr>
                <w:sz w:val="20"/>
                <w:szCs w:val="20"/>
              </w:rPr>
              <w:t xml:space="preserve">КЕ-4/14 (1 котел)</w:t>
            </w:r>
            <w:r>
              <w:rPr>
                <w:sz w:val="20"/>
                <w:szCs w:val="20"/>
              </w:rPr>
            </w:r>
            <w:r>
              <w:rPr>
                <w:sz w:val="20"/>
                <w:szCs w:val="20"/>
              </w:rPr>
            </w:r>
          </w:p>
        </w:tc>
        <w:tc>
          <w:tcPr>
            <w:shd w:val="clear" w:color="auto" w:fill="ffffff"/>
            <w:tcBorders>
              <w:top w:val="single" w:color="auto" w:sz="4" w:space="0"/>
              <w:left w:val="single" w:color="auto" w:sz="4" w:space="0"/>
              <w:bottom w:val="single" w:color="auto" w:sz="4" w:space="0"/>
            </w:tcBorders>
            <w:tcW w:w="993"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shd w:val="clear" w:color="auto" w:fill="ffffff"/>
            <w:tcBorders>
              <w:top w:val="single" w:color="auto" w:sz="4" w:space="0"/>
              <w:left w:val="single" w:color="auto" w:sz="4" w:space="0"/>
              <w:bottom w:val="single" w:color="auto" w:sz="4" w:space="0"/>
              <w:right w:val="single" w:color="auto" w:sz="4" w:space="0"/>
            </w:tcBorders>
            <w:tcW w:w="956" w:type="pct"/>
            <w:vAlign w:val="center"/>
            <w:textDirection w:val="lrTb"/>
            <w:noWrap w:val="false"/>
          </w:tcPr>
          <w:p>
            <w:pPr>
              <w:ind w:left="-142" w:right="-142"/>
              <w:jc w:val="center"/>
              <w:rPr>
                <w:sz w:val="20"/>
                <w:szCs w:val="20"/>
              </w:rPr>
            </w:pPr>
            <w:r>
              <w:rPr>
                <w:sz w:val="20"/>
                <w:szCs w:val="20"/>
              </w:rPr>
              <w:t xml:space="preserve">6,15</w:t>
            </w:r>
            <w:r>
              <w:rPr>
                <w:sz w:val="20"/>
                <w:szCs w:val="20"/>
              </w:rPr>
            </w:r>
            <w:r>
              <w:rPr>
                <w:sz w:val="20"/>
                <w:szCs w:val="20"/>
              </w:rPr>
            </w:r>
          </w:p>
        </w:tc>
      </w:tr>
      <w:tr>
        <w:tblPrEx/>
        <w:trPr>
          <w:trHeight w:val="417" w:hRule="exact"/>
        </w:trPr>
        <w:tc>
          <w:tcPr>
            <w:shd w:val="clear" w:color="auto" w:fill="ffffff"/>
            <w:tcBorders>
              <w:top w:val="single" w:color="auto" w:sz="4" w:space="0"/>
              <w:left w:val="single" w:color="auto" w:sz="4" w:space="0"/>
              <w:bottom w:val="single" w:color="auto" w:sz="4" w:space="0"/>
              <w:right w:val="single" w:color="auto" w:sz="4" w:space="0"/>
            </w:tcBorders>
            <w:tcW w:w="2057" w:type="pct"/>
            <w:vAlign w:val="center"/>
            <w:textDirection w:val="lrTb"/>
            <w:noWrap w:val="false"/>
          </w:tcPr>
          <w:p>
            <w:pPr>
              <w:jc w:val="center"/>
              <w:rPr>
                <w:sz w:val="20"/>
                <w:szCs w:val="20"/>
              </w:rPr>
            </w:pPr>
            <w:r>
              <w:rPr>
                <w:sz w:val="20"/>
                <w:szCs w:val="20"/>
              </w:rPr>
              <w:t xml:space="preserve">Котельная </w:t>
            </w:r>
            <w:r>
              <w:rPr>
                <w:rFonts w:ascii="Liberation Serif" w:hAnsi="Liberation Serif" w:cs="Calibri"/>
                <w:color w:val="000000"/>
                <w:sz w:val="20"/>
                <w:szCs w:val="20"/>
              </w:rPr>
              <w:t xml:space="preserve">р.п. Юргамыш, ул. Ленина, 47а</w:t>
            </w:r>
            <w:r>
              <w:rPr>
                <w:sz w:val="20"/>
                <w:szCs w:val="20"/>
              </w:rPr>
            </w:r>
            <w:r>
              <w:rPr>
                <w:sz w:val="20"/>
                <w:szCs w:val="20"/>
              </w:rPr>
            </w:r>
          </w:p>
        </w:tc>
        <w:tc>
          <w:tcPr>
            <w:shd w:val="clear" w:color="auto" w:fill="ffffff"/>
            <w:tcBorders>
              <w:top w:val="single" w:color="auto" w:sz="4" w:space="0"/>
              <w:left w:val="single" w:color="auto" w:sz="4" w:space="0"/>
              <w:bottom w:val="single" w:color="auto" w:sz="4" w:space="0"/>
              <w:right w:val="single" w:color="auto" w:sz="4" w:space="0"/>
            </w:tcBorders>
            <w:tcW w:w="994"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shd w:val="clear" w:color="auto" w:fill="ffffff"/>
            <w:tcBorders>
              <w:top w:val="single" w:color="auto" w:sz="4" w:space="0"/>
              <w:left w:val="single" w:color="auto" w:sz="4" w:space="0"/>
              <w:bottom w:val="single" w:color="auto" w:sz="4" w:space="0"/>
              <w:right w:val="single" w:color="auto" w:sz="4" w:space="0"/>
            </w:tcBorders>
            <w:tcW w:w="993" w:type="pct"/>
            <w:vAlign w:val="center"/>
            <w:textDirection w:val="lrTb"/>
            <w:noWrap w:val="false"/>
          </w:tcPr>
          <w:p>
            <w:pPr>
              <w:ind w:left="-142" w:right="-142"/>
              <w:jc w:val="center"/>
              <w:rPr>
                <w:sz w:val="20"/>
                <w:szCs w:val="20"/>
              </w:rPr>
            </w:pPr>
            <w:r>
              <w:rPr>
                <w:sz w:val="20"/>
                <w:szCs w:val="20"/>
              </w:rPr>
              <w:t xml:space="preserve">0,07</w:t>
            </w:r>
            <w:r>
              <w:rPr>
                <w:sz w:val="20"/>
                <w:szCs w:val="20"/>
              </w:rPr>
            </w:r>
            <w:r>
              <w:rPr>
                <w:sz w:val="20"/>
                <w:szCs w:val="20"/>
              </w:rPr>
            </w:r>
          </w:p>
        </w:tc>
        <w:tc>
          <w:tcPr>
            <w:shd w:val="clear" w:color="auto" w:fill="ffffff"/>
            <w:tcBorders>
              <w:top w:val="single" w:color="auto" w:sz="4" w:space="0"/>
              <w:left w:val="single" w:color="auto" w:sz="4" w:space="0"/>
              <w:bottom w:val="single" w:color="auto" w:sz="4" w:space="0"/>
              <w:right w:val="single" w:color="auto" w:sz="4" w:space="0"/>
            </w:tcBorders>
            <w:tcW w:w="956" w:type="pct"/>
            <w:vAlign w:val="center"/>
            <w:textDirection w:val="lrTb"/>
            <w:noWrap w:val="false"/>
          </w:tcPr>
          <w:p>
            <w:pPr>
              <w:ind w:left="-142" w:right="-142"/>
              <w:jc w:val="center"/>
              <w:rPr>
                <w:sz w:val="20"/>
                <w:szCs w:val="20"/>
              </w:rPr>
            </w:pPr>
            <w:r>
              <w:rPr>
                <w:sz w:val="20"/>
                <w:szCs w:val="20"/>
              </w:rPr>
              <w:t xml:space="preserve">4,691</w:t>
            </w:r>
            <w:r>
              <w:rPr>
                <w:sz w:val="20"/>
                <w:szCs w:val="20"/>
              </w:rPr>
            </w:r>
            <w:r>
              <w:rPr>
                <w:sz w:val="20"/>
                <w:szCs w:val="20"/>
              </w:rPr>
            </w:r>
          </w:p>
        </w:tc>
      </w:tr>
    </w:tbl>
    <w:p>
      <w:pPr>
        <w:ind w:left="156" w:right="153"/>
        <w:jc w:val="center"/>
        <w:rPr>
          <w:sz w:val="24"/>
          <w:szCs w:val="24"/>
        </w:rPr>
      </w:pPr>
      <w:r>
        <w:rPr>
          <w:sz w:val="24"/>
          <w:szCs w:val="24"/>
        </w:rPr>
      </w:r>
      <w:r>
        <w:rPr>
          <w:sz w:val="24"/>
          <w:szCs w:val="24"/>
        </w:rPr>
      </w:r>
      <w:r>
        <w:rPr>
          <w:sz w:val="24"/>
          <w:szCs w:val="24"/>
        </w:rPr>
      </w:r>
    </w:p>
    <w:p>
      <w:pPr>
        <w:pStyle w:val="1248"/>
        <w:ind w:right="115" w:firstLine="733"/>
      </w:pPr>
      <w:r/>
      <w:bookmarkStart w:id="40" w:name="_bookmark31"/>
      <w:r/>
      <w:bookmarkStart w:id="41" w:name="_Toc130231879"/>
      <w:r/>
      <w:bookmarkStart w:id="42" w:name="_Toc165540662"/>
      <w:r/>
      <w:bookmarkEnd w:id="40"/>
      <w:r>
        <w:rPr>
          <w:lang w:eastAsia="ru-RU"/>
        </w:rPr>
        <w:t xml:space="preserve">1.2.5 </w:t>
      </w:r>
      <w:r>
        <w:t xml:space="preserve">Сроки ввода в эксплуатацию основного оборудования, год последнего освидетельствования</w:t>
      </w:r>
      <w:r>
        <w:rPr>
          <w:spacing w:val="-11"/>
        </w:rPr>
        <w:t xml:space="preserve"> </w:t>
      </w:r>
      <w:r>
        <w:t xml:space="preserve">при</w:t>
      </w:r>
      <w:r>
        <w:rPr>
          <w:spacing w:val="-10"/>
        </w:rPr>
        <w:t xml:space="preserve"> </w:t>
      </w:r>
      <w:r>
        <w:t xml:space="preserve">допуске</w:t>
      </w:r>
      <w:r>
        <w:rPr>
          <w:spacing w:val="-12"/>
        </w:rPr>
        <w:t xml:space="preserve"> </w:t>
      </w:r>
      <w:r>
        <w:t xml:space="preserve">к</w:t>
      </w:r>
      <w:r>
        <w:rPr>
          <w:spacing w:val="-10"/>
        </w:rPr>
        <w:t xml:space="preserve"> </w:t>
      </w:r>
      <w:r>
        <w:t xml:space="preserve">эксплуатации</w:t>
      </w:r>
      <w:r>
        <w:rPr>
          <w:spacing w:val="-10"/>
        </w:rPr>
        <w:t xml:space="preserve"> </w:t>
      </w:r>
      <w:r>
        <w:t xml:space="preserve">после</w:t>
      </w:r>
      <w:r>
        <w:rPr>
          <w:spacing w:val="-12"/>
        </w:rPr>
        <w:t xml:space="preserve"> </w:t>
      </w:r>
      <w:r>
        <w:t xml:space="preserve">ремонта,</w:t>
      </w:r>
      <w:r>
        <w:rPr>
          <w:spacing w:val="-13"/>
        </w:rPr>
        <w:t xml:space="preserve"> </w:t>
      </w:r>
      <w:r>
        <w:t xml:space="preserve">год</w:t>
      </w:r>
      <w:r>
        <w:rPr>
          <w:spacing w:val="-10"/>
        </w:rPr>
        <w:t xml:space="preserve"> </w:t>
      </w:r>
      <w:r>
        <w:t xml:space="preserve">продления</w:t>
      </w:r>
      <w:r>
        <w:rPr>
          <w:spacing w:val="-11"/>
        </w:rPr>
        <w:t xml:space="preserve"> </w:t>
      </w:r>
      <w:r>
        <w:t xml:space="preserve">ресурса и мероприятия по продлению ресурса</w:t>
      </w:r>
      <w:bookmarkEnd w:id="41"/>
      <w:r/>
      <w:bookmarkEnd w:id="42"/>
      <w:r/>
      <w:r/>
    </w:p>
    <w:p>
      <w:pPr>
        <w:pStyle w:val="1247"/>
        <w:ind w:left="142" w:firstLine="684"/>
        <w:jc w:val="both"/>
        <w:spacing w:before="115"/>
      </w:pPr>
      <w:r>
        <w:t xml:space="preserve">Сроки</w:t>
      </w:r>
      <w:r>
        <w:rPr>
          <w:spacing w:val="11"/>
        </w:rPr>
        <w:t xml:space="preserve"> </w:t>
      </w:r>
      <w:r>
        <w:t xml:space="preserve">ввода</w:t>
      </w:r>
      <w:r>
        <w:rPr>
          <w:spacing w:val="14"/>
        </w:rPr>
        <w:t xml:space="preserve"> </w:t>
      </w:r>
      <w:r>
        <w:t xml:space="preserve">в</w:t>
      </w:r>
      <w:r>
        <w:rPr>
          <w:spacing w:val="13"/>
        </w:rPr>
        <w:t xml:space="preserve"> </w:t>
      </w:r>
      <w:r>
        <w:t xml:space="preserve">эксплуатацию</w:t>
      </w:r>
      <w:r>
        <w:rPr>
          <w:spacing w:val="14"/>
        </w:rPr>
        <w:t xml:space="preserve"> </w:t>
      </w:r>
      <w:r>
        <w:t xml:space="preserve">оборудования </w:t>
      </w:r>
      <w:r>
        <w:t xml:space="preserve">централизованных</w:t>
      </w:r>
      <w:r>
        <w:rPr>
          <w:spacing w:val="13"/>
        </w:rPr>
        <w:t xml:space="preserve"> </w:t>
      </w:r>
      <w:r>
        <w:t xml:space="preserve">котельных</w:t>
      </w:r>
      <w:r>
        <w:rPr>
          <w:spacing w:val="15"/>
        </w:rPr>
        <w:t xml:space="preserve"> </w:t>
      </w:r>
      <w:r>
        <w:t xml:space="preserve">представлены</w:t>
      </w:r>
      <w:r>
        <w:rPr>
          <w:spacing w:val="13"/>
        </w:rPr>
        <w:t xml:space="preserve"> </w:t>
      </w:r>
      <w:r>
        <w:t xml:space="preserve">в</w:t>
      </w:r>
      <w:r>
        <w:rPr>
          <w:spacing w:val="12"/>
        </w:rPr>
        <w:t xml:space="preserve"> </w:t>
      </w:r>
      <w:r>
        <w:t xml:space="preserve">п. 1.2.1</w:t>
      </w:r>
      <w:r>
        <w:rPr>
          <w:spacing w:val="-2"/>
        </w:rPr>
        <w:t xml:space="preserve">.</w:t>
      </w:r>
      <w:r>
        <w:rPr>
          <w:spacing w:val="-2"/>
        </w:rPr>
        <w:t xml:space="preserve"> </w:t>
      </w:r>
      <w:r>
        <w:t xml:space="preserve">Продление ресурса не требуется.</w:t>
      </w:r>
      <w:r/>
    </w:p>
    <w:p>
      <w:pPr>
        <w:tabs>
          <w:tab w:val="left" w:pos="6494" w:leader="none"/>
        </w:tabs>
        <w:rPr>
          <w:sz w:val="24"/>
          <w:szCs w:val="24"/>
        </w:rPr>
      </w:pPr>
      <w:r/>
      <w:bookmarkStart w:id="43" w:name="_bookmark32"/>
      <w:r/>
      <w:bookmarkEnd w:id="43"/>
      <w:r>
        <w:rPr>
          <w:sz w:val="24"/>
          <w:szCs w:val="24"/>
        </w:rPr>
        <w:tab/>
      </w:r>
      <w:r>
        <w:rPr>
          <w:sz w:val="24"/>
          <w:szCs w:val="24"/>
        </w:rPr>
      </w:r>
      <w:r>
        <w:rPr>
          <w:sz w:val="24"/>
          <w:szCs w:val="24"/>
        </w:rPr>
      </w:r>
    </w:p>
    <w:p>
      <w:pPr>
        <w:pStyle w:val="1248"/>
        <w:ind w:right="110" w:firstLine="733"/>
        <w:spacing w:before="142"/>
      </w:pPr>
      <w:r/>
      <w:bookmarkStart w:id="44" w:name="_bookmark33"/>
      <w:r/>
      <w:bookmarkStart w:id="45" w:name="_Toc130231880"/>
      <w:r/>
      <w:bookmarkStart w:id="46" w:name="_Toc165540663"/>
      <w:r/>
      <w:bookmarkEnd w:id="44"/>
      <w:r>
        <w:rPr>
          <w:lang w:eastAsia="ru-RU"/>
        </w:rPr>
        <w:t xml:space="preserve">1.2.6 </w:t>
      </w:r>
      <w:r>
        <w:t xml:space="preserve">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bookmarkEnd w:id="45"/>
      <w:r/>
      <w:bookmarkEnd w:id="46"/>
      <w:r/>
      <w:r/>
    </w:p>
    <w:p>
      <w:pPr>
        <w:pStyle w:val="1247"/>
        <w:ind w:left="119" w:right="-53" w:firstLine="709"/>
        <w:jc w:val="both"/>
        <w:spacing w:before="120"/>
      </w:pPr>
      <w:r>
        <w:t xml:space="preserve">Схема выдачи тепловой мощности отопительных котельных Юргамышского муниципального округа идентична. Принципиальная тепловая схема приведена на рисунке 1.</w:t>
      </w:r>
      <w:r/>
    </w:p>
    <w:p>
      <w:pPr>
        <w:pStyle w:val="1247"/>
        <w:ind w:left="119" w:right="-51" w:firstLine="709"/>
        <w:jc w:val="both"/>
      </w:pPr>
      <w:r>
        <w:t xml:space="preserve">Источники тепловой энергии Юргамышского муниципального округа не являются источниками комбинированной выработки тепловой и электрической энергии.</w:t>
      </w:r>
      <w:r/>
    </w:p>
    <w:p>
      <w:pPr>
        <w:pStyle w:val="1247"/>
        <w:ind w:left="119" w:right="-53" w:firstLine="1157"/>
        <w:jc w:val="both"/>
        <w:spacing w:before="120"/>
      </w:pPr>
      <w:r>
        <w:rPr>
          <w:lang w:eastAsia="ru-RU"/>
        </w:rPr>
        <mc:AlternateContent>
          <mc:Choice Requires="wpg">
            <w:drawing>
              <wp:inline xmlns:wp="http://schemas.openxmlformats.org/drawingml/2006/wordprocessingDrawing" distT="0" distB="0" distL="0" distR="0">
                <wp:extent cx="5076190" cy="2563495"/>
                <wp:effectExtent l="9525" t="9525" r="19685" b="55880"/>
                <wp:docPr id="9" name="Группа 18"/>
                <wp:cNvGraphicFramePr/>
                <a:graphic xmlns:a="http://schemas.openxmlformats.org/drawingml/2006/main">
                  <a:graphicData uri="http://schemas.microsoft.com/office/word/2010/wordprocessingGroup">
                    <wpg:wgp>
                      <wpg:cNvGrpSpPr/>
                      <wpg:grpSpPr bwMode="auto">
                        <a:xfrm>
                          <a:off x="0" y="0"/>
                          <a:ext cx="5076190" cy="2563495"/>
                          <a:chOff x="0" y="0"/>
                          <a:chExt cx="50765" cy="25634"/>
                        </a:xfrm>
                      </wpg:grpSpPr>
                      <wps:wsp>
                        <wps:cNvPr id="0" name=""/>
                        <wps:cNvSpPr txBox="1">
                          <a:spLocks noChangeArrowheads="1"/>
                        </wps:cNvSpPr>
                        <wps:spPr bwMode="auto">
                          <a:xfrm>
                            <a:off x="29772" y="17811"/>
                            <a:ext cx="1447" cy="2508"/>
                          </a:xfrm>
                          <a:prstGeom prst="rect">
                            <a:avLst/>
                          </a:prstGeom>
                          <a:solidFill>
                            <a:schemeClr val="lt1">
                              <a:lumMod val="100000"/>
                              <a:lumOff val="0"/>
                            </a:schemeClr>
                          </a:solidFill>
                          <a:ln>
                            <a:noFill/>
                          </a:ln>
                        </wps:spPr>
                        <wps:txbx>
                          <w:txbxContent>
                            <w:p>
                              <w:pPr>
                                <w:rPr>
                                  <w:sz w:val="20"/>
                                  <w:szCs w:val="20"/>
                                </w:rPr>
                              </w:pPr>
                              <w:r>
                                <w:rPr>
                                  <w:sz w:val="20"/>
                                  <w:szCs w:val="20"/>
                                </w:rPr>
                                <w:t xml:space="preserve">1</w:t>
                              </w:r>
                              <w:r>
                                <w:rPr>
                                  <w:sz w:val="20"/>
                                  <w:szCs w:val="20"/>
                                </w:rPr>
                              </w:r>
                              <w:r>
                                <w:rPr>
                                  <w:sz w:val="20"/>
                                  <w:szCs w:val="20"/>
                                </w:rPr>
                              </w:r>
                            </w:p>
                          </w:txbxContent>
                        </wps:txbx>
                        <wps:bodyPr rot="0" vert="horz" wrap="square" lIns="91440" tIns="45720" rIns="91440" bIns="45720" anchor="t" anchorCtr="0" upright="1">
                          <a:noAutofit/>
                        </wps:bodyPr>
                      </wps:wsp>
                      <wpg:grpSp>
                        <wpg:cNvGrpSpPr/>
                        <wpg:grpSpPr bwMode="auto">
                          <a:xfrm>
                            <a:off x="0" y="0"/>
                            <a:ext cx="50765" cy="25634"/>
                            <a:chOff x="0" y="0"/>
                            <a:chExt cx="50765" cy="25634"/>
                          </a:xfrm>
                        </wpg:grpSpPr>
                        <wps:wsp>
                          <wps:cNvPr id="1" name=""/>
                          <wps:cNvSpPr txBox="1">
                            <a:spLocks noChangeArrowheads="1"/>
                          </wps:cNvSpPr>
                          <wps:spPr bwMode="auto">
                            <a:xfrm>
                              <a:off x="19153" y="22664"/>
                              <a:ext cx="1448" cy="2509"/>
                            </a:xfrm>
                            <a:prstGeom prst="rect">
                              <a:avLst/>
                            </a:prstGeom>
                            <a:solidFill>
                              <a:schemeClr val="lt1">
                                <a:lumMod val="100000"/>
                                <a:lumOff val="0"/>
                              </a:schemeClr>
                            </a:solidFill>
                            <a:ln>
                              <a:noFill/>
                            </a:ln>
                          </wps:spPr>
                          <wps:txbx>
                            <w:txbxContent>
                              <w:p>
                                <w:pPr>
                                  <w:rPr>
                                    <w:sz w:val="20"/>
                                    <w:szCs w:val="20"/>
                                  </w:rPr>
                                </w:pPr>
                                <w:r>
                                  <w:rPr>
                                    <w:sz w:val="20"/>
                                    <w:szCs w:val="20"/>
                                  </w:rPr>
                                  <w:t xml:space="preserve">7</w:t>
                                </w:r>
                                <w:r>
                                  <w:rPr>
                                    <w:sz w:val="20"/>
                                    <w:szCs w:val="20"/>
                                  </w:rPr>
                                </w:r>
                                <w:r>
                                  <w:rPr>
                                    <w:sz w:val="20"/>
                                    <w:szCs w:val="20"/>
                                  </w:rPr>
                                </w:r>
                              </w:p>
                            </w:txbxContent>
                          </wps:txbx>
                          <wps:bodyPr rot="0" vert="horz" wrap="square" lIns="91440" tIns="45720" rIns="91440" bIns="45720" anchor="t" anchorCtr="0" upright="1">
                            <a:noAutofit/>
                          </wps:bodyPr>
                        </wps:wsp>
                        <wpg:grpSp>
                          <wpg:cNvGrpSpPr/>
                          <wpg:grpSpPr bwMode="auto">
                            <a:xfrm>
                              <a:off x="0" y="0"/>
                              <a:ext cx="50765" cy="25634"/>
                              <a:chOff x="0" y="0"/>
                              <a:chExt cx="50765" cy="25634"/>
                            </a:xfrm>
                          </wpg:grpSpPr>
                          <wps:wsp>
                            <wps:cNvPr id="2" name=""/>
                            <wps:cNvSpPr txBox="1">
                              <a:spLocks noChangeArrowheads="1"/>
                            </wps:cNvSpPr>
                            <wps:spPr bwMode="auto">
                              <a:xfrm>
                                <a:off x="21884" y="18894"/>
                                <a:ext cx="1448" cy="2508"/>
                              </a:xfrm>
                              <a:prstGeom prst="rect">
                                <a:avLst/>
                              </a:prstGeom>
                              <a:solidFill>
                                <a:schemeClr val="lt1">
                                  <a:lumMod val="100000"/>
                                  <a:lumOff val="0"/>
                                </a:schemeClr>
                              </a:solidFill>
                              <a:ln>
                                <a:noFill/>
                              </a:ln>
                            </wps:spPr>
                            <wps:txbx>
                              <w:txbxContent>
                                <w:p>
                                  <w:pPr>
                                    <w:rPr>
                                      <w:sz w:val="20"/>
                                      <w:szCs w:val="20"/>
                                    </w:rPr>
                                  </w:pPr>
                                  <w:r>
                                    <w:rPr>
                                      <w:sz w:val="20"/>
                                      <w:szCs w:val="20"/>
                                    </w:rPr>
                                    <w:t xml:space="preserve">3</w:t>
                                  </w:r>
                                  <w:r>
                                    <w:rPr>
                                      <w:sz w:val="20"/>
                                      <w:szCs w:val="20"/>
                                    </w:rPr>
                                  </w:r>
                                  <w:r>
                                    <w:rPr>
                                      <w:sz w:val="20"/>
                                      <w:szCs w:val="20"/>
                                    </w:rPr>
                                  </w:r>
                                </w:p>
                              </w:txbxContent>
                            </wps:txbx>
                            <wps:bodyPr rot="0" vert="horz" wrap="square" lIns="91440" tIns="45720" rIns="91440" bIns="45720" anchor="t" anchorCtr="0" upright="1">
                              <a:noAutofit/>
                            </wps:bodyPr>
                          </wps:wsp>
                          <wpg:grpSp>
                            <wpg:cNvGrpSpPr/>
                            <wpg:grpSpPr bwMode="auto">
                              <a:xfrm>
                                <a:off x="0" y="0"/>
                                <a:ext cx="50765" cy="25634"/>
                                <a:chOff x="0" y="0"/>
                                <a:chExt cx="50765" cy="25634"/>
                              </a:xfrm>
                            </wpg:grpSpPr>
                            <wps:wsp>
                              <wps:cNvPr id="3" name=""/>
                              <wps:cNvSpPr txBox="1">
                                <a:spLocks noChangeArrowheads="1"/>
                              </wps:cNvSpPr>
                              <wps:spPr bwMode="auto">
                                <a:xfrm>
                                  <a:off x="2555" y="22491"/>
                                  <a:ext cx="11506" cy="2407"/>
                                </a:xfrm>
                                <a:prstGeom prst="rect">
                                  <a:avLst/>
                                </a:prstGeom>
                                <a:solidFill>
                                  <a:schemeClr val="lt1">
                                    <a:lumMod val="100000"/>
                                    <a:lumOff val="0"/>
                                  </a:schemeClr>
                                </a:solidFill>
                                <a:ln>
                                  <a:noFill/>
                                </a:ln>
                              </wps:spPr>
                              <wps:txbx>
                                <w:txbxContent>
                                  <w:p>
                                    <w:pPr>
                                      <w:rPr>
                                        <w:sz w:val="20"/>
                                        <w:szCs w:val="20"/>
                                      </w:rPr>
                                    </w:pPr>
                                    <w:r>
                                      <w:rPr>
                                        <w:sz w:val="20"/>
                                        <w:szCs w:val="20"/>
                                      </w:rPr>
                                      <w:t xml:space="preserve">Из </w:t>
                                    </w:r>
                                    <w:r>
                                      <w:rPr>
                                        <w:sz w:val="20"/>
                                        <w:szCs w:val="20"/>
                                      </w:rPr>
                                      <w:t xml:space="preserve">водопровода</w:t>
                                    </w:r>
                                    <w:r>
                                      <w:rPr>
                                        <w:sz w:val="20"/>
                                        <w:szCs w:val="20"/>
                                      </w:rPr>
                                    </w:r>
                                    <w:r>
                                      <w:rPr>
                                        <w:sz w:val="20"/>
                                        <w:szCs w:val="20"/>
                                      </w:rPr>
                                    </w:r>
                                  </w:p>
                                </w:txbxContent>
                              </wps:txbx>
                              <wps:bodyPr rot="0" vert="horz" wrap="square" lIns="91440" tIns="45720" rIns="91440" bIns="45720" anchor="t" anchorCtr="0" upright="1">
                                <a:noAutofit/>
                              </wps:bodyPr>
                            </wps:wsp>
                            <wpg:grpSp>
                              <wpg:cNvGrpSpPr/>
                              <wpg:grpSpPr bwMode="auto">
                                <a:xfrm>
                                  <a:off x="0" y="0"/>
                                  <a:ext cx="50765" cy="25634"/>
                                  <a:chOff x="0" y="0"/>
                                  <a:chExt cx="50765" cy="25634"/>
                                </a:xfrm>
                              </wpg:grpSpPr>
                              <wps:wsp>
                                <wps:cNvPr id="4" name=""/>
                                <wps:cNvSpPr txBox="1">
                                  <a:spLocks noChangeArrowheads="1"/>
                                </wps:cNvSpPr>
                                <wps:spPr bwMode="auto">
                                  <a:xfrm>
                                    <a:off x="3206" y="19674"/>
                                    <a:ext cx="1448" cy="2509"/>
                                  </a:xfrm>
                                  <a:prstGeom prst="rect">
                                    <a:avLst/>
                                  </a:prstGeom>
                                  <a:solidFill>
                                    <a:schemeClr val="lt1">
                                      <a:lumMod val="100000"/>
                                      <a:lumOff val="0"/>
                                    </a:schemeClr>
                                  </a:solidFill>
                                  <a:ln>
                                    <a:noFill/>
                                  </a:ln>
                                </wps:spPr>
                                <wps:txbx>
                                  <w:txbxContent>
                                    <w:p>
                                      <w:pPr>
                                        <w:rPr>
                                          <w:sz w:val="20"/>
                                          <w:szCs w:val="20"/>
                                        </w:rPr>
                                      </w:pPr>
                                      <w:r>
                                        <w:rPr>
                                          <w:sz w:val="20"/>
                                          <w:szCs w:val="20"/>
                                        </w:rPr>
                                        <w:t xml:space="preserve">8</w:t>
                                      </w:r>
                                      <w:r>
                                        <w:rPr>
                                          <w:sz w:val="20"/>
                                          <w:szCs w:val="20"/>
                                        </w:rPr>
                                      </w:r>
                                      <w:r>
                                        <w:rPr>
                                          <w:sz w:val="20"/>
                                          <w:szCs w:val="20"/>
                                        </w:rPr>
                                      </w:r>
                                    </w:p>
                                  </w:txbxContent>
                                </wps:txbx>
                                <wps:bodyPr rot="0" vert="horz" wrap="square" lIns="91440" tIns="45720" rIns="91440" bIns="45720" anchor="t" anchorCtr="0" upright="1">
                                  <a:noAutofit/>
                                </wps:bodyPr>
                              </wps:wsp>
                              <wpg:grpSp>
                                <wpg:cNvGrpSpPr/>
                                <wpg:grpSpPr bwMode="auto">
                                  <a:xfrm>
                                    <a:off x="0" y="0"/>
                                    <a:ext cx="50765" cy="25634"/>
                                    <a:chOff x="0" y="0"/>
                                    <a:chExt cx="50765" cy="25634"/>
                                  </a:xfrm>
                                </wpg:grpSpPr>
                                <wps:wsp>
                                  <wps:cNvPr id="5" name=""/>
                                  <wps:cNvSpPr txBox="1">
                                    <a:spLocks noChangeArrowheads="1"/>
                                  </wps:cNvSpPr>
                                  <wps:spPr bwMode="auto">
                                    <a:xfrm>
                                      <a:off x="15991" y="12264"/>
                                      <a:ext cx="1447" cy="2508"/>
                                    </a:xfrm>
                                    <a:prstGeom prst="rect">
                                      <a:avLst/>
                                    </a:prstGeom>
                                    <a:solidFill>
                                      <a:schemeClr val="lt1">
                                        <a:lumMod val="100000"/>
                                        <a:lumOff val="0"/>
                                      </a:schemeClr>
                                    </a:solidFill>
                                    <a:ln>
                                      <a:noFill/>
                                    </a:ln>
                                  </wps:spPr>
                                  <wps:txbx>
                                    <w:txbxContent>
                                      <w:p>
                                        <w:pPr>
                                          <w:rPr>
                                            <w:sz w:val="20"/>
                                            <w:szCs w:val="20"/>
                                          </w:rPr>
                                        </w:pPr>
                                        <w:r>
                                          <w:rPr>
                                            <w:sz w:val="20"/>
                                            <w:szCs w:val="20"/>
                                          </w:rPr>
                                          <w:t xml:space="preserve">9</w:t>
                                        </w:r>
                                        <w:r>
                                          <w:rPr>
                                            <w:sz w:val="20"/>
                                            <w:szCs w:val="20"/>
                                          </w:rPr>
                                        </w:r>
                                        <w:r>
                                          <w:rPr>
                                            <w:sz w:val="20"/>
                                            <w:szCs w:val="20"/>
                                          </w:rPr>
                                        </w:r>
                                      </w:p>
                                    </w:txbxContent>
                                  </wps:txbx>
                                  <wps:bodyPr rot="0" vert="horz" wrap="square" lIns="91440" tIns="45720" rIns="91440" bIns="45720" anchor="t" anchorCtr="0" upright="1">
                                    <a:noAutofit/>
                                  </wps:bodyPr>
                                </wps:wsp>
                                <wpg:grpSp>
                                  <wpg:cNvGrpSpPr/>
                                  <wpg:grpSpPr bwMode="auto">
                                    <a:xfrm>
                                      <a:off x="0" y="0"/>
                                      <a:ext cx="50765" cy="25634"/>
                                      <a:chOff x="0" y="0"/>
                                      <a:chExt cx="50765" cy="25634"/>
                                    </a:xfrm>
                                  </wpg:grpSpPr>
                                  <wps:wsp>
                                    <wps:cNvPr id="6" name=""/>
                                    <wps:cNvSpPr txBox="1">
                                      <a:spLocks noChangeArrowheads="1"/>
                                    </wps:cNvSpPr>
                                    <wps:spPr bwMode="auto">
                                      <a:xfrm>
                                        <a:off x="22188" y="13781"/>
                                        <a:ext cx="1407" cy="2508"/>
                                      </a:xfrm>
                                      <a:prstGeom prst="rect">
                                        <a:avLst/>
                                      </a:prstGeom>
                                      <a:solidFill>
                                        <a:schemeClr val="lt1">
                                          <a:lumMod val="100000"/>
                                          <a:lumOff val="0"/>
                                        </a:schemeClr>
                                      </a:solidFill>
                                      <a:ln>
                                        <a:noFill/>
                                      </a:ln>
                                    </wps:spPr>
                                    <wps:txbx>
                                      <w:txbxContent>
                                        <w:p>
                                          <w:pPr>
                                            <w:rPr>
                                              <w:sz w:val="20"/>
                                              <w:szCs w:val="20"/>
                                            </w:rPr>
                                          </w:pPr>
                                          <w:r>
                                            <w:rPr>
                                              <w:sz w:val="20"/>
                                              <w:szCs w:val="20"/>
                                            </w:rPr>
                                            <w:t xml:space="preserve">5</w:t>
                                          </w:r>
                                          <w:r>
                                            <w:rPr>
                                              <w:sz w:val="20"/>
                                              <w:szCs w:val="20"/>
                                            </w:rPr>
                                          </w:r>
                                          <w:r>
                                            <w:rPr>
                                              <w:sz w:val="20"/>
                                              <w:szCs w:val="20"/>
                                            </w:rPr>
                                          </w:r>
                                        </w:p>
                                      </w:txbxContent>
                                    </wps:txbx>
                                    <wps:bodyPr rot="0" vert="horz" wrap="square" lIns="91440" tIns="45720" rIns="91440" bIns="45720" anchor="t" anchorCtr="0" upright="1">
                                      <a:noAutofit/>
                                    </wps:bodyPr>
                                  </wps:wsp>
                                  <wpg:grpSp>
                                    <wpg:cNvGrpSpPr/>
                                    <wpg:grpSpPr bwMode="auto">
                                      <a:xfrm>
                                        <a:off x="0" y="0"/>
                                        <a:ext cx="50765" cy="25634"/>
                                        <a:chOff x="0" y="0"/>
                                        <a:chExt cx="50765" cy="25634"/>
                                      </a:xfrm>
                                    </wpg:grpSpPr>
                                    <wps:wsp>
                                      <wps:cNvPr id="7" name=""/>
                                      <wps:cNvSpPr txBox="1">
                                        <a:spLocks noChangeArrowheads="1"/>
                                      </wps:cNvSpPr>
                                      <wps:spPr bwMode="auto">
                                        <a:xfrm>
                                          <a:off x="30205" y="4290"/>
                                          <a:ext cx="1448" cy="2508"/>
                                        </a:xfrm>
                                        <a:prstGeom prst="rect">
                                          <a:avLst/>
                                        </a:prstGeom>
                                        <a:solidFill>
                                          <a:schemeClr val="lt1">
                                            <a:lumMod val="100000"/>
                                            <a:lumOff val="0"/>
                                          </a:schemeClr>
                                        </a:solidFill>
                                        <a:ln>
                                          <a:noFill/>
                                        </a:ln>
                                      </wps:spPr>
                                      <wps:txbx>
                                        <w:txbxContent>
                                          <w:p>
                                            <w:pPr>
                                              <w:rPr>
                                                <w:sz w:val="20"/>
                                                <w:szCs w:val="20"/>
                                              </w:rPr>
                                            </w:pPr>
                                            <w:r>
                                              <w:rPr>
                                                <w:sz w:val="20"/>
                                                <w:szCs w:val="20"/>
                                              </w:rPr>
                                              <w:t xml:space="preserve">2</w:t>
                                            </w:r>
                                            <w:r>
                                              <w:rPr>
                                                <w:sz w:val="20"/>
                                                <w:szCs w:val="20"/>
                                              </w:rPr>
                                            </w:r>
                                            <w:r>
                                              <w:rPr>
                                                <w:sz w:val="20"/>
                                                <w:szCs w:val="20"/>
                                              </w:rPr>
                                            </w:r>
                                          </w:p>
                                        </w:txbxContent>
                                      </wps:txbx>
                                      <wps:bodyPr rot="0" vert="horz" wrap="square" lIns="91440" tIns="45720" rIns="91440" bIns="45720" anchor="t" anchorCtr="0" upright="1">
                                        <a:noAutofit/>
                                      </wps:bodyPr>
                                    </wps:wsp>
                                    <wpg:grpSp>
                                      <wpg:cNvGrpSpPr/>
                                      <wpg:grpSpPr bwMode="auto">
                                        <a:xfrm>
                                          <a:off x="0" y="0"/>
                                          <a:ext cx="50765" cy="25634"/>
                                          <a:chOff x="0" y="0"/>
                                          <a:chExt cx="50765" cy="25634"/>
                                        </a:xfrm>
                                      </wpg:grpSpPr>
                                      <wps:wsp>
                                        <wps:cNvPr id="8" name=""/>
                                        <wps:cNvSpPr txBox="1">
                                          <a:spLocks noChangeArrowheads="1"/>
                                        </wps:cNvSpPr>
                                        <wps:spPr bwMode="auto">
                                          <a:xfrm>
                                            <a:off x="22361" y="6067"/>
                                            <a:ext cx="1448" cy="2508"/>
                                          </a:xfrm>
                                          <a:prstGeom prst="rect">
                                            <a:avLst/>
                                          </a:prstGeom>
                                          <a:solidFill>
                                            <a:schemeClr val="lt1">
                                              <a:lumMod val="100000"/>
                                              <a:lumOff val="0"/>
                                            </a:schemeClr>
                                          </a:solidFill>
                                          <a:ln>
                                            <a:noFill/>
                                          </a:ln>
                                        </wps:spPr>
                                        <wps:txbx>
                                          <w:txbxContent>
                                            <w:p>
                                              <w:pPr>
                                                <w:rPr>
                                                  <w:sz w:val="20"/>
                                                  <w:szCs w:val="20"/>
                                                </w:rPr>
                                              </w:pPr>
                                              <w:r>
                                                <w:rPr>
                                                  <w:sz w:val="20"/>
                                                  <w:szCs w:val="20"/>
                                                </w:rPr>
                                                <w:t xml:space="preserve">4</w:t>
                                              </w:r>
                                              <w:r>
                                                <w:rPr>
                                                  <w:sz w:val="20"/>
                                                  <w:szCs w:val="20"/>
                                                </w:rPr>
                                              </w:r>
                                              <w:r>
                                                <w:rPr>
                                                  <w:sz w:val="20"/>
                                                  <w:szCs w:val="20"/>
                                                </w:rPr>
                                              </w:r>
                                            </w:p>
                                          </w:txbxContent>
                                        </wps:txbx>
                                        <wps:bodyPr rot="0" vert="horz" wrap="square" lIns="91440" tIns="45720" rIns="91440" bIns="45720" anchor="t" anchorCtr="0" upright="1">
                                          <a:noAutofit/>
                                        </wps:bodyPr>
                                      </wps:wsp>
                                      <wpg:grpSp>
                                        <wpg:cNvGrpSpPr/>
                                        <wpg:grpSpPr bwMode="auto">
                                          <a:xfrm>
                                            <a:off x="0" y="0"/>
                                            <a:ext cx="50765" cy="25634"/>
                                            <a:chOff x="0" y="0"/>
                                            <a:chExt cx="50765" cy="25634"/>
                                          </a:xfrm>
                                        </wpg:grpSpPr>
                                        <wps:wsp>
                                          <wps:cNvPr id="9" name=""/>
                                          <wps:cNvSpPr txBox="1">
                                            <a:spLocks noChangeArrowheads="1"/>
                                          </wps:cNvSpPr>
                                          <wps:spPr bwMode="auto">
                                            <a:xfrm>
                                              <a:off x="14127" y="2686"/>
                                              <a:ext cx="3216" cy="2509"/>
                                            </a:xfrm>
                                            <a:prstGeom prst="rect">
                                              <a:avLst/>
                                            </a:prstGeom>
                                            <a:solidFill>
                                              <a:schemeClr val="lt1">
                                                <a:lumMod val="100000"/>
                                                <a:lumOff val="0"/>
                                              </a:schemeClr>
                                            </a:solidFill>
                                            <a:ln>
                                              <a:noFill/>
                                            </a:ln>
                                          </wps:spPr>
                                          <wps:txbx>
                                            <w:txbxContent>
                                              <w:p>
                                                <w:pPr>
                                                  <w:rPr>
                                                    <w:sz w:val="20"/>
                                                    <w:szCs w:val="20"/>
                                                  </w:rPr>
                                                </w:pPr>
                                                <w:r>
                                                  <w:rPr>
                                                    <w:sz w:val="20"/>
                                                    <w:szCs w:val="20"/>
                                                  </w:rPr>
                                                  <w:t xml:space="preserve">10</w:t>
                                                </w:r>
                                                <w:r>
                                                  <w:rPr>
                                                    <w:sz w:val="20"/>
                                                    <w:szCs w:val="20"/>
                                                  </w:rPr>
                                                </w:r>
                                                <w:r>
                                                  <w:rPr>
                                                    <w:sz w:val="20"/>
                                                    <w:szCs w:val="20"/>
                                                  </w:rPr>
                                                </w:r>
                                              </w:p>
                                            </w:txbxContent>
                                          </wps:txbx>
                                          <wps:bodyPr rot="0" vert="horz" wrap="square" lIns="91440" tIns="45720" rIns="91440" bIns="45720" anchor="t" anchorCtr="0" upright="1">
                                            <a:noAutofit/>
                                          </wps:bodyPr>
                                        </wps:wsp>
                                        <wpg:grpSp>
                                          <wpg:cNvGrpSpPr/>
                                          <wpg:grpSpPr bwMode="auto">
                                            <a:xfrm>
                                              <a:off x="0" y="0"/>
                                              <a:ext cx="50765" cy="25634"/>
                                              <a:chOff x="0" y="0"/>
                                              <a:chExt cx="50765" cy="25634"/>
                                            </a:xfrm>
                                          </wpg:grpSpPr>
                                          <wps:wsp>
                                            <wps:cNvPr id="10" name=""/>
                                            <wps:cNvSpPr txBox="1">
                                              <a:spLocks noChangeArrowheads="1"/>
                                            </wps:cNvSpPr>
                                            <wps:spPr bwMode="auto">
                                              <a:xfrm>
                                                <a:off x="10790" y="6673"/>
                                                <a:ext cx="1407" cy="2509"/>
                                              </a:xfrm>
                                              <a:prstGeom prst="rect">
                                                <a:avLst/>
                                              </a:prstGeom>
                                              <a:solidFill>
                                                <a:schemeClr val="lt1">
                                                  <a:lumMod val="100000"/>
                                                  <a:lumOff val="0"/>
                                                </a:schemeClr>
                                              </a:solidFill>
                                              <a:ln>
                                                <a:noFill/>
                                              </a:ln>
                                            </wps:spPr>
                                            <wps:txbx>
                                              <w:txbxContent>
                                                <w:p>
                                                  <w:pPr>
                                                    <w:rPr>
                                                      <w:sz w:val="20"/>
                                                      <w:szCs w:val="20"/>
                                                    </w:rPr>
                                                  </w:pPr>
                                                  <w:r>
                                                    <w:rPr>
                                                      <w:sz w:val="20"/>
                                                      <w:szCs w:val="20"/>
                                                    </w:rPr>
                                                    <w:t xml:space="preserve">6</w:t>
                                                  </w:r>
                                                  <w:r>
                                                    <w:rPr>
                                                      <w:sz w:val="20"/>
                                                      <w:szCs w:val="20"/>
                                                    </w:rPr>
                                                  </w:r>
                                                  <w:r>
                                                    <w:rPr>
                                                      <w:sz w:val="20"/>
                                                      <w:szCs w:val="20"/>
                                                    </w:rPr>
                                                  </w:r>
                                                </w:p>
                                              </w:txbxContent>
                                            </wps:txbx>
                                            <wps:bodyPr rot="0" vert="horz" wrap="square" lIns="91440" tIns="45720" rIns="91440" bIns="45720" anchor="t" anchorCtr="0" upright="1">
                                              <a:noAutofit/>
                                            </wps:bodyPr>
                                          </wps:wsp>
                                          <wpg:grpSp>
                                            <wpg:cNvGrpSpPr/>
                                            <wpg:grpSpPr bwMode="auto">
                                              <a:xfrm>
                                                <a:off x="0" y="0"/>
                                                <a:ext cx="50765" cy="25634"/>
                                                <a:chOff x="0" y="0"/>
                                                <a:chExt cx="50765" cy="25634"/>
                                              </a:xfrm>
                                            </wpg:grpSpPr>
                                            <wps:wsp>
                                              <wps:cNvPr id="11" name=""/>
                                              <wps:cNvSpPr txBox="1">
                                                <a:spLocks noChangeArrowheads="1"/>
                                              </wps:cNvSpPr>
                                              <wps:spPr bwMode="auto">
                                                <a:xfrm>
                                                  <a:off x="7540" y="4810"/>
                                                  <a:ext cx="3215" cy="2508"/>
                                                </a:xfrm>
                                                <a:prstGeom prst="rect">
                                                  <a:avLst/>
                                                </a:prstGeom>
                                                <a:solidFill>
                                                  <a:schemeClr val="lt1">
                                                    <a:lumMod val="100000"/>
                                                    <a:lumOff val="0"/>
                                                  </a:schemeClr>
                                                </a:solidFill>
                                                <a:ln>
                                                  <a:noFill/>
                                                </a:ln>
                                              </wps:spPr>
                                              <wps:txbx>
                                                <w:txbxContent>
                                                  <w:p>
                                                    <w:pPr>
                                                      <w:rPr>
                                                        <w:sz w:val="20"/>
                                                        <w:szCs w:val="20"/>
                                                      </w:rPr>
                                                    </w:pPr>
                                                    <w:r>
                                                      <w:rPr>
                                                        <w:sz w:val="20"/>
                                                        <w:szCs w:val="20"/>
                                                      </w:rPr>
                                                      <w:t xml:space="preserve">12</w:t>
                                                    </w:r>
                                                    <w:r>
                                                      <w:rPr>
                                                        <w:sz w:val="20"/>
                                                        <w:szCs w:val="20"/>
                                                      </w:rPr>
                                                    </w:r>
                                                    <w:r>
                                                      <w:rPr>
                                                        <w:sz w:val="20"/>
                                                        <w:szCs w:val="20"/>
                                                      </w:rPr>
                                                    </w:r>
                                                  </w:p>
                                                </w:txbxContent>
                                              </wps:txbx>
                                              <wps:bodyPr rot="0" vert="horz" wrap="square" lIns="91440" tIns="45720" rIns="91440" bIns="45720" anchor="t" anchorCtr="0" upright="1">
                                                <a:noAutofit/>
                                              </wps:bodyPr>
                                            </wps:wsp>
                                            <wpg:grpSp>
                                              <wpg:cNvGrpSpPr/>
                                              <wpg:grpSpPr bwMode="auto">
                                                <a:xfrm>
                                                  <a:off x="0" y="0"/>
                                                  <a:ext cx="50765" cy="25634"/>
                                                  <a:chOff x="0" y="0"/>
                                                  <a:chExt cx="50765" cy="25634"/>
                                                </a:xfrm>
                                              </wpg:grpSpPr>
                                              <wps:wsp>
                                                <wps:cNvPr id="12" name=""/>
                                                <wps:cNvSpPr txBox="1">
                                                  <a:spLocks noChangeArrowheads="1"/>
                                                </wps:cNvSpPr>
                                                <wps:spPr bwMode="auto">
                                                  <a:xfrm>
                                                    <a:off x="1950" y="5807"/>
                                                    <a:ext cx="3215" cy="2508"/>
                                                  </a:xfrm>
                                                  <a:prstGeom prst="rect">
                                                    <a:avLst/>
                                                  </a:prstGeom>
                                                  <a:solidFill>
                                                    <a:schemeClr val="lt1">
                                                      <a:lumMod val="100000"/>
                                                      <a:lumOff val="0"/>
                                                    </a:schemeClr>
                                                  </a:solidFill>
                                                  <a:ln>
                                                    <a:noFill/>
                                                  </a:ln>
                                                </wps:spPr>
                                                <wps:txbx>
                                                  <w:txbxContent>
                                                    <w:p>
                                                      <w:pPr>
                                                        <w:rPr>
                                                          <w:sz w:val="20"/>
                                                          <w:szCs w:val="20"/>
                                                        </w:rPr>
                                                      </w:pPr>
                                                      <w:r>
                                                        <w:rPr>
                                                          <w:sz w:val="20"/>
                                                          <w:szCs w:val="20"/>
                                                        </w:rPr>
                                                        <w:t xml:space="preserve">13</w:t>
                                                      </w:r>
                                                      <w:r>
                                                        <w:rPr>
                                                          <w:sz w:val="20"/>
                                                          <w:szCs w:val="20"/>
                                                        </w:rPr>
                                                      </w:r>
                                                      <w:r>
                                                        <w:rPr>
                                                          <w:sz w:val="20"/>
                                                          <w:szCs w:val="20"/>
                                                        </w:rPr>
                                                      </w:r>
                                                    </w:p>
                                                  </w:txbxContent>
                                                </wps:txbx>
                                                <wps:bodyPr rot="0" vert="horz" wrap="square" lIns="91440" tIns="45720" rIns="91440" bIns="45720" anchor="t" anchorCtr="0" upright="1">
                                                  <a:noAutofit/>
                                                </wps:bodyPr>
                                              </wps:wsp>
                                              <wpg:grpSp>
                                                <wpg:cNvGrpSpPr/>
                                                <wpg:grpSpPr bwMode="auto">
                                                  <a:xfrm>
                                                    <a:off x="0" y="0"/>
                                                    <a:ext cx="50765" cy="25634"/>
                                                    <a:chOff x="0" y="0"/>
                                                    <a:chExt cx="50765" cy="25634"/>
                                                  </a:xfrm>
                                                </wpg:grpSpPr>
                                                <wps:wsp>
                                                  <wps:cNvPr id="13" name=""/>
                                                  <wps:cNvSpPr txBox="1">
                                                    <a:spLocks noChangeArrowheads="1"/>
                                                  </wps:cNvSpPr>
                                                  <wps:spPr bwMode="auto">
                                                    <a:xfrm>
                                                      <a:off x="4290" y="563"/>
                                                      <a:ext cx="3215" cy="2508"/>
                                                    </a:xfrm>
                                                    <a:prstGeom prst="rect">
                                                      <a:avLst/>
                                                    </a:prstGeom>
                                                    <a:solidFill>
                                                      <a:schemeClr val="lt1">
                                                        <a:lumMod val="100000"/>
                                                        <a:lumOff val="0"/>
                                                      </a:schemeClr>
                                                    </a:solidFill>
                                                    <a:ln>
                                                      <a:noFill/>
                                                    </a:ln>
                                                  </wps:spPr>
                                                  <wps:txbx>
                                                    <w:txbxContent>
                                                      <w:p>
                                                        <w:pPr>
                                                          <w:rPr>
                                                            <w:sz w:val="20"/>
                                                            <w:szCs w:val="20"/>
                                                          </w:rPr>
                                                        </w:pPr>
                                                        <w:r>
                                                          <w:rPr>
                                                            <w:sz w:val="20"/>
                                                            <w:szCs w:val="20"/>
                                                          </w:rPr>
                                                          <w:t xml:space="preserve">11</w:t>
                                                        </w:r>
                                                        <w:r>
                                                          <w:rPr>
                                                            <w:sz w:val="20"/>
                                                            <w:szCs w:val="20"/>
                                                          </w:rPr>
                                                        </w:r>
                                                        <w:r>
                                                          <w:rPr>
                                                            <w:sz w:val="20"/>
                                                            <w:szCs w:val="20"/>
                                                          </w:rPr>
                                                        </w:r>
                                                      </w:p>
                                                    </w:txbxContent>
                                                  </wps:txbx>
                                                  <wps:bodyPr rot="0" vert="horz" wrap="square" lIns="91440" tIns="45720" rIns="91440" bIns="45720" anchor="t" anchorCtr="0" upright="1">
                                                    <a:noAutofit/>
                                                  </wps:bodyPr>
                                                </wps:wsp>
                                                <wpg:grpSp>
                                                  <wpg:cNvGrpSpPr/>
                                                  <wpg:grpSpPr bwMode="auto">
                                                    <a:xfrm>
                                                      <a:off x="0" y="0"/>
                                                      <a:ext cx="50765" cy="25634"/>
                                                      <a:chOff x="0" y="0"/>
                                                      <a:chExt cx="50765" cy="25634"/>
                                                    </a:xfrm>
                                                  </wpg:grpSpPr>
                                                  <wps:wsp>
                                                    <wps:cNvPr id="14" name=""/>
                                                    <wps:cNvSpPr/>
                                                    <wps:spPr bwMode="auto">
                                                      <a:xfrm>
                                                        <a:off x="12004" y="9469"/>
                                                        <a:ext cx="3027" cy="0"/>
                                                      </a:xfrm>
                                                      <a:prstGeom prst="line">
                                                        <a:avLst/>
                                                      </a:prstGeom>
                                                      <a:noFill/>
                                                      <a:ln w="9525">
                                                        <a:solidFill>
                                                          <a:schemeClr val="tx1">
                                                            <a:lumMod val="100000"/>
                                                            <a:lumOff val="0"/>
                                                          </a:schemeClr>
                                                        </a:solidFill>
                                                        <a:prstDash val="lgDash"/>
                                                        <a:round/>
                                                        <a:headEnd/>
                                                        <a:tailEnd/>
                                                      </a:ln>
                                                    </wps:spPr>
                                                    <wps:bodyPr rot="0">
                                                      <a:prstTxWarp prst="textNoShape">
                                                        <a:avLst/>
                                                      </a:prstTxWarp>
                                                      <a:noAutofit/>
                                                    </wps:bodyPr>
                                                  </wps:wsp>
                                                  <wps:wsp>
                                                    <wps:cNvPr id="15" name=""/>
                                                    <wps:cNvSpPr/>
                                                    <wps:spPr bwMode="auto">
                                                      <a:xfrm>
                                                        <a:off x="12047" y="10487"/>
                                                        <a:ext cx="2971" cy="0"/>
                                                      </a:xfrm>
                                                      <a:prstGeom prst="line">
                                                        <a:avLst/>
                                                      </a:prstGeom>
                                                      <a:noFill/>
                                                      <a:ln w="9525">
                                                        <a:solidFill>
                                                          <a:schemeClr val="tx1">
                                                            <a:lumMod val="100000"/>
                                                            <a:lumOff val="0"/>
                                                          </a:schemeClr>
                                                        </a:solidFill>
                                                        <a:prstDash val="lgDash"/>
                                                        <a:round/>
                                                        <a:headEnd/>
                                                        <a:tailEnd/>
                                                      </a:ln>
                                                    </wps:spPr>
                                                    <wps:bodyPr rot="0">
                                                      <a:prstTxWarp prst="textNoShape">
                                                        <a:avLst/>
                                                      </a:prstTxWarp>
                                                      <a:noAutofit/>
                                                    </wps:bodyPr>
                                                  </wps:wsp>
                                                  <wps:wsp>
                                                    <wps:cNvPr id="16" name=""/>
                                                    <wps:cNvSpPr/>
                                                    <wps:spPr bwMode="auto">
                                                      <a:xfrm>
                                                        <a:off x="12631" y="9079"/>
                                                        <a:ext cx="2278" cy="0"/>
                                                      </a:xfrm>
                                                      <a:prstGeom prst="line">
                                                        <a:avLst/>
                                                      </a:prstGeom>
                                                      <a:noFill/>
                                                      <a:ln w="9525">
                                                        <a:solidFill>
                                                          <a:schemeClr val="tx1">
                                                            <a:lumMod val="100000"/>
                                                            <a:lumOff val="0"/>
                                                          </a:schemeClr>
                                                        </a:solidFill>
                                                        <a:prstDash val="lgDash"/>
                                                        <a:round/>
                                                        <a:headEnd/>
                                                        <a:tailEnd/>
                                                      </a:ln>
                                                    </wps:spPr>
                                                    <wps:bodyPr rot="0">
                                                      <a:prstTxWarp prst="textNoShape">
                                                        <a:avLst/>
                                                      </a:prstTxWarp>
                                                      <a:noAutofit/>
                                                    </wps:bodyPr>
                                                  </wps:wsp>
                                                  <wps:wsp>
                                                    <wps:cNvPr id="17" name=""/>
                                                    <wps:cNvSpPr/>
                                                    <wps:spPr bwMode="auto">
                                                      <a:xfrm>
                                                        <a:off x="12740" y="9989"/>
                                                        <a:ext cx="2278" cy="0"/>
                                                      </a:xfrm>
                                                      <a:prstGeom prst="line">
                                                        <a:avLst/>
                                                      </a:prstGeom>
                                                      <a:noFill/>
                                                      <a:ln w="9525">
                                                        <a:solidFill>
                                                          <a:schemeClr val="tx1">
                                                            <a:lumMod val="100000"/>
                                                            <a:lumOff val="0"/>
                                                          </a:schemeClr>
                                                        </a:solidFill>
                                                        <a:prstDash val="lgDash"/>
                                                        <a:round/>
                                                        <a:headEnd/>
                                                        <a:tailEnd/>
                                                      </a:ln>
                                                    </wps:spPr>
                                                    <wps:bodyPr rot="0">
                                                      <a:prstTxWarp prst="textNoShape">
                                                        <a:avLst/>
                                                      </a:prstTxWarp>
                                                      <a:noAutofit/>
                                                    </wps:bodyPr>
                                                  </wps:wsp>
                                                  <wps:wsp>
                                                    <wps:cNvPr id="18" name=""/>
                                                    <wps:cNvSpPr/>
                                                    <wps:spPr bwMode="auto">
                                                      <a:xfrm>
                                                        <a:off x="12588" y="10942"/>
                                                        <a:ext cx="2277" cy="0"/>
                                                      </a:xfrm>
                                                      <a:prstGeom prst="line">
                                                        <a:avLst/>
                                                      </a:prstGeom>
                                                      <a:noFill/>
                                                      <a:ln w="9525">
                                                        <a:solidFill>
                                                          <a:schemeClr val="tx1">
                                                            <a:lumMod val="100000"/>
                                                            <a:lumOff val="0"/>
                                                          </a:schemeClr>
                                                        </a:solidFill>
                                                        <a:prstDash val="lgDash"/>
                                                        <a:round/>
                                                        <a:headEnd/>
                                                        <a:tailEnd/>
                                                      </a:ln>
                                                    </wps:spPr>
                                                    <wps:bodyPr rot="0">
                                                      <a:prstTxWarp prst="textNoShape">
                                                        <a:avLst/>
                                                      </a:prstTxWarp>
                                                      <a:noAutofit/>
                                                    </wps:bodyPr>
                                                  </wps:wsp>
                                                  <wpg:grpSp>
                                                    <wpg:cNvGrpSpPr/>
                                                    <wpg:grpSpPr bwMode="auto">
                                                      <a:xfrm>
                                                        <a:off x="0" y="0"/>
                                                        <a:ext cx="50765" cy="25634"/>
                                                        <a:chOff x="0" y="0"/>
                                                        <a:chExt cx="50765" cy="25634"/>
                                                      </a:xfrm>
                                                    </wpg:grpSpPr>
                                                    <wps:wsp>
                                                      <wps:cNvPr id="19" name=""/>
                                                      <wps:cNvSpPr/>
                                                      <wps:spPr bwMode="auto">
                                                        <a:xfrm flipH="1">
                                                          <a:off x="0" y="22053"/>
                                                          <a:ext cx="2400" cy="0"/>
                                                        </a:xfrm>
                                                        <a:prstGeom prst="line">
                                                          <a:avLst/>
                                                        </a:prstGeom>
                                                        <a:noFill/>
                                                        <a:ln w="12700">
                                                          <a:solidFill>
                                                            <a:schemeClr val="tx1">
                                                              <a:lumMod val="100000"/>
                                                              <a:lumOff val="0"/>
                                                            </a:schemeClr>
                                                          </a:solidFill>
                                                          <a:round/>
                                                          <a:headEnd/>
                                                          <a:tailEnd/>
                                                        </a:ln>
                                                      </wps:spPr>
                                                      <wps:bodyPr rot="0">
                                                        <a:prstTxWarp prst="textNoShape">
                                                          <a:avLst/>
                                                        </a:prstTxWarp>
                                                        <a:noAutofit/>
                                                      </wps:bodyPr>
                                                    </wps:wsp>
                                                    <wps:wsp>
                                                      <wps:cNvPr id="20" name=""/>
                                                      <wps:cNvSpPr/>
                                                      <wps:spPr bwMode="auto">
                                                        <a:xfrm flipH="1">
                                                          <a:off x="3930" y="22093"/>
                                                          <a:ext cx="21920" cy="0"/>
                                                        </a:xfrm>
                                                        <a:prstGeom prst="line">
                                                          <a:avLst/>
                                                        </a:prstGeom>
                                                        <a:noFill/>
                                                        <a:ln w="12700">
                                                          <a:solidFill>
                                                            <a:schemeClr val="tx1">
                                                              <a:lumMod val="100000"/>
                                                              <a:lumOff val="0"/>
                                                            </a:schemeClr>
                                                          </a:solidFill>
                                                          <a:round/>
                                                          <a:headEnd/>
                                                          <a:tailEnd/>
                                                        </a:ln>
                                                      </wps:spPr>
                                                      <wps:bodyPr rot="0">
                                                        <a:prstTxWarp prst="textNoShape">
                                                          <a:avLst/>
                                                        </a:prstTxWarp>
                                                        <a:noAutofit/>
                                                      </wps:bodyPr>
                                                    </wps:wsp>
                                                    <wpg:grpSp>
                                                      <wpg:cNvGrpSpPr/>
                                                      <wpg:grpSpPr bwMode="auto">
                                                        <a:xfrm>
                                                          <a:off x="289" y="0"/>
                                                          <a:ext cx="50476" cy="25634"/>
                                                          <a:chOff x="0" y="0"/>
                                                          <a:chExt cx="50476" cy="25634"/>
                                                        </a:xfrm>
                                                      </wpg:grpSpPr>
                                                      <wps:wsp>
                                                        <wps:cNvPr id="21" name=""/>
                                                        <wps:cNvSpPr/>
                                                        <wps:spPr bwMode="auto">
                                                          <a:xfrm flipV="1">
                                                            <a:off x="21432" y="1406"/>
                                                            <a:ext cx="5" cy="5507"/>
                                                          </a:xfrm>
                                                          <a:prstGeom prst="line">
                                                            <a:avLst/>
                                                          </a:prstGeom>
                                                          <a:noFill/>
                                                          <a:ln w="12700">
                                                            <a:solidFill>
                                                              <a:schemeClr val="tx1">
                                                                <a:lumMod val="100000"/>
                                                                <a:lumOff val="0"/>
                                                              </a:schemeClr>
                                                            </a:solidFill>
                                                            <a:round/>
                                                            <a:headEnd/>
                                                            <a:tailEnd/>
                                                          </a:ln>
                                                        </wps:spPr>
                                                        <wps:bodyPr rot="0">
                                                          <a:prstTxWarp prst="textNoShape">
                                                            <a:avLst/>
                                                          </a:prstTxWarp>
                                                          <a:noAutofit/>
                                                        </wps:bodyPr>
                                                      </wps:wsp>
                                                      <wpg:grpSp>
                                                        <wpg:cNvGrpSpPr/>
                                                        <wpg:grpSpPr bwMode="auto">
                                                          <a:xfrm>
                                                            <a:off x="0" y="0"/>
                                                            <a:ext cx="50476" cy="25634"/>
                                                            <a:chOff x="0" y="0"/>
                                                            <a:chExt cx="50476" cy="25634"/>
                                                          </a:xfrm>
                                                        </wpg:grpSpPr>
                                                        <wps:wsp>
                                                          <wps:cNvPr id="22" name=""/>
                                                          <wps:cNvSpPr/>
                                                          <wps:spPr bwMode="auto">
                                                            <a:xfrm flipV="1">
                                                              <a:off x="24080" y="8150"/>
                                                              <a:ext cx="0" cy="2889"/>
                                                            </a:xfrm>
                                                            <a:prstGeom prst="line">
                                                              <a:avLst/>
                                                            </a:prstGeom>
                                                            <a:noFill/>
                                                            <a:ln w="12700">
                                                              <a:solidFill>
                                                                <a:schemeClr val="tx1">
                                                                  <a:lumMod val="100000"/>
                                                                  <a:lumOff val="0"/>
                                                                </a:schemeClr>
                                                              </a:solidFill>
                                                              <a:round/>
                                                              <a:headEnd/>
                                                              <a:tailEnd/>
                                                            </a:ln>
                                                          </wps:spPr>
                                                          <wps:bodyPr rot="0">
                                                            <a:prstTxWarp prst="textNoShape">
                                                              <a:avLst/>
                                                            </a:prstTxWarp>
                                                            <a:noAutofit/>
                                                          </wps:bodyPr>
                                                        </wps:wsp>
                                                        <wpg:grpSp>
                                                          <wpg:cNvGrpSpPr/>
                                                          <wpg:grpSpPr bwMode="auto">
                                                            <a:xfrm>
                                                              <a:off x="0" y="0"/>
                                                              <a:ext cx="50476" cy="25634"/>
                                                              <a:chOff x="0" y="0"/>
                                                              <a:chExt cx="50476" cy="25634"/>
                                                            </a:xfrm>
                                                          </wpg:grpSpPr>
                                                          <wps:wsp>
                                                            <wps:cNvPr id="23" name=""/>
                                                            <wps:cNvSpPr/>
                                                            <wps:spPr bwMode="auto">
                                                              <a:xfrm>
                                                                <a:off x="6548" y="1763"/>
                                                                <a:ext cx="0" cy="495"/>
                                                              </a:xfrm>
                                                              <a:prstGeom prst="line">
                                                                <a:avLst/>
                                                              </a:prstGeom>
                                                              <a:noFill/>
                                                              <a:ln w="12700">
                                                                <a:solidFill>
                                                                  <a:schemeClr val="tx1">
                                                                    <a:lumMod val="100000"/>
                                                                    <a:lumOff val="0"/>
                                                                  </a:schemeClr>
                                                                </a:solidFill>
                                                                <a:round/>
                                                                <a:headEnd/>
                                                                <a:tailEnd/>
                                                              </a:ln>
                                                            </wps:spPr>
                                                            <wps:bodyPr rot="0">
                                                              <a:prstTxWarp prst="textNoShape">
                                                                <a:avLst/>
                                                              </a:prstTxWarp>
                                                              <a:noAutofit/>
                                                            </wps:bodyPr>
                                                          </wps:wsp>
                                                          <wps:wsp>
                                                            <wps:cNvPr id="24" name=""/>
                                                            <wps:cNvSpPr/>
                                                            <wps:spPr bwMode="auto">
                                                              <a:xfrm>
                                                                <a:off x="6994" y="1763"/>
                                                                <a:ext cx="0" cy="489"/>
                                                              </a:xfrm>
                                                              <a:prstGeom prst="line">
                                                                <a:avLst/>
                                                              </a:prstGeom>
                                                              <a:noFill/>
                                                              <a:ln w="12700">
                                                                <a:solidFill>
                                                                  <a:schemeClr val="tx1">
                                                                    <a:lumMod val="100000"/>
                                                                    <a:lumOff val="0"/>
                                                                  </a:schemeClr>
                                                                </a:solidFill>
                                                                <a:round/>
                                                                <a:headEnd/>
                                                                <a:tailEnd/>
                                                              </a:ln>
                                                            </wps:spPr>
                                                            <wps:bodyPr rot="0">
                                                              <a:prstTxWarp prst="textNoShape">
                                                                <a:avLst/>
                                                              </a:prstTxWarp>
                                                              <a:noAutofit/>
                                                            </wps:bodyPr>
                                                          </wps:wsp>
                                                          <wps:wsp>
                                                            <wps:cNvPr id="25" name=""/>
                                                            <wps:cNvSpPr/>
                                                            <wps:spPr bwMode="auto">
                                                              <a:xfrm>
                                                                <a:off x="6346" y="2189"/>
                                                                <a:ext cx="0" cy="489"/>
                                                              </a:xfrm>
                                                              <a:prstGeom prst="line">
                                                                <a:avLst/>
                                                              </a:prstGeom>
                                                              <a:noFill/>
                                                              <a:ln w="12700">
                                                                <a:solidFill>
                                                                  <a:schemeClr val="tx1">
                                                                    <a:lumMod val="100000"/>
                                                                    <a:lumOff val="0"/>
                                                                  </a:schemeClr>
                                                                </a:solidFill>
                                                                <a:round/>
                                                                <a:headEnd/>
                                                                <a:tailEnd/>
                                                              </a:ln>
                                                            </wps:spPr>
                                                            <wps:bodyPr rot="0">
                                                              <a:prstTxWarp prst="textNoShape">
                                                                <a:avLst/>
                                                              </a:prstTxWarp>
                                                              <a:noAutofit/>
                                                            </wps:bodyPr>
                                                          </wps:wsp>
                                                          <wps:wsp>
                                                            <wps:cNvPr id="26" name=""/>
                                                            <wps:cNvSpPr/>
                                                            <wps:spPr bwMode="auto">
                                                              <a:xfrm>
                                                                <a:off x="7197" y="2189"/>
                                                                <a:ext cx="0" cy="489"/>
                                                              </a:xfrm>
                                                              <a:prstGeom prst="line">
                                                                <a:avLst/>
                                                              </a:prstGeom>
                                                              <a:noFill/>
                                                              <a:ln w="12700">
                                                                <a:solidFill>
                                                                  <a:schemeClr val="tx1">
                                                                    <a:lumMod val="100000"/>
                                                                    <a:lumOff val="0"/>
                                                                  </a:schemeClr>
                                                                </a:solidFill>
                                                                <a:round/>
                                                                <a:headEnd/>
                                                                <a:tailEnd/>
                                                              </a:ln>
                                                            </wps:spPr>
                                                            <wps:bodyPr rot="0">
                                                              <a:prstTxWarp prst="textNoShape">
                                                                <a:avLst/>
                                                              </a:prstTxWarp>
                                                              <a:noAutofit/>
                                                            </wps:bodyPr>
                                                          </wps:wsp>
                                                          <wps:wsp>
                                                            <wps:cNvPr id="27" name=""/>
                                                            <wps:cNvSpPr/>
                                                            <wps:spPr bwMode="auto">
                                                              <a:xfrm flipH="1">
                                                                <a:off x="6366" y="2676"/>
                                                                <a:ext cx="847" cy="0"/>
                                                              </a:xfrm>
                                                              <a:prstGeom prst="line">
                                                                <a:avLst/>
                                                              </a:prstGeom>
                                                              <a:noFill/>
                                                              <a:ln w="12700">
                                                                <a:solidFill>
                                                                  <a:schemeClr val="tx1">
                                                                    <a:lumMod val="100000"/>
                                                                    <a:lumOff val="0"/>
                                                                  </a:schemeClr>
                                                                </a:solidFill>
                                                                <a:round/>
                                                                <a:headEnd/>
                                                                <a:tailEnd/>
                                                              </a:ln>
                                                            </wps:spPr>
                                                            <wps:bodyPr rot="0">
                                                              <a:prstTxWarp prst="textNoShape">
                                                                <a:avLst/>
                                                              </a:prstTxWarp>
                                                              <a:noAutofit/>
                                                            </wps:bodyPr>
                                                          </wps:wsp>
                                                          <wps:wsp>
                                                            <wps:cNvPr id="28" name=""/>
                                                            <wps:cNvSpPr/>
                                                            <wps:spPr bwMode="auto">
                                                              <a:xfrm flipH="1">
                                                                <a:off x="6285" y="2189"/>
                                                                <a:ext cx="273" cy="0"/>
                                                              </a:xfrm>
                                                              <a:prstGeom prst="line">
                                                                <a:avLst/>
                                                              </a:prstGeom>
                                                              <a:noFill/>
                                                              <a:ln w="12700">
                                                                <a:solidFill>
                                                                  <a:schemeClr val="tx1">
                                                                    <a:lumMod val="100000"/>
                                                                    <a:lumOff val="0"/>
                                                                  </a:schemeClr>
                                                                </a:solidFill>
                                                                <a:round/>
                                                                <a:headEnd/>
                                                                <a:tailEnd/>
                                                              </a:ln>
                                                            </wps:spPr>
                                                            <wps:bodyPr rot="0">
                                                              <a:prstTxWarp prst="textNoShape">
                                                                <a:avLst/>
                                                              </a:prstTxWarp>
                                                              <a:noAutofit/>
                                                            </wps:bodyPr>
                                                          </wps:wsp>
                                                          <wps:wsp>
                                                            <wps:cNvPr id="29" name=""/>
                                                            <wps:cNvSpPr/>
                                                            <wps:spPr bwMode="auto">
                                                              <a:xfrm flipH="1">
                                                                <a:off x="6994" y="2189"/>
                                                                <a:ext cx="273" cy="0"/>
                                                              </a:xfrm>
                                                              <a:prstGeom prst="line">
                                                                <a:avLst/>
                                                              </a:prstGeom>
                                                              <a:noFill/>
                                                              <a:ln w="12700">
                                                                <a:solidFill>
                                                                  <a:schemeClr val="tx1">
                                                                    <a:lumMod val="100000"/>
                                                                    <a:lumOff val="0"/>
                                                                  </a:schemeClr>
                                                                </a:solidFill>
                                                                <a:round/>
                                                                <a:headEnd/>
                                                                <a:tailEnd/>
                                                              </a:ln>
                                                            </wps:spPr>
                                                            <wps:bodyPr rot="0">
                                                              <a:prstTxWarp prst="textNoShape">
                                                                <a:avLst/>
                                                              </a:prstTxWarp>
                                                              <a:noAutofit/>
                                                            </wps:bodyPr>
                                                          </wps:wsp>
                                                          <wpg:grpSp>
                                                            <wpg:cNvGrpSpPr/>
                                                            <wpg:grpSpPr bwMode="auto">
                                                              <a:xfrm>
                                                                <a:off x="0" y="0"/>
                                                                <a:ext cx="50476" cy="25634"/>
                                                                <a:chOff x="0" y="0"/>
                                                                <a:chExt cx="50476" cy="25634"/>
                                                              </a:xfrm>
                                                            </wpg:grpSpPr>
                                                            <wps:wsp>
                                                              <wps:cNvPr id="30" name=""/>
                                                              <wps:cNvSpPr/>
                                                              <wps:spPr bwMode="auto">
                                                                <a:xfrm>
                                                                  <a:off x="6659" y="5655"/>
                                                                  <a:ext cx="391" cy="0"/>
                                                                </a:xfrm>
                                                                <a:prstGeom prst="line">
                                                                  <a:avLst/>
                                                                </a:prstGeom>
                                                                <a:noFill/>
                                                                <a:ln w="9525">
                                                                  <a:solidFill>
                                                                    <a:schemeClr val="tx1">
                                                                      <a:lumMod val="100000"/>
                                                                      <a:lumOff val="0"/>
                                                                    </a:schemeClr>
                                                                  </a:solidFill>
                                                                  <a:prstDash val="lgDash"/>
                                                                  <a:round/>
                                                                  <a:headEnd/>
                                                                  <a:tailEnd/>
                                                                </a:ln>
                                                              </wps:spPr>
                                                              <wps:bodyPr rot="0">
                                                                <a:prstTxWarp prst="textNoShape">
                                                                  <a:avLst/>
                                                                </a:prstTxWarp>
                                                                <a:noAutofit/>
                                                              </wps:bodyPr>
                                                            </wps:wsp>
                                                            <wps:wsp>
                                                              <wps:cNvPr id="31" name=""/>
                                                              <wps:cNvSpPr/>
                                                              <wps:spPr bwMode="auto">
                                                                <a:xfrm>
                                                                  <a:off x="6395" y="6448"/>
                                                                  <a:ext cx="885" cy="0"/>
                                                                </a:xfrm>
                                                                <a:prstGeom prst="line">
                                                                  <a:avLst/>
                                                                </a:prstGeom>
                                                                <a:noFill/>
                                                                <a:ln w="9525">
                                                                  <a:solidFill>
                                                                    <a:schemeClr val="tx1">
                                                                      <a:lumMod val="100000"/>
                                                                      <a:lumOff val="0"/>
                                                                    </a:schemeClr>
                                                                  </a:solidFill>
                                                                  <a:prstDash val="lgDash"/>
                                                                  <a:round/>
                                                                  <a:headEnd/>
                                                                  <a:tailEnd/>
                                                                </a:ln>
                                                              </wps:spPr>
                                                              <wps:bodyPr rot="0">
                                                                <a:prstTxWarp prst="textNoShape">
                                                                  <a:avLst/>
                                                                </a:prstTxWarp>
                                                                <a:noAutofit/>
                                                              </wps:bodyPr>
                                                            </wps:wsp>
                                                            <wpg:grpSp>
                                                              <wpg:cNvGrpSpPr/>
                                                              <wpg:grpSpPr bwMode="auto">
                                                                <a:xfrm>
                                                                  <a:off x="0" y="0"/>
                                                                  <a:ext cx="50476" cy="25634"/>
                                                                  <a:chOff x="0" y="0"/>
                                                                  <a:chExt cx="50476" cy="25639"/>
                                                                </a:xfrm>
                                                              </wpg:grpSpPr>
                                                              <wps:wsp>
                                                                <wps:cNvPr id="32" name=""/>
                                                                <wps:cNvSpPr/>
                                                                <wps:spPr bwMode="auto">
                                                                  <a:xfrm flipV="1">
                                                                    <a:off x="26604" y="19024"/>
                                                                    <a:ext cx="955" cy="0"/>
                                                                  </a:xfrm>
                                                                  <a:prstGeom prst="line">
                                                                    <a:avLst/>
                                                                  </a:prstGeom>
                                                                  <a:noFill/>
                                                                  <a:ln w="9525">
                                                                    <a:solidFill>
                                                                      <a:schemeClr val="tx1">
                                                                        <a:lumMod val="100000"/>
                                                                        <a:lumOff val="0"/>
                                                                      </a:schemeClr>
                                                                    </a:solidFill>
                                                                    <a:prstDash val="lgDash"/>
                                                                    <a:round/>
                                                                    <a:headEnd/>
                                                                    <a:tailEnd/>
                                                                  </a:ln>
                                                                </wps:spPr>
                                                                <wps:bodyPr rot="0">
                                                                  <a:prstTxWarp prst="textNoShape">
                                                                    <a:avLst/>
                                                                  </a:prstTxWarp>
                                                                  <a:noAutofit/>
                                                                </wps:bodyPr>
                                                              </wps:wsp>
                                                              <wps:wsp>
                                                                <wps:cNvPr id="33" name=""/>
                                                                <wps:cNvSpPr/>
                                                                <wps:spPr bwMode="auto">
                                                                  <a:xfrm>
                                                                    <a:off x="26608" y="18938"/>
                                                                    <a:ext cx="133" cy="5740"/>
                                                                  </a:xfrm>
                                                                  <a:prstGeom prst="line">
                                                                    <a:avLst/>
                                                                  </a:prstGeom>
                                                                  <a:noFill/>
                                                                  <a:ln w="9525">
                                                                    <a:solidFill>
                                                                      <a:schemeClr val="tx1">
                                                                        <a:lumMod val="100000"/>
                                                                        <a:lumOff val="0"/>
                                                                      </a:schemeClr>
                                                                    </a:solidFill>
                                                                    <a:prstDash val="lgDash"/>
                                                                    <a:round/>
                                                                    <a:headEnd/>
                                                                    <a:tailEnd/>
                                                                  </a:ln>
                                                                </wps:spPr>
                                                                <wps:bodyPr rot="0">
                                                                  <a:prstTxWarp prst="textNoShape">
                                                                    <a:avLst/>
                                                                  </a:prstTxWarp>
                                                                  <a:noAutofit/>
                                                                </wps:bodyPr>
                                                              </wps:wsp>
                                                              <wps:wsp>
                                                                <wps:cNvPr id="34" name=""/>
                                                                <wps:cNvSpPr/>
                                                                <wps:spPr bwMode="auto">
                                                                  <a:xfrm flipV="1">
                                                                    <a:off x="25438" y="16597"/>
                                                                    <a:ext cx="0" cy="5482"/>
                                                                  </a:xfrm>
                                                                  <a:prstGeom prst="line">
                                                                    <a:avLst/>
                                                                  </a:prstGeom>
                                                                  <a:noFill/>
                                                                  <a:ln w="12700">
                                                                    <a:solidFill>
                                                                      <a:schemeClr val="tx1">
                                                                        <a:lumMod val="100000"/>
                                                                        <a:lumOff val="0"/>
                                                                      </a:schemeClr>
                                                                    </a:solidFill>
                                                                    <a:round/>
                                                                    <a:headEnd/>
                                                                    <a:tailEnd/>
                                                                  </a:ln>
                                                                </wps:spPr>
                                                                <wps:bodyPr rot="0">
                                                                  <a:prstTxWarp prst="textNoShape">
                                                                    <a:avLst/>
                                                                  </a:prstTxWarp>
                                                                  <a:noAutofit/>
                                                                </wps:bodyPr>
                                                              </wps:wsp>
                                                              <wps:wsp>
                                                                <wps:cNvPr id="35" name=""/>
                                                                <wps:cNvSpPr/>
                                                                <wps:spPr bwMode="auto">
                                                                  <a:xfrm flipH="1" flipV="1">
                                                                    <a:off x="29295" y="6717"/>
                                                                    <a:ext cx="26" cy="11589"/>
                                                                  </a:xfrm>
                                                                  <a:prstGeom prst="line">
                                                                    <a:avLst/>
                                                                  </a:prstGeom>
                                                                  <a:noFill/>
                                                                  <a:ln w="12700">
                                                                    <a:solidFill>
                                                                      <a:schemeClr val="tx1">
                                                                        <a:lumMod val="100000"/>
                                                                        <a:lumOff val="0"/>
                                                                      </a:schemeClr>
                                                                    </a:solidFill>
                                                                    <a:round/>
                                                                    <a:headEnd/>
                                                                    <a:tailEnd/>
                                                                  </a:ln>
                                                                </wps:spPr>
                                                                <wps:bodyPr rot="0">
                                                                  <a:prstTxWarp prst="textNoShape">
                                                                    <a:avLst/>
                                                                  </a:prstTxWarp>
                                                                  <a:noAutofit/>
                                                                </wps:bodyPr>
                                                              </wps:wsp>
                                                              <wpg:grpSp>
                                                                <wpg:cNvGrpSpPr/>
                                                                <wpg:grpSpPr bwMode="auto">
                                                                  <a:xfrm>
                                                                    <a:off x="0" y="0"/>
                                                                    <a:ext cx="50476" cy="25639"/>
                                                                    <a:chOff x="0" y="0"/>
                                                                    <a:chExt cx="50476" cy="25639"/>
                                                                  </a:xfrm>
                                                                </wpg:grpSpPr>
                                                                <wpg:grpSp>
                                                                  <wpg:cNvGrpSpPr/>
                                                                  <wpg:grpSpPr bwMode="auto">
                                                                    <a:xfrm>
                                                                      <a:off x="6933" y="1430"/>
                                                                      <a:ext cx="22401" cy="23321"/>
                                                                      <a:chOff x="0" y="0"/>
                                                                      <a:chExt cx="22400" cy="23321"/>
                                                                    </a:xfrm>
                                                                  </wpg:grpSpPr>
                                                                  <wps:wsp>
                                                                    <wps:cNvPr id="36" name=""/>
                                                                    <wps:cNvSpPr/>
                                                                    <wps:spPr bwMode="auto">
                                                                      <a:xfrm flipH="1">
                                                                        <a:off x="0" y="43"/>
                                                                        <a:ext cx="6320" cy="0"/>
                                                                      </a:xfrm>
                                                                      <a:prstGeom prst="line">
                                                                        <a:avLst/>
                                                                      </a:prstGeom>
                                                                      <a:noFill/>
                                                                      <a:ln w="12700">
                                                                        <a:solidFill>
                                                                          <a:schemeClr val="tx1">
                                                                            <a:lumMod val="100000"/>
                                                                            <a:lumOff val="0"/>
                                                                          </a:schemeClr>
                                                                        </a:solidFill>
                                                                        <a:round/>
                                                                        <a:headEnd/>
                                                                        <a:tailEnd/>
                                                                      </a:ln>
                                                                    </wps:spPr>
                                                                    <wps:bodyPr rot="0">
                                                                      <a:prstTxWarp prst="textNoShape">
                                                                        <a:avLst/>
                                                                      </a:prstTxWarp>
                                                                      <a:noAutofit/>
                                                                    </wps:bodyPr>
                                                                  </wps:wsp>
                                                                  <wps:wsp>
                                                                    <wps:cNvPr id="37" name=""/>
                                                                    <wps:cNvSpPr/>
                                                                    <wps:spPr bwMode="auto">
                                                                      <a:xfrm>
                                                                        <a:off x="6279" y="0"/>
                                                                        <a:ext cx="30" cy="1346"/>
                                                                      </a:xfrm>
                                                                      <a:prstGeom prst="line">
                                                                        <a:avLst/>
                                                                      </a:prstGeom>
                                                                      <a:noFill/>
                                                                      <a:ln w="12700">
                                                                        <a:solidFill>
                                                                          <a:schemeClr val="tx1">
                                                                            <a:lumMod val="100000"/>
                                                                            <a:lumOff val="0"/>
                                                                          </a:schemeClr>
                                                                        </a:solidFill>
                                                                        <a:round/>
                                                                        <a:headEnd/>
                                                                        <a:tailEnd/>
                                                                      </a:ln>
                                                                    </wps:spPr>
                                                                    <wps:bodyPr rot="0">
                                                                      <a:prstTxWarp prst="textNoShape">
                                                                        <a:avLst/>
                                                                      </a:prstTxWarp>
                                                                      <a:noAutofit/>
                                                                    </wps:bodyPr>
                                                                  </wps:wsp>
                                                                  <wps:wsp>
                                                                    <wps:cNvPr id="38" name=""/>
                                                                    <wps:cNvSpPr/>
                                                                    <wps:spPr bwMode="auto">
                                                                      <a:xfrm>
                                                                        <a:off x="6327" y="3510"/>
                                                                        <a:ext cx="25" cy="1154"/>
                                                                      </a:xfrm>
                                                                      <a:prstGeom prst="line">
                                                                        <a:avLst/>
                                                                      </a:prstGeom>
                                                                      <a:noFill/>
                                                                      <a:ln w="12700">
                                                                        <a:solidFill>
                                                                          <a:schemeClr val="tx1">
                                                                            <a:lumMod val="100000"/>
                                                                            <a:lumOff val="0"/>
                                                                          </a:schemeClr>
                                                                        </a:solidFill>
                                                                        <a:round/>
                                                                        <a:headEnd/>
                                                                        <a:tailEnd/>
                                                                      </a:ln>
                                                                    </wps:spPr>
                                                                    <wps:bodyPr rot="0">
                                                                      <a:prstTxWarp prst="textNoShape">
                                                                        <a:avLst/>
                                                                      </a:prstTxWarp>
                                                                      <a:noAutofit/>
                                                                    </wps:bodyPr>
                                                                  </wps:wsp>
                                                                  <wps:wsp>
                                                                    <wps:cNvPr id="39" name=""/>
                                                                    <wps:cNvSpPr/>
                                                                    <wps:spPr bwMode="auto">
                                                                      <a:xfrm>
                                                                        <a:off x="6327" y="9664"/>
                                                                        <a:ext cx="54" cy="13643"/>
                                                                      </a:xfrm>
                                                                      <a:prstGeom prst="line">
                                                                        <a:avLst/>
                                                                      </a:prstGeom>
                                                                      <a:noFill/>
                                                                      <a:ln w="9525">
                                                                        <a:solidFill>
                                                                          <a:schemeClr val="tx1">
                                                                            <a:lumMod val="100000"/>
                                                                            <a:lumOff val="0"/>
                                                                          </a:schemeClr>
                                                                        </a:solidFill>
                                                                        <a:prstDash val="lgDash"/>
                                                                        <a:round/>
                                                                        <a:headEnd/>
                                                                        <a:tailEnd/>
                                                                      </a:ln>
                                                                    </wps:spPr>
                                                                    <wps:bodyPr rot="0">
                                                                      <a:prstTxWarp prst="textNoShape">
                                                                        <a:avLst/>
                                                                      </a:prstTxWarp>
                                                                      <a:noAutofit/>
                                                                    </wps:bodyPr>
                                                                  </wps:wsp>
                                                                  <wps:wsp>
                                                                    <wps:cNvPr id="40" name=""/>
                                                                    <wps:cNvSpPr/>
                                                                    <wps:spPr bwMode="auto">
                                                                      <a:xfrm>
                                                                        <a:off x="6370" y="23271"/>
                                                                        <a:ext cx="4532" cy="9"/>
                                                                      </a:xfrm>
                                                                      <a:prstGeom prst="line">
                                                                        <a:avLst/>
                                                                      </a:prstGeom>
                                                                      <a:noFill/>
                                                                      <a:ln w="9525">
                                                                        <a:solidFill>
                                                                          <a:schemeClr val="tx1">
                                                                            <a:lumMod val="100000"/>
                                                                            <a:lumOff val="0"/>
                                                                          </a:schemeClr>
                                                                        </a:solidFill>
                                                                        <a:prstDash val="lgDash"/>
                                                                        <a:round/>
                                                                        <a:headEnd/>
                                                                        <a:tailEnd/>
                                                                      </a:ln>
                                                                    </wps:spPr>
                                                                    <wps:bodyPr rot="0">
                                                                      <a:prstTxWarp prst="textNoShape">
                                                                        <a:avLst/>
                                                                      </a:prstTxWarp>
                                                                      <a:noAutofit/>
                                                                    </wps:bodyPr>
                                                                  </wps:wsp>
                                                                  <wps:wsp>
                                                                    <wps:cNvPr id="41" name=""/>
                                                                    <wps:cNvSpPr/>
                                                                    <wps:spPr bwMode="auto">
                                                                      <a:xfrm>
                                                                        <a:off x="12480" y="23315"/>
                                                                        <a:ext cx="6703" cy="6"/>
                                                                      </a:xfrm>
                                                                      <a:prstGeom prst="line">
                                                                        <a:avLst/>
                                                                      </a:prstGeom>
                                                                      <a:noFill/>
                                                                      <a:ln w="9525">
                                                                        <a:solidFill>
                                                                          <a:schemeClr val="tx1">
                                                                            <a:lumMod val="100000"/>
                                                                            <a:lumOff val="0"/>
                                                                          </a:schemeClr>
                                                                        </a:solidFill>
                                                                        <a:prstDash val="lgDash"/>
                                                                        <a:round/>
                                                                        <a:headEnd/>
                                                                        <a:tailEnd/>
                                                                      </a:ln>
                                                                    </wps:spPr>
                                                                    <wps:bodyPr rot="0">
                                                                      <a:prstTxWarp prst="textNoShape">
                                                                        <a:avLst/>
                                                                      </a:prstTxWarp>
                                                                      <a:noAutofit/>
                                                                    </wps:bodyPr>
                                                                  </wps:wsp>
                                                                  <wps:wsp>
                                                                    <wps:cNvPr id="42" name=""/>
                                                                    <wps:cNvSpPr/>
                                                                    <wps:spPr bwMode="auto">
                                                                      <a:xfrm>
                                                                        <a:off x="20238" y="23271"/>
                                                                        <a:ext cx="2146" cy="41"/>
                                                                      </a:xfrm>
                                                                      <a:prstGeom prst="line">
                                                                        <a:avLst/>
                                                                      </a:prstGeom>
                                                                      <a:noFill/>
                                                                      <a:ln w="9525">
                                                                        <a:solidFill>
                                                                          <a:schemeClr val="tx1">
                                                                            <a:lumMod val="100000"/>
                                                                            <a:lumOff val="0"/>
                                                                          </a:schemeClr>
                                                                        </a:solidFill>
                                                                        <a:prstDash val="lgDash"/>
                                                                        <a:round/>
                                                                        <a:headEnd/>
                                                                        <a:tailEnd/>
                                                                      </a:ln>
                                                                    </wps:spPr>
                                                                    <wps:bodyPr rot="0">
                                                                      <a:prstTxWarp prst="textNoShape">
                                                                        <a:avLst/>
                                                                      </a:prstTxWarp>
                                                                      <a:noAutofit/>
                                                                    </wps:bodyPr>
                                                                  </wps:wsp>
                                                                  <wps:wsp>
                                                                    <wps:cNvPr id="43" name=""/>
                                                                    <wps:cNvSpPr/>
                                                                    <wps:spPr bwMode="auto">
                                                                      <a:xfrm flipH="1" flipV="1">
                                                                        <a:off x="20628" y="15774"/>
                                                                        <a:ext cx="1734" cy="0"/>
                                                                      </a:xfrm>
                                                                      <a:prstGeom prst="line">
                                                                        <a:avLst/>
                                                                      </a:prstGeom>
                                                                      <a:noFill/>
                                                                      <a:ln w="12700">
                                                                        <a:solidFill>
                                                                          <a:schemeClr val="tx1">
                                                                            <a:lumMod val="100000"/>
                                                                            <a:lumOff val="0"/>
                                                                          </a:schemeClr>
                                                                        </a:solidFill>
                                                                        <a:round/>
                                                                        <a:headEnd/>
                                                                        <a:tailEnd/>
                                                                      </a:ln>
                                                                    </wps:spPr>
                                                                    <wps:bodyPr rot="0">
                                                                      <a:prstTxWarp prst="textNoShape">
                                                                        <a:avLst/>
                                                                      </a:prstTxWarp>
                                                                      <a:noAutofit/>
                                                                    </wps:bodyPr>
                                                                  </wps:wsp>
                                                                  <wps:wsp>
                                                                    <wps:cNvPr id="44" name=""/>
                                                                    <wps:cNvSpPr/>
                                                                    <wps:spPr bwMode="auto">
                                                                      <a:xfrm>
                                                                        <a:off x="20628" y="15774"/>
                                                                        <a:ext cx="0" cy="3835"/>
                                                                      </a:xfrm>
                                                                      <a:prstGeom prst="line">
                                                                        <a:avLst/>
                                                                      </a:prstGeom>
                                                                      <a:noFill/>
                                                                      <a:ln w="12700">
                                                                        <a:solidFill>
                                                                          <a:schemeClr val="tx1">
                                                                            <a:lumMod val="100000"/>
                                                                            <a:lumOff val="0"/>
                                                                          </a:schemeClr>
                                                                        </a:solidFill>
                                                                        <a:round/>
                                                                        <a:headEnd/>
                                                                        <a:tailEnd/>
                                                                      </a:ln>
                                                                    </wps:spPr>
                                                                    <wps:bodyPr rot="0">
                                                                      <a:prstTxWarp prst="textNoShape">
                                                                        <a:avLst/>
                                                                      </a:prstTxWarp>
                                                                      <a:noAutofit/>
                                                                    </wps:bodyPr>
                                                                  </wps:wsp>
                                                                  <wps:wsp>
                                                                    <wps:cNvPr id="45" name=""/>
                                                                    <wps:cNvSpPr/>
                                                                    <wps:spPr bwMode="auto">
                                                                      <a:xfrm flipH="1" flipV="1">
                                                                        <a:off x="20628" y="19631"/>
                                                                        <a:ext cx="1772" cy="1"/>
                                                                      </a:xfrm>
                                                                      <a:prstGeom prst="line">
                                                                        <a:avLst/>
                                                                      </a:prstGeom>
                                                                      <a:noFill/>
                                                                      <a:ln w="12700">
                                                                        <a:solidFill>
                                                                          <a:schemeClr val="tx1">
                                                                            <a:lumMod val="100000"/>
                                                                            <a:lumOff val="0"/>
                                                                          </a:schemeClr>
                                                                        </a:solidFill>
                                                                        <a:round/>
                                                                        <a:headEnd/>
                                                                        <a:tailEnd/>
                                                                      </a:ln>
                                                                    </wps:spPr>
                                                                    <wps:bodyPr rot="0">
                                                                      <a:prstTxWarp prst="textNoShape">
                                                                        <a:avLst/>
                                                                      </a:prstTxWarp>
                                                                      <a:noAutofit/>
                                                                    </wps:bodyPr>
                                                                  </wps:wsp>
                                                                  <wps:wsp>
                                                                    <wps:cNvPr id="46" name=""/>
                                                                    <wps:cNvSpPr/>
                                                                    <wps:spPr bwMode="auto">
                                                                      <a:xfrm flipV="1">
                                                                        <a:off x="14517" y="16424"/>
                                                                        <a:ext cx="0" cy="1354"/>
                                                                      </a:xfrm>
                                                                      <a:prstGeom prst="line">
                                                                        <a:avLst/>
                                                                      </a:prstGeom>
                                                                      <a:noFill/>
                                                                      <a:ln w="12700">
                                                                        <a:solidFill>
                                                                          <a:schemeClr val="tx1">
                                                                            <a:lumMod val="100000"/>
                                                                            <a:lumOff val="0"/>
                                                                          </a:schemeClr>
                                                                        </a:solidFill>
                                                                        <a:round/>
                                                                        <a:headEnd/>
                                                                        <a:tailEnd/>
                                                                      </a:ln>
                                                                    </wps:spPr>
                                                                    <wps:bodyPr rot="0">
                                                                      <a:prstTxWarp prst="textNoShape">
                                                                        <a:avLst/>
                                                                      </a:prstTxWarp>
                                                                      <a:noAutofit/>
                                                                    </wps:bodyPr>
                                                                  </wps:wsp>
                                                                  <wps:wsp>
                                                                    <wps:cNvPr id="47" name=""/>
                                                                    <wps:cNvSpPr/>
                                                                    <wps:spPr bwMode="auto">
                                                                      <a:xfrm flipV="1">
                                                                        <a:off x="14431" y="19414"/>
                                                                        <a:ext cx="0" cy="2032"/>
                                                                      </a:xfrm>
                                                                      <a:prstGeom prst="line">
                                                                        <a:avLst/>
                                                                      </a:prstGeom>
                                                                      <a:noFill/>
                                                                      <a:ln w="12700">
                                                                        <a:solidFill>
                                                                          <a:schemeClr val="tx1">
                                                                            <a:lumMod val="100000"/>
                                                                            <a:lumOff val="0"/>
                                                                          </a:schemeClr>
                                                                        </a:solidFill>
                                                                        <a:round/>
                                                                        <a:headEnd/>
                                                                        <a:tailEnd/>
                                                                      </a:ln>
                                                                    </wps:spPr>
                                                                    <wps:bodyPr rot="0">
                                                                      <a:prstTxWarp prst="textNoShape">
                                                                        <a:avLst/>
                                                                      </a:prstTxWarp>
                                                                      <a:noAutofit/>
                                                                    </wps:bodyPr>
                                                                  </wps:wsp>
                                                                  <wps:wsp>
                                                                    <wps:cNvPr id="48" name=""/>
                                                                    <wps:cNvSpPr/>
                                                                    <wps:spPr bwMode="auto">
                                                                      <a:xfrm flipH="1" flipV="1">
                                                                        <a:off x="14474" y="21451"/>
                                                                        <a:ext cx="7920" cy="12"/>
                                                                      </a:xfrm>
                                                                      <a:prstGeom prst="line">
                                                                        <a:avLst/>
                                                                      </a:prstGeom>
                                                                      <a:noFill/>
                                                                      <a:ln w="12700">
                                                                        <a:solidFill>
                                                                          <a:schemeClr val="tx1">
                                                                            <a:lumMod val="100000"/>
                                                                            <a:lumOff val="0"/>
                                                                          </a:schemeClr>
                                                                        </a:solidFill>
                                                                        <a:round/>
                                                                        <a:headEnd/>
                                                                        <a:tailEnd/>
                                                                      </a:ln>
                                                                    </wps:spPr>
                                                                    <wps:bodyPr rot="0">
                                                                      <a:prstTxWarp prst="textNoShape">
                                                                        <a:avLst/>
                                                                      </a:prstTxWarp>
                                                                      <a:noAutofit/>
                                                                    </wps:bodyPr>
                                                                  </wps:wsp>
                                                                </wpg:grpSp>
                                                                <wpg:grpSp>
                                                                  <wpg:cNvGrpSpPr/>
                                                                  <wpg:grpSpPr bwMode="auto">
                                                                    <a:xfrm>
                                                                      <a:off x="0" y="0"/>
                                                                      <a:ext cx="50476" cy="25639"/>
                                                                      <a:chOff x="0" y="0"/>
                                                                      <a:chExt cx="50476" cy="25639"/>
                                                                    </a:xfrm>
                                                                  </wpg:grpSpPr>
                                                                  <wps:wsp>
                                                                    <wps:cNvPr id="49" name=""/>
                                                                    <wps:cNvSpPr/>
                                                                    <wps:spPr bwMode="auto">
                                                                      <a:xfrm flipH="1">
                                                                        <a:off x="13997" y="6673"/>
                                                                        <a:ext cx="4453" cy="17"/>
                                                                      </a:xfrm>
                                                                      <a:prstGeom prst="line">
                                                                        <a:avLst/>
                                                                      </a:prstGeom>
                                                                      <a:noFill/>
                                                                      <a:ln w="12700">
                                                                        <a:solidFill>
                                                                          <a:schemeClr val="tx1">
                                                                            <a:lumMod val="100000"/>
                                                                            <a:lumOff val="0"/>
                                                                          </a:schemeClr>
                                                                        </a:solidFill>
                                                                        <a:round/>
                                                                        <a:headEnd/>
                                                                        <a:tailEnd/>
                                                                      </a:ln>
                                                                    </wps:spPr>
                                                                    <wps:bodyPr rot="0">
                                                                      <a:prstTxWarp prst="textNoShape">
                                                                        <a:avLst/>
                                                                      </a:prstTxWarp>
                                                                      <a:noAutofit/>
                                                                    </wps:bodyPr>
                                                                  </wps:wsp>
                                                                  <wps:wsp>
                                                                    <wps:cNvPr id="50" name=""/>
                                                                    <wps:cNvSpPr/>
                                                                    <wps:spPr bwMode="auto">
                                                                      <a:xfrm flipV="1">
                                                                        <a:off x="18461" y="6630"/>
                                                                        <a:ext cx="0" cy="1524"/>
                                                                      </a:xfrm>
                                                                      <a:prstGeom prst="line">
                                                                        <a:avLst/>
                                                                      </a:prstGeom>
                                                                      <a:noFill/>
                                                                      <a:ln w="12700">
                                                                        <a:solidFill>
                                                                          <a:schemeClr val="tx1">
                                                                            <a:lumMod val="100000"/>
                                                                            <a:lumOff val="0"/>
                                                                          </a:schemeClr>
                                                                        </a:solidFill>
                                                                        <a:round/>
                                                                        <a:headEnd/>
                                                                        <a:tailEnd/>
                                                                      </a:ln>
                                                                    </wps:spPr>
                                                                    <wps:bodyPr rot="0">
                                                                      <a:prstTxWarp prst="textNoShape">
                                                                        <a:avLst/>
                                                                      </a:prstTxWarp>
                                                                      <a:noAutofit/>
                                                                    </wps:bodyPr>
                                                                  </wps:wsp>
                                                                  <wps:wsp>
                                                                    <wps:cNvPr id="51" name=""/>
                                                                    <wps:cNvSpPr/>
                                                                    <wps:spPr bwMode="auto">
                                                                      <a:xfrm flipH="1">
                                                                        <a:off x="18461" y="8190"/>
                                                                        <a:ext cx="1824" cy="0"/>
                                                                      </a:xfrm>
                                                                      <a:prstGeom prst="line">
                                                                        <a:avLst/>
                                                                      </a:prstGeom>
                                                                      <a:noFill/>
                                                                      <a:ln w="12700">
                                                                        <a:solidFill>
                                                                          <a:schemeClr val="tx1">
                                                                            <a:lumMod val="100000"/>
                                                                            <a:lumOff val="0"/>
                                                                          </a:schemeClr>
                                                                        </a:solidFill>
                                                                        <a:round/>
                                                                        <a:headEnd/>
                                                                        <a:tailEnd/>
                                                                      </a:ln>
                                                                    </wps:spPr>
                                                                    <wps:bodyPr rot="0">
                                                                      <a:prstTxWarp prst="textNoShape">
                                                                        <a:avLst/>
                                                                      </a:prstTxWarp>
                                                                      <a:noAutofit/>
                                                                    </wps:bodyPr>
                                                                  </wps:wsp>
                                                                  <wps:wsp>
                                                                    <wps:cNvPr id="52" name=""/>
                                                                    <wps:cNvSpPr/>
                                                                    <wps:spPr bwMode="auto">
                                                                      <a:xfrm flipH="1">
                                                                        <a:off x="22404" y="16554"/>
                                                                        <a:ext cx="3089" cy="0"/>
                                                                      </a:xfrm>
                                                                      <a:prstGeom prst="line">
                                                                        <a:avLst/>
                                                                      </a:prstGeom>
                                                                      <a:noFill/>
                                                                      <a:ln w="12700">
                                                                        <a:solidFill>
                                                                          <a:schemeClr val="tx1">
                                                                            <a:lumMod val="100000"/>
                                                                            <a:lumOff val="0"/>
                                                                          </a:schemeClr>
                                                                        </a:solidFill>
                                                                        <a:round/>
                                                                        <a:headEnd/>
                                                                        <a:tailEnd/>
                                                                      </a:ln>
                                                                    </wps:spPr>
                                                                    <wps:bodyPr rot="0">
                                                                      <a:prstTxWarp prst="textNoShape">
                                                                        <a:avLst/>
                                                                      </a:prstTxWarp>
                                                                      <a:noAutofit/>
                                                                    </wps:bodyPr>
                                                                  </wps:wsp>
                                                                  <wps:wsp>
                                                                    <wps:cNvPr id="53" name=""/>
                                                                    <wps:cNvSpPr/>
                                                                    <wps:spPr bwMode="auto">
                                                                      <a:xfrm flipH="1">
                                                                        <a:off x="18461" y="16771"/>
                                                                        <a:ext cx="1824" cy="0"/>
                                                                      </a:xfrm>
                                                                      <a:prstGeom prst="line">
                                                                        <a:avLst/>
                                                                      </a:prstGeom>
                                                                      <a:noFill/>
                                                                      <a:ln w="12700">
                                                                        <a:solidFill>
                                                                          <a:schemeClr val="tx1">
                                                                            <a:lumMod val="100000"/>
                                                                            <a:lumOff val="0"/>
                                                                          </a:schemeClr>
                                                                        </a:solidFill>
                                                                        <a:round/>
                                                                        <a:headEnd/>
                                                                        <a:tailEnd/>
                                                                      </a:ln>
                                                                    </wps:spPr>
                                                                    <wps:bodyPr rot="0">
                                                                      <a:prstTxWarp prst="textNoShape">
                                                                        <a:avLst/>
                                                                      </a:prstTxWarp>
                                                                      <a:noAutofit/>
                                                                    </wps:bodyPr>
                                                                  </wps:wsp>
                                                                  <wps:wsp>
                                                                    <wps:cNvPr id="54" name=""/>
                                                                    <wps:cNvSpPr/>
                                                                    <wps:spPr bwMode="auto">
                                                                      <a:xfrm flipV="1">
                                                                        <a:off x="18461" y="14604"/>
                                                                        <a:ext cx="0" cy="2162"/>
                                                                      </a:xfrm>
                                                                      <a:prstGeom prst="line">
                                                                        <a:avLst/>
                                                                      </a:prstGeom>
                                                                      <a:noFill/>
                                                                      <a:ln w="12700">
                                                                        <a:solidFill>
                                                                          <a:schemeClr val="tx1">
                                                                            <a:lumMod val="100000"/>
                                                                            <a:lumOff val="0"/>
                                                                          </a:schemeClr>
                                                                        </a:solidFill>
                                                                        <a:round/>
                                                                        <a:headEnd/>
                                                                        <a:tailEnd/>
                                                                      </a:ln>
                                                                    </wps:spPr>
                                                                    <wps:bodyPr rot="0">
                                                                      <a:prstTxWarp prst="textNoShape">
                                                                        <a:avLst/>
                                                                      </a:prstTxWarp>
                                                                      <a:noAutofit/>
                                                                    </wps:bodyPr>
                                                                  </wps:wsp>
                                                                  <wps:wsp>
                                                                    <wps:cNvPr id="55" name=""/>
                                                                    <wps:cNvSpPr/>
                                                                    <wps:spPr bwMode="auto">
                                                                      <a:xfrm>
                                                                        <a:off x="18461" y="11050"/>
                                                                        <a:ext cx="0" cy="1193"/>
                                                                      </a:xfrm>
                                                                      <a:prstGeom prst="line">
                                                                        <a:avLst/>
                                                                      </a:prstGeom>
                                                                      <a:noFill/>
                                                                      <a:ln w="12700">
                                                                        <a:solidFill>
                                                                          <a:schemeClr val="tx1">
                                                                            <a:lumMod val="100000"/>
                                                                            <a:lumOff val="0"/>
                                                                          </a:schemeClr>
                                                                        </a:solidFill>
                                                                        <a:round/>
                                                                        <a:headEnd/>
                                                                        <a:tailEnd/>
                                                                      </a:ln>
                                                                    </wps:spPr>
                                                                    <wps:bodyPr rot="0">
                                                                      <a:prstTxWarp prst="textNoShape">
                                                                        <a:avLst/>
                                                                      </a:prstTxWarp>
                                                                      <a:noAutofit/>
                                                                    </wps:bodyPr>
                                                                  </wps:wsp>
                                                                  <wps:wsp>
                                                                    <wps:cNvPr id="56" name=""/>
                                                                    <wps:cNvSpPr/>
                                                                    <wps:spPr bwMode="auto">
                                                                      <a:xfrm flipH="1">
                                                                        <a:off x="18461" y="11050"/>
                                                                        <a:ext cx="5609" cy="0"/>
                                                                      </a:xfrm>
                                                                      <a:prstGeom prst="line">
                                                                        <a:avLst/>
                                                                      </a:prstGeom>
                                                                      <a:noFill/>
                                                                      <a:ln w="12700">
                                                                        <a:solidFill>
                                                                          <a:schemeClr val="tx1">
                                                                            <a:lumMod val="100000"/>
                                                                            <a:lumOff val="0"/>
                                                                          </a:schemeClr>
                                                                        </a:solidFill>
                                                                        <a:round/>
                                                                        <a:headEnd/>
                                                                        <a:tailEnd/>
                                                                      </a:ln>
                                                                    </wps:spPr>
                                                                    <wps:bodyPr rot="0">
                                                                      <a:prstTxWarp prst="textNoShape">
                                                                        <a:avLst/>
                                                                      </a:prstTxWarp>
                                                                      <a:noAutofit/>
                                                                    </wps:bodyPr>
                                                                  </wps:wsp>
                                                                  <wps:wsp>
                                                                    <wps:cNvPr id="57" name=""/>
                                                                    <wps:cNvSpPr/>
                                                                    <wps:spPr bwMode="auto">
                                                                      <a:xfrm flipH="1">
                                                                        <a:off x="22448" y="8190"/>
                                                                        <a:ext cx="1609" cy="0"/>
                                                                      </a:xfrm>
                                                                      <a:prstGeom prst="line">
                                                                        <a:avLst/>
                                                                      </a:prstGeom>
                                                                      <a:noFill/>
                                                                      <a:ln w="12700">
                                                                        <a:solidFill>
                                                                          <a:schemeClr val="tx1">
                                                                            <a:lumMod val="100000"/>
                                                                            <a:lumOff val="0"/>
                                                                          </a:schemeClr>
                                                                        </a:solidFill>
                                                                        <a:round/>
                                                                        <a:headEnd/>
                                                                        <a:tailEnd/>
                                                                      </a:ln>
                                                                    </wps:spPr>
                                                                    <wps:bodyPr rot="0">
                                                                      <a:prstTxWarp prst="textNoShape">
                                                                        <a:avLst/>
                                                                      </a:prstTxWarp>
                                                                      <a:noAutofit/>
                                                                    </wps:bodyPr>
                                                                  </wps:wsp>
                                                                  <wps:wsp>
                                                                    <wps:cNvPr id="58" name=""/>
                                                                    <wps:cNvSpPr/>
                                                                    <wps:spPr bwMode="auto">
                                                                      <a:xfrm>
                                                                        <a:off x="21408" y="9360"/>
                                                                        <a:ext cx="0" cy="6357"/>
                                                                      </a:xfrm>
                                                                      <a:prstGeom prst="line">
                                                                        <a:avLst/>
                                                                      </a:prstGeom>
                                                                      <a:noFill/>
                                                                      <a:ln w="12700">
                                                                        <a:solidFill>
                                                                          <a:schemeClr val="tx1">
                                                                            <a:lumMod val="100000"/>
                                                                            <a:lumOff val="0"/>
                                                                          </a:schemeClr>
                                                                        </a:solidFill>
                                                                        <a:round/>
                                                                        <a:headEnd/>
                                                                        <a:tailEnd/>
                                                                      </a:ln>
                                                                    </wps:spPr>
                                                                    <wps:bodyPr rot="0">
                                                                      <a:prstTxWarp prst="textNoShape">
                                                                        <a:avLst/>
                                                                      </a:prstTxWarp>
                                                                      <a:noAutofit/>
                                                                    </wps:bodyPr>
                                                                  </wps:wsp>
                                                                  <wpg:grpSp>
                                                                    <wpg:cNvGrpSpPr/>
                                                                    <wpg:grpSpPr bwMode="auto">
                                                                      <a:xfrm>
                                                                        <a:off x="0" y="0"/>
                                                                        <a:ext cx="50476" cy="25639"/>
                                                                        <a:chOff x="0" y="0"/>
                                                                        <a:chExt cx="50476" cy="25639"/>
                                                                      </a:xfrm>
                                                                    </wpg:grpSpPr>
                                                                    <wps:wsp>
                                                                      <wps:cNvPr id="59" name=""/>
                                                                      <wps:cNvSpPr/>
                                                                      <wps:spPr bwMode="auto">
                                                                        <a:xfrm flipH="1">
                                                                          <a:off x="21381" y="1461"/>
                                                                          <a:ext cx="14719" cy="0"/>
                                                                        </a:xfrm>
                                                                        <a:prstGeom prst="line">
                                                                          <a:avLst/>
                                                                        </a:prstGeom>
                                                                        <a:noFill/>
                                                                        <a:ln w="12700">
                                                                          <a:solidFill>
                                                                            <a:schemeClr val="tx1">
                                                                              <a:lumMod val="100000"/>
                                                                              <a:lumOff val="0"/>
                                                                            </a:schemeClr>
                                                                          </a:solidFill>
                                                                          <a:round/>
                                                                          <a:headEnd/>
                                                                          <a:tailEnd/>
                                                                        </a:ln>
                                                                      </wps:spPr>
                                                                      <wps:bodyPr rot="0">
                                                                        <a:prstTxWarp prst="textNoShape">
                                                                          <a:avLst/>
                                                                        </a:prstTxWarp>
                                                                        <a:noAutofit/>
                                                                      </wps:bodyPr>
                                                                    </wps:wsp>
                                                                    <wps:wsp>
                                                                      <wps:cNvPr id="60" name=""/>
                                                                      <wps:cNvSpPr/>
                                                                      <wps:spPr bwMode="auto">
                                                                        <a:xfrm flipH="1" flipV="1">
                                                                          <a:off x="29162" y="1461"/>
                                                                          <a:ext cx="95" cy="2865"/>
                                                                        </a:xfrm>
                                                                        <a:prstGeom prst="line">
                                                                          <a:avLst/>
                                                                        </a:prstGeom>
                                                                        <a:noFill/>
                                                                        <a:ln w="12700">
                                                                          <a:solidFill>
                                                                            <a:schemeClr val="tx1">
                                                                              <a:lumMod val="100000"/>
                                                                              <a:lumOff val="0"/>
                                                                            </a:schemeClr>
                                                                          </a:solidFill>
                                                                          <a:round/>
                                                                          <a:headEnd/>
                                                                          <a:tailEnd/>
                                                                        </a:ln>
                                                                      </wps:spPr>
                                                                      <wps:bodyPr rot="0">
                                                                        <a:prstTxWarp prst="textNoShape">
                                                                          <a:avLst/>
                                                                        </a:prstTxWarp>
                                                                        <a:noAutofit/>
                                                                      </wps:bodyPr>
                                                                    </wps:wsp>
                                                                    <wps:wsp>
                                                                      <wps:cNvPr id="61" name=""/>
                                                                      <wps:cNvSpPr/>
                                                                      <wps:spPr bwMode="auto">
                                                                        <a:xfrm flipH="1" flipV="1">
                                                                          <a:off x="36066" y="1461"/>
                                                                          <a:ext cx="26" cy="16416"/>
                                                                        </a:xfrm>
                                                                        <a:prstGeom prst="line">
                                                                          <a:avLst/>
                                                                        </a:prstGeom>
                                                                        <a:noFill/>
                                                                        <a:ln w="12700">
                                                                          <a:solidFill>
                                                                            <a:schemeClr val="tx1">
                                                                              <a:lumMod val="100000"/>
                                                                              <a:lumOff val="0"/>
                                                                            </a:schemeClr>
                                                                          </a:solidFill>
                                                                          <a:round/>
                                                                          <a:headEnd/>
                                                                          <a:tailEnd/>
                                                                        </a:ln>
                                                                      </wps:spPr>
                                                                      <wps:bodyPr rot="0">
                                                                        <a:prstTxWarp prst="textNoShape">
                                                                          <a:avLst/>
                                                                        </a:prstTxWarp>
                                                                        <a:noAutofit/>
                                                                      </wps:bodyPr>
                                                                    </wps:wsp>
                                                                    <wps:wsp>
                                                                      <wps:cNvPr id="62" name=""/>
                                                                      <wps:cNvSpPr/>
                                                                      <wps:spPr bwMode="auto">
                                                                        <a:xfrm flipH="1" flipV="1">
                                                                          <a:off x="36066" y="17880"/>
                                                                          <a:ext cx="14410" cy="2"/>
                                                                        </a:xfrm>
                                                                        <a:prstGeom prst="line">
                                                                          <a:avLst/>
                                                                        </a:prstGeom>
                                                                        <a:noFill/>
                                                                        <a:ln w="12700">
                                                                          <a:solidFill>
                                                                            <a:schemeClr val="tx1">
                                                                              <a:lumMod val="100000"/>
                                                                              <a:lumOff val="0"/>
                                                                            </a:schemeClr>
                                                                          </a:solidFill>
                                                                          <a:round/>
                                                                          <a:headEnd type="stealth" w="med" len="med"/>
                                                                          <a:tailEnd/>
                                                                        </a:ln>
                                                                      </wps:spPr>
                                                                      <wps:bodyPr rot="0">
                                                                        <a:prstTxWarp prst="textNoShape">
                                                                          <a:avLst/>
                                                                        </a:prstTxWarp>
                                                                        <a:noAutofit/>
                                                                      </wps:bodyPr>
                                                                    </wps:wsp>
                                                                    <wps:wsp>
                                                                      <wps:cNvPr id="63" name=""/>
                                                                      <wps:cNvSpPr/>
                                                                      <wps:spPr bwMode="auto">
                                                                        <a:xfrm flipV="1">
                                                                          <a:off x="29301" y="19953"/>
                                                                          <a:ext cx="0" cy="5686"/>
                                                                        </a:xfrm>
                                                                        <a:prstGeom prst="line">
                                                                          <a:avLst/>
                                                                        </a:prstGeom>
                                                                        <a:noFill/>
                                                                        <a:ln w="12700">
                                                                          <a:solidFill>
                                                                            <a:schemeClr val="tx1">
                                                                              <a:lumMod val="100000"/>
                                                                              <a:lumOff val="0"/>
                                                                            </a:schemeClr>
                                                                          </a:solidFill>
                                                                          <a:round/>
                                                                          <a:headEnd/>
                                                                          <a:tailEnd/>
                                                                        </a:ln>
                                                                      </wps:spPr>
                                                                      <wps:bodyPr rot="0">
                                                                        <a:prstTxWarp prst="textNoShape">
                                                                          <a:avLst/>
                                                                        </a:prstTxWarp>
                                                                        <a:noAutofit/>
                                                                      </wps:bodyPr>
                                                                    </wps:wsp>
                                                                    <wps:wsp>
                                                                      <wps:cNvPr id="64" name=""/>
                                                                      <wps:cNvSpPr/>
                                                                      <wps:spPr bwMode="auto">
                                                                        <a:xfrm flipH="1">
                                                                          <a:off x="29301" y="25589"/>
                                                                          <a:ext cx="21173" cy="0"/>
                                                                        </a:xfrm>
                                                                        <a:prstGeom prst="line">
                                                                          <a:avLst/>
                                                                        </a:prstGeom>
                                                                        <a:noFill/>
                                                                        <a:ln w="12700">
                                                                          <a:solidFill>
                                                                            <a:schemeClr val="tx1">
                                                                              <a:lumMod val="100000"/>
                                                                              <a:lumOff val="0"/>
                                                                            </a:schemeClr>
                                                                          </a:solidFill>
                                                                          <a:round/>
                                                                          <a:headEnd/>
                                                                          <a:tailEnd/>
                                                                        </a:ln>
                                                                      </wps:spPr>
                                                                      <wps:bodyPr rot="0">
                                                                        <a:prstTxWarp prst="textNoShape">
                                                                          <a:avLst/>
                                                                        </a:prstTxWarp>
                                                                        <a:noAutofit/>
                                                                      </wps:bodyPr>
                                                                    </wps:wsp>
                                                                    <wpg:grpSp>
                                                                      <wpg:cNvGrpSpPr/>
                                                                      <wpg:grpSpPr bwMode="auto">
                                                                        <a:xfrm>
                                                                          <a:off x="0" y="0"/>
                                                                          <a:ext cx="48915" cy="25636"/>
                                                                          <a:chOff x="0" y="0"/>
                                                                          <a:chExt cx="48915" cy="25636"/>
                                                                        </a:xfrm>
                                                                      </wpg:grpSpPr>
                                                                      <wpg:grpSp>
                                                                        <wpg:cNvGrpSpPr/>
                                                                        <wpg:grpSpPr bwMode="auto">
                                                                          <a:xfrm>
                                                                            <a:off x="0" y="0"/>
                                                                            <a:ext cx="30415" cy="25636"/>
                                                                            <a:chOff x="0" y="0"/>
                                                                            <a:chExt cx="30415" cy="25636"/>
                                                                          </a:xfrm>
                                                                        </wpg:grpSpPr>
                                                                        <wpg:grpSp>
                                                                          <wpg:cNvGrpSpPr/>
                                                                          <wpg:grpSpPr bwMode="auto">
                                                                            <a:xfrm>
                                                                              <a:off x="2082" y="1190"/>
                                                                              <a:ext cx="28333" cy="24446"/>
                                                                              <a:chOff x="0" y="-1387"/>
                                                                              <a:chExt cx="28332" cy="24445"/>
                                                                            </a:xfrm>
                                                                          </wpg:grpSpPr>
                                                                          <wpg:grpSp>
                                                                            <wpg:cNvGrpSpPr/>
                                                                            <wpg:grpSpPr bwMode="auto">
                                                                              <a:xfrm>
                                                                                <a:off x="0" y="-1387"/>
                                                                                <a:ext cx="28332" cy="24445"/>
                                                                                <a:chOff x="0" y="-1387"/>
                                                                                <a:chExt cx="28332" cy="24445"/>
                                                                              </a:xfrm>
                                                                            </wpg:grpSpPr>
                                                                            <wpg:grpSp>
                                                                              <wpg:cNvGrpSpPr/>
                                                                              <wpg:grpSpPr bwMode="auto">
                                                                                <a:xfrm>
                                                                                  <a:off x="0" y="-1387"/>
                                                                                  <a:ext cx="28332" cy="24445"/>
                                                                                  <a:chOff x="0" y="-1387"/>
                                                                                  <a:chExt cx="28332" cy="24445"/>
                                                                                </a:xfrm>
                                                                              </wpg:grpSpPr>
                                                                              <wps:wsp>
                                                                                <wps:cNvPr id="65" name=""/>
                                                                                <wps:cNvSpPr>
                                                                                  <a:spLocks noChangeArrowheads="1"/>
                                                                                </wps:cNvSpPr>
                                                                                <wps:spPr bwMode="auto">
                                                                                  <a:xfrm>
                                                                                    <a:off x="3697" y="2345"/>
                                                                                    <a:ext cx="2173" cy="2354"/>
                                                                                  </a:xfrm>
                                                                                  <a:prstGeom prst="rect">
                                                                                    <a:avLst/>
                                                                                  </a:prstGeom>
                                                                                  <a:noFill/>
                                                                                  <a:ln w="12700">
                                                                                    <a:solidFill>
                                                                                      <a:schemeClr val="tx1">
                                                                                        <a:lumMod val="100000"/>
                                                                                        <a:lumOff val="0"/>
                                                                                      </a:schemeClr>
                                                                                    </a:solidFill>
                                                                                    <a:miter lim="800000"/>
                                                                                    <a:headEnd/>
                                                                                    <a:tailEnd/>
                                                                                  </a:ln>
                                                                                </wps:spPr>
                                                                                <wps:bodyPr rot="0">
                                                                                  <a:prstTxWarp prst="textNoShape">
                                                                                    <a:avLst/>
                                                                                  </a:prstTxWarp>
                                                                                  <a:noAutofit/>
                                                                                </wps:bodyPr>
                                                                              </wps:wsp>
                                                                              <wps:wsp>
                                                                                <wps:cNvPr id="66" name=""/>
                                                                                <wps:cNvSpPr>
                                                                                  <a:spLocks noChangeArrowheads="1"/>
                                                                                </wps:cNvSpPr>
                                                                                <wps:spPr bwMode="auto">
                                                                                  <a:xfrm>
                                                                                    <a:off x="10058" y="0"/>
                                                                                    <a:ext cx="2173" cy="2353"/>
                                                                                  </a:xfrm>
                                                                                  <a:prstGeom prst="rect">
                                                                                    <a:avLst/>
                                                                                  </a:prstGeom>
                                                                                  <a:noFill/>
                                                                                  <a:ln w="12700">
                                                                                    <a:solidFill>
                                                                                      <a:schemeClr val="tx1">
                                                                                        <a:lumMod val="100000"/>
                                                                                        <a:lumOff val="0"/>
                                                                                      </a:schemeClr>
                                                                                    </a:solidFill>
                                                                                    <a:miter lim="800000"/>
                                                                                    <a:headEnd/>
                                                                                    <a:tailEnd/>
                                                                                  </a:ln>
                                                                                </wps:spPr>
                                                                                <wps:bodyPr rot="0">
                                                                                  <a:prstTxWarp prst="textNoShape">
                                                                                    <a:avLst/>
                                                                                  </a:prstTxWarp>
                                                                                  <a:noAutofit/>
                                                                                </wps:bodyPr>
                                                                              </wps:wsp>
                                                                              <wps:wsp>
                                                                                <wps:cNvPr id="67" name=""/>
                                                                                <wps:cNvSpPr>
                                                                                  <a:spLocks noChangeArrowheads="1"/>
                                                                                </wps:cNvSpPr>
                                                                                <wps:spPr bwMode="auto">
                                                                                  <a:xfrm>
                                                                                    <a:off x="18168" y="4412"/>
                                                                                    <a:ext cx="2173" cy="2354"/>
                                                                                  </a:xfrm>
                                                                                  <a:prstGeom prst="rect">
                                                                                    <a:avLst/>
                                                                                  </a:prstGeom>
                                                                                  <a:noFill/>
                                                                                  <a:ln w="12700">
                                                                                    <a:solidFill>
                                                                                      <a:schemeClr val="tx1">
                                                                                        <a:lumMod val="100000"/>
                                                                                        <a:lumOff val="0"/>
                                                                                      </a:schemeClr>
                                                                                    </a:solidFill>
                                                                                    <a:miter lim="800000"/>
                                                                                    <a:headEnd/>
                                                                                    <a:tailEnd/>
                                                                                  </a:ln>
                                                                                </wps:spPr>
                                                                                <wps:bodyPr rot="0">
                                                                                  <a:prstTxWarp prst="textNoShape">
                                                                                    <a:avLst/>
                                                                                  </a:prstTxWarp>
                                                                                  <a:noAutofit/>
                                                                                </wps:bodyPr>
                                                                              </wps:wsp>
                                                                              <wps:wsp>
                                                                                <wps:cNvPr id="68" name=""/>
                                                                                <wps:cNvSpPr>
                                                                                  <a:spLocks noChangeArrowheads="1"/>
                                                                                </wps:cNvSpPr>
                                                                                <wps:spPr bwMode="auto">
                                                                                  <a:xfrm>
                                                                                    <a:off x="26158" y="1749"/>
                                                                                    <a:ext cx="2173" cy="2354"/>
                                                                                  </a:xfrm>
                                                                                  <a:prstGeom prst="rect">
                                                                                    <a:avLst/>
                                                                                  </a:prstGeom>
                                                                                  <a:noFill/>
                                                                                  <a:ln w="12700">
                                                                                    <a:solidFill>
                                                                                      <a:schemeClr val="tx1">
                                                                                        <a:lumMod val="100000"/>
                                                                                        <a:lumOff val="0"/>
                                                                                      </a:schemeClr>
                                                                                    </a:solidFill>
                                                                                    <a:miter lim="800000"/>
                                                                                    <a:headEnd/>
                                                                                    <a:tailEnd/>
                                                                                  </a:ln>
                                                                                </wps:spPr>
                                                                                <wps:bodyPr rot="0">
                                                                                  <a:prstTxWarp prst="textNoShape">
                                                                                    <a:avLst/>
                                                                                  </a:prstTxWarp>
                                                                                  <a:noAutofit/>
                                                                                </wps:bodyPr>
                                                                              </wps:wsp>
                                                                              <wps:wsp>
                                                                                <wps:cNvPr id="69" name=""/>
                                                                                <wps:cNvSpPr>
                                                                                  <a:spLocks noChangeArrowheads="1"/>
                                                                                </wps:cNvSpPr>
                                                                                <wps:spPr bwMode="auto">
                                                                                  <a:xfrm>
                                                                                    <a:off x="15385" y="9700"/>
                                                                                    <a:ext cx="2173" cy="2354"/>
                                                                                  </a:xfrm>
                                                                                  <a:prstGeom prst="rect">
                                                                                    <a:avLst/>
                                                                                  </a:prstGeom>
                                                                                  <a:noFill/>
                                                                                  <a:ln w="12700">
                                                                                    <a:solidFill>
                                                                                      <a:schemeClr val="tx1">
                                                                                        <a:lumMod val="100000"/>
                                                                                        <a:lumOff val="0"/>
                                                                                      </a:schemeClr>
                                                                                    </a:solidFill>
                                                                                    <a:miter lim="800000"/>
                                                                                    <a:headEnd/>
                                                                                    <a:tailEnd/>
                                                                                  </a:ln>
                                                                                </wps:spPr>
                                                                                <wps:bodyPr rot="0">
                                                                                  <a:prstTxWarp prst="textNoShape">
                                                                                    <a:avLst/>
                                                                                  </a:prstTxWarp>
                                                                                  <a:noAutofit/>
                                                                                </wps:bodyPr>
                                                                              </wps:wsp>
                                                                              <wps:wsp>
                                                                                <wps:cNvPr id="70" name=""/>
                                                                                <wps:cNvSpPr>
                                                                                  <a:spLocks noChangeArrowheads="1"/>
                                                                                </wps:cNvSpPr>
                                                                                <wps:spPr bwMode="auto">
                                                                                  <a:xfrm>
                                                                                    <a:off x="18168" y="12881"/>
                                                                                    <a:ext cx="2173" cy="2354"/>
                                                                                  </a:xfrm>
                                                                                  <a:prstGeom prst="rect">
                                                                                    <a:avLst/>
                                                                                  </a:prstGeom>
                                                                                  <a:noFill/>
                                                                                  <a:ln w="12700">
                                                                                    <a:solidFill>
                                                                                      <a:schemeClr val="tx1">
                                                                                        <a:lumMod val="100000"/>
                                                                                        <a:lumOff val="0"/>
                                                                                      </a:schemeClr>
                                                                                    </a:solidFill>
                                                                                    <a:miter lim="800000"/>
                                                                                    <a:headEnd/>
                                                                                    <a:tailEnd/>
                                                                                  </a:ln>
                                                                                </wps:spPr>
                                                                                <wps:bodyPr rot="0">
                                                                                  <a:prstTxWarp prst="textNoShape">
                                                                                    <a:avLst/>
                                                                                  </a:prstTxWarp>
                                                                                  <a:noAutofit/>
                                                                                </wps:bodyPr>
                                                                              </wps:wsp>
                                                                              <wps:wsp>
                                                                                <wps:cNvPr id="71" name=""/>
                                                                                <wps:cNvSpPr>
                                                                                  <a:spLocks noChangeArrowheads="1"/>
                                                                                </wps:cNvSpPr>
                                                                                <wps:spPr bwMode="auto">
                                                                                  <a:xfrm>
                                                                                    <a:off x="10376" y="3557"/>
                                                                                    <a:ext cx="1539" cy="2354"/>
                                                                                  </a:xfrm>
                                                                                  <a:prstGeom prst="rect">
                                                                                    <a:avLst/>
                                                                                  </a:prstGeom>
                                                                                  <a:noFill/>
                                                                                  <a:ln w="12700">
                                                                                    <a:solidFill>
                                                                                      <a:schemeClr val="tx1">
                                                                                        <a:lumMod val="100000"/>
                                                                                        <a:lumOff val="0"/>
                                                                                      </a:schemeClr>
                                                                                    </a:solidFill>
                                                                                    <a:miter lim="800000"/>
                                                                                    <a:headEnd/>
                                                                                    <a:tailEnd/>
                                                                                  </a:ln>
                                                                                </wps:spPr>
                                                                                <wps:bodyPr rot="0">
                                                                                  <a:prstTxWarp prst="textNoShape">
                                                                                    <a:avLst/>
                                                                                  </a:prstTxWarp>
                                                                                  <a:noAutofit/>
                                                                                </wps:bodyPr>
                                                                              </wps:wsp>
                                                                              <wps:wsp>
                                                                                <wps:cNvPr id="72" name=""/>
                                                                                <wps:cNvSpPr>
                                                                                  <a:spLocks noChangeArrowheads="1"/>
                                                                                </wps:cNvSpPr>
                                                                                <wps:spPr bwMode="auto">
                                                                                  <a:xfrm>
                                                                                    <a:off x="8984" y="5948"/>
                                                                                    <a:ext cx="4533" cy="2625"/>
                                                                                  </a:xfrm>
                                                                                  <a:prstGeom prst="rect">
                                                                                    <a:avLst/>
                                                                                  </a:prstGeom>
                                                                                  <a:noFill/>
                                                                                  <a:ln w="12700">
                                                                                    <a:solidFill>
                                                                                      <a:schemeClr val="tx1">
                                                                                        <a:lumMod val="100000"/>
                                                                                        <a:lumOff val="0"/>
                                                                                      </a:schemeClr>
                                                                                    </a:solidFill>
                                                                                    <a:miter lim="800000"/>
                                                                                    <a:headEnd/>
                                                                                    <a:tailEnd/>
                                                                                  </a:ln>
                                                                                </wps:spPr>
                                                                                <wps:bodyPr rot="0">
                                                                                  <a:prstTxWarp prst="textNoShape">
                                                                                    <a:avLst/>
                                                                                  </a:prstTxWarp>
                                                                                  <a:noAutofit/>
                                                                                </wps:bodyPr>
                                                                              </wps:wsp>
                                                                              <wps:wsp>
                                                                                <wps:cNvPr id="73" name=""/>
                                                                                <wps:cNvSpPr>
                                                                                  <a:spLocks noChangeArrowheads="1"/>
                                                                                </wps:cNvSpPr>
                                                                                <wps:spPr bwMode="auto">
                                                                                  <a:xfrm>
                                                                                    <a:off x="18526" y="16657"/>
                                                                                    <a:ext cx="1494" cy="1630"/>
                                                                                  </a:xfrm>
                                                                                  <a:prstGeom prst="ellipse">
                                                                                    <a:avLst/>
                                                                                  </a:prstGeom>
                                                                                  <a:noFill/>
                                                                                  <a:ln w="12700">
                                                                                    <a:solidFill>
                                                                                      <a:schemeClr val="tx1">
                                                                                        <a:lumMod val="100000"/>
                                                                                        <a:lumOff val="0"/>
                                                                                      </a:schemeClr>
                                                                                    </a:solidFill>
                                                                                    <a:round/>
                                                                                    <a:headEnd/>
                                                                                    <a:tailEnd/>
                                                                                  </a:ln>
                                                                                </wps:spPr>
                                                                                <wps:bodyPr rot="0">
                                                                                  <a:prstTxWarp prst="textNoShape">
                                                                                    <a:avLst/>
                                                                                  </a:prstTxWarp>
                                                                                  <a:noAutofit/>
                                                                                </wps:bodyPr>
                                                                              </wps:wsp>
                                                                              <wps:wsp>
                                                                                <wps:cNvPr id="74" name=""/>
                                                                                <wps:cNvSpPr>
                                                                                  <a:spLocks noChangeArrowheads="1"/>
                                                                                </wps:cNvSpPr>
                                                                                <wps:spPr bwMode="auto">
                                                                                  <a:xfrm>
                                                                                    <a:off x="26477" y="15743"/>
                                                                                    <a:ext cx="1494" cy="1630"/>
                                                                                  </a:xfrm>
                                                                                  <a:prstGeom prst="ellipse">
                                                                                    <a:avLst/>
                                                                                  </a:prstGeom>
                                                                                  <a:noFill/>
                                                                                  <a:ln w="12700">
                                                                                    <a:solidFill>
                                                                                      <a:schemeClr val="tx1">
                                                                                        <a:lumMod val="100000"/>
                                                                                        <a:lumOff val="0"/>
                                                                                      </a:schemeClr>
                                                                                    </a:solidFill>
                                                                                    <a:round/>
                                                                                    <a:headEnd/>
                                                                                    <a:tailEnd/>
                                                                                  </a:ln>
                                                                                </wps:spPr>
                                                                                <wps:bodyPr rot="0">
                                                                                  <a:prstTxWarp prst="textNoShape">
                                                                                    <a:avLst/>
                                                                                  </a:prstTxWarp>
                                                                                  <a:noAutofit/>
                                                                                </wps:bodyPr>
                                                                              </wps:wsp>
                                                                              <wps:wsp>
                                                                                <wps:cNvPr id="75" name=""/>
                                                                                <wps:cNvSpPr>
                                                                                  <a:spLocks noChangeArrowheads="1"/>
                                                                                </wps:cNvSpPr>
                                                                                <wps:spPr bwMode="auto">
                                                                                  <a:xfrm>
                                                                                    <a:off x="15743" y="21428"/>
                                                                                    <a:ext cx="1494" cy="1630"/>
                                                                                  </a:xfrm>
                                                                                  <a:prstGeom prst="ellipse">
                                                                                    <a:avLst/>
                                                                                  </a:prstGeom>
                                                                                  <a:noFill/>
                                                                                  <a:ln w="12700">
                                                                                    <a:solidFill>
                                                                                      <a:schemeClr val="tx1">
                                                                                        <a:lumMod val="100000"/>
                                                                                        <a:lumOff val="0"/>
                                                                                      </a:schemeClr>
                                                                                    </a:solidFill>
                                                                                    <a:round/>
                                                                                    <a:headEnd/>
                                                                                    <a:tailEnd/>
                                                                                  </a:ln>
                                                                                </wps:spPr>
                                                                                <wps:bodyPr rot="0">
                                                                                  <a:prstTxWarp prst="textNoShape">
                                                                                    <a:avLst/>
                                                                                  </a:prstTxWarp>
                                                                                  <a:noAutofit/>
                                                                                </wps:bodyPr>
                                                                              </wps:wsp>
                                                                              <wps:wsp>
                                                                                <wps:cNvPr id="76" name=""/>
                                                                                <wps:cNvSpPr>
                                                                                  <a:spLocks noChangeArrowheads="1"/>
                                                                                </wps:cNvSpPr>
                                                                                <wps:spPr bwMode="auto">
                                                                                  <a:xfrm>
                                                                                    <a:off x="0" y="18685"/>
                                                                                    <a:ext cx="1493" cy="1630"/>
                                                                                  </a:xfrm>
                                                                                  <a:prstGeom prst="ellipse">
                                                                                    <a:avLst/>
                                                                                  </a:prstGeom>
                                                                                  <a:noFill/>
                                                                                  <a:ln w="12700">
                                                                                    <a:solidFill>
                                                                                      <a:schemeClr val="tx1">
                                                                                        <a:lumMod val="100000"/>
                                                                                        <a:lumOff val="0"/>
                                                                                      </a:schemeClr>
                                                                                    </a:solidFill>
                                                                                    <a:round/>
                                                                                    <a:headEnd/>
                                                                                    <a:tailEnd/>
                                                                                  </a:ln>
                                                                                </wps:spPr>
                                                                                <wps:bodyPr rot="0">
                                                                                  <a:prstTxWarp prst="textNoShape">
                                                                                    <a:avLst/>
                                                                                  </a:prstTxWarp>
                                                                                  <a:noAutofit/>
                                                                                </wps:bodyPr>
                                                                              </wps:wsp>
                                                                              <wps:wsp>
                                                                                <wps:cNvPr id="77" name=""/>
                                                                                <wps:cNvSpPr>
                                                                                  <a:spLocks noChangeArrowheads="1"/>
                                                                                </wps:cNvSpPr>
                                                                                <wps:spPr bwMode="auto">
                                                                                  <a:xfrm>
                                                                                    <a:off x="396" y="5168"/>
                                                                                    <a:ext cx="1494" cy="1630"/>
                                                                                  </a:xfrm>
                                                                                  <a:prstGeom prst="ellipse">
                                                                                    <a:avLst/>
                                                                                  </a:prstGeom>
                                                                                  <a:noFill/>
                                                                                  <a:ln w="12700">
                                                                                    <a:solidFill>
                                                                                      <a:schemeClr val="tx1">
                                                                                        <a:lumMod val="100000"/>
                                                                                        <a:lumOff val="0"/>
                                                                                      </a:schemeClr>
                                                                                    </a:solidFill>
                                                                                    <a:round/>
                                                                                    <a:headEnd/>
                                                                                    <a:tailEnd/>
                                                                                  </a:ln>
                                                                                </wps:spPr>
                                                                                <wps:bodyPr rot="0">
                                                                                  <a:prstTxWarp prst="textNoShape">
                                                                                    <a:avLst/>
                                                                                  </a:prstTxWarp>
                                                                                  <a:noAutofit/>
                                                                                </wps:bodyPr>
                                                                              </wps:wsp>
                                                                              <wps:wsp>
                                                                                <wps:cNvPr id="78" name=""/>
                                                                                <wps:cNvSpPr>
                                                                                  <a:spLocks noChangeArrowheads="1"/>
                                                                                </wps:cNvSpPr>
                                                                                <wps:spPr bwMode="auto">
                                                                                  <a:xfrm>
                                                                                    <a:off x="4437" y="-1387"/>
                                                                                    <a:ext cx="457" cy="575"/>
                                                                                  </a:xfrm>
                                                                                  <a:prstGeom prst="rect">
                                                                                    <a:avLst/>
                                                                                  </a:prstGeom>
                                                                                  <a:noFill/>
                                                                                  <a:ln w="12700">
                                                                                    <a:solidFill>
                                                                                      <a:schemeClr val="tx1">
                                                                                        <a:lumMod val="100000"/>
                                                                                        <a:lumOff val="0"/>
                                                                                      </a:schemeClr>
                                                                                    </a:solidFill>
                                                                                    <a:miter lim="800000"/>
                                                                                    <a:headEnd/>
                                                                                    <a:tailEnd/>
                                                                                  </a:ln>
                                                                                </wps:spPr>
                                                                                <wps:bodyPr rot="0">
                                                                                  <a:prstTxWarp prst="textNoShape">
                                                                                    <a:avLst/>
                                                                                  </a:prstTxWarp>
                                                                                  <a:noAutofit/>
                                                                                </wps:bodyPr>
                                                                              </wps:wsp>
                                                                            </wpg:grpSp>
                                                                            <wps:wsp>
                                                                              <wps:cNvPr id="79" name=""/>
                                                                              <wps:cNvSpPr>
                                                                                <a:spLocks noChangeArrowheads="1"/>
                                                                              </wps:cNvSpPr>
                                                                              <wps:spPr bwMode="auto">
                                                                                <a:xfrm rot="5400000">
                                                                                  <a:off x="583" y="19178"/>
                                                                                  <a:ext cx="1084" cy="677"/>
                                                                                </a:xfrm>
                                                                                <a:prstGeom prst="triangle">
                                                                                  <a:avLst>
                                                                                    <a:gd name="adj" fmla="val 50000"/>
                                                                                  </a:avLst>
                                                                                </a:prstGeom>
                                                                                <a:solidFill>
                                                                                  <a:schemeClr val="tx1">
                                                                                    <a:lumMod val="100000"/>
                                                                                    <a:lumOff val="0"/>
                                                                                  </a:schemeClr>
                                                                                </a:solidFill>
                                                                                <a:ln w="12700">
                                                                                  <a:solidFill>
                                                                                    <a:schemeClr val="tx1">
                                                                                      <a:lumMod val="100000"/>
                                                                                      <a:lumOff val="0"/>
                                                                                    </a:schemeClr>
                                                                                  </a:solidFill>
                                                                                  <a:miter lim="800000"/>
                                                                                  <a:headEnd/>
                                                                                  <a:tailEnd/>
                                                                                </a:ln>
                                                                              </wps:spPr>
                                                                              <wps:bodyPr rot="0">
                                                                                <a:prstTxWarp prst="textNoShape">
                                                                                  <a:avLst/>
                                                                                </a:prstTxWarp>
                                                                                <a:noAutofit/>
                                                                              </wps:bodyPr>
                                                                            </wps:wsp>
                                                                            <wps:wsp>
                                                                              <wps:cNvPr id="80" name=""/>
                                                                              <wps:cNvSpPr>
                                                                                <a:spLocks noChangeArrowheads="1"/>
                                                                              </wps:cNvSpPr>
                                                                              <wps:spPr bwMode="auto">
                                                                                <a:xfrm rot="5400000">
                                                                                  <a:off x="16363" y="21879"/>
                                                                                  <a:ext cx="1085" cy="677"/>
                                                                                </a:xfrm>
                                                                                <a:prstGeom prst="triangle">
                                                                                  <a:avLst>
                                                                                    <a:gd name="adj" fmla="val 50000"/>
                                                                                  </a:avLst>
                                                                                </a:prstGeom>
                                                                                <a:solidFill>
                                                                                  <a:schemeClr val="tx1">
                                                                                    <a:lumMod val="100000"/>
                                                                                    <a:lumOff val="0"/>
                                                                                  </a:schemeClr>
                                                                                </a:solidFill>
                                                                                <a:ln w="12700">
                                                                                  <a:solidFill>
                                                                                    <a:schemeClr val="tx1">
                                                                                      <a:lumMod val="100000"/>
                                                                                      <a:lumOff val="0"/>
                                                                                    </a:schemeClr>
                                                                                  </a:solidFill>
                                                                                  <a:miter lim="800000"/>
                                                                                  <a:headEnd/>
                                                                                  <a:tailEnd/>
                                                                                </a:ln>
                                                                              </wps:spPr>
                                                                              <wps:bodyPr rot="0">
                                                                                <a:prstTxWarp prst="textNoShape">
                                                                                  <a:avLst/>
                                                                                </a:prstTxWarp>
                                                                                <a:noAutofit/>
                                                                              </wps:bodyPr>
                                                                            </wps:wsp>
                                                                            <wps:wsp>
                                                                              <wps:cNvPr id="81" name=""/>
                                                                              <wps:cNvSpPr>
                                                                                <a:spLocks noChangeArrowheads="1"/>
                                                                              </wps:cNvSpPr>
                                                                              <wps:spPr bwMode="auto">
                                                                                <a:xfrm>
                                                                                  <a:off x="26698" y="15781"/>
                                                                                  <a:ext cx="1085" cy="677"/>
                                                                                </a:xfrm>
                                                                                <a:prstGeom prst="triangle">
                                                                                  <a:avLst>
                                                                                    <a:gd name="adj" fmla="val 50000"/>
                                                                                  </a:avLst>
                                                                                </a:prstGeom>
                                                                                <a:solidFill>
                                                                                  <a:schemeClr val="tx1">
                                                                                    <a:lumMod val="100000"/>
                                                                                    <a:lumOff val="0"/>
                                                                                  </a:schemeClr>
                                                                                </a:solidFill>
                                                                                <a:ln w="12700">
                                                                                  <a:solidFill>
                                                                                    <a:schemeClr val="tx1">
                                                                                      <a:lumMod val="100000"/>
                                                                                      <a:lumOff val="0"/>
                                                                                    </a:schemeClr>
                                                                                  </a:solidFill>
                                                                                  <a:miter lim="800000"/>
                                                                                  <a:headEnd/>
                                                                                  <a:tailEnd/>
                                                                                </a:ln>
                                                                              </wps:spPr>
                                                                              <wps:bodyPr rot="0">
                                                                                <a:prstTxWarp prst="textNoShape">
                                                                                  <a:avLst/>
                                                                                </a:prstTxWarp>
                                                                                <a:noAutofit/>
                                                                              </wps:bodyPr>
                                                                            </wps:wsp>
                                                                            <wps:wsp>
                                                                              <wps:cNvPr id="82" name=""/>
                                                                              <wps:cNvSpPr>
                                                                                <a:spLocks noChangeArrowheads="1"/>
                                                                              </wps:cNvSpPr>
                                                                              <wps:spPr bwMode="auto">
                                                                                <a:xfrm rot="10800000">
                                                                                  <a:off x="18711" y="17546"/>
                                                                                  <a:ext cx="1085" cy="677"/>
                                                                                </a:xfrm>
                                                                                <a:prstGeom prst="triangle">
                                                                                  <a:avLst>
                                                                                    <a:gd name="adj" fmla="val 50000"/>
                                                                                  </a:avLst>
                                                                                </a:prstGeom>
                                                                                <a:solidFill>
                                                                                  <a:schemeClr val="tx1">
                                                                                    <a:lumMod val="100000"/>
                                                                                    <a:lumOff val="0"/>
                                                                                  </a:schemeClr>
                                                                                </a:solidFill>
                                                                                <a:ln w="12700">
                                                                                  <a:solidFill>
                                                                                    <a:schemeClr val="tx1">
                                                                                      <a:lumMod val="100000"/>
                                                                                      <a:lumOff val="0"/>
                                                                                    </a:schemeClr>
                                                                                  </a:solidFill>
                                                                                  <a:miter lim="800000"/>
                                                                                  <a:headEnd/>
                                                                                  <a:tailEnd/>
                                                                                </a:ln>
                                                                              </wps:spPr>
                                                                              <wps:bodyPr rot="0">
                                                                                <a:prstTxWarp prst="textNoShape">
                                                                                  <a:avLst/>
                                                                                </a:prstTxWarp>
                                                                                <a:noAutofit/>
                                                                              </wps:bodyPr>
                                                                            </wps:wsp>
                                                                            <wps:wsp>
                                                                              <wps:cNvPr id="83" name=""/>
                                                                              <wps:cNvSpPr>
                                                                                <a:spLocks noChangeArrowheads="1"/>
                                                                              </wps:cNvSpPr>
                                                                              <wps:spPr bwMode="auto">
                                                                                <a:xfrm rot="-5400000">
                                                                                  <a:off x="264" y="5595"/>
                                                                                  <a:ext cx="1085" cy="677"/>
                                                                                </a:xfrm>
                                                                                <a:prstGeom prst="triangle">
                                                                                  <a:avLst>
                                                                                    <a:gd name="adj" fmla="val 50000"/>
                                                                                  </a:avLst>
                                                                                </a:prstGeom>
                                                                                <a:solidFill>
                                                                                  <a:schemeClr val="tx1">
                                                                                    <a:lumMod val="100000"/>
                                                                                    <a:lumOff val="0"/>
                                                                                  </a:schemeClr>
                                                                                </a:solidFill>
                                                                                <a:ln w="12700">
                                                                                  <a:solidFill>
                                                                                    <a:schemeClr val="tx1">
                                                                                      <a:lumMod val="100000"/>
                                                                                      <a:lumOff val="0"/>
                                                                                    </a:schemeClr>
                                                                                  </a:solidFill>
                                                                                  <a:miter lim="800000"/>
                                                                                  <a:headEnd/>
                                                                                  <a:tailEnd/>
                                                                                </a:ln>
                                                                              </wps:spPr>
                                                                              <wps:bodyPr rot="0">
                                                                                <a:prstTxWarp prst="textNoShape">
                                                                                  <a:avLst/>
                                                                                </a:prstTxWarp>
                                                                                <a:noAutofit/>
                                                                              </wps:bodyPr>
                                                                            </wps:wsp>
                                                                            <wps:wsp>
                                                                              <wps:cNvPr id="84" name=""/>
                                                                              <wps:cNvSpPr>
                                                                                <a:spLocks noChangeArrowheads="1"/>
                                                                              </wps:cNvSpPr>
                                                                              <wps:spPr bwMode="auto">
                                                                                <a:xfrm rot="5400000">
                                                                                  <a:off x="24033" y="21879"/>
                                                                                  <a:ext cx="457" cy="458"/>
                                                                                </a:xfrm>
                                                                                <a:prstGeom prst="triangle">
                                                                                  <a:avLst>
                                                                                    <a:gd name="adj" fmla="val 50000"/>
                                                                                  </a:avLst>
                                                                                </a:prstGeom>
                                                                                <a:noFill/>
                                                                                <a:ln w="12700">
                                                                                  <a:solidFill>
                                                                                    <a:schemeClr val="tx1">
                                                                                      <a:lumMod val="100000"/>
                                                                                      <a:lumOff val="0"/>
                                                                                    </a:schemeClr>
                                                                                  </a:solidFill>
                                                                                  <a:miter lim="800000"/>
                                                                                  <a:headEnd/>
                                                                                  <a:tailEnd/>
                                                                                </a:ln>
                                                                              </wps:spPr>
                                                                              <wps:bodyPr rot="0">
                                                                                <a:prstTxWarp prst="textNoShape">
                                                                                  <a:avLst/>
                                                                                </a:prstTxWarp>
                                                                                <a:noAutofit/>
                                                                              </wps:bodyPr>
                                                                            </wps:wsp>
                                                                            <wps:wsp>
                                                                              <wps:cNvPr id="85" name=""/>
                                                                              <wps:cNvSpPr>
                                                                                <a:spLocks noChangeArrowheads="1"/>
                                                                              </wps:cNvSpPr>
                                                                              <wps:spPr bwMode="auto">
                                                                                <a:xfrm rot="-5400000">
                                                                                  <a:off x="24605" y="21879"/>
                                                                                  <a:ext cx="527" cy="457"/>
                                                                                </a:xfrm>
                                                                                <a:prstGeom prst="triangle">
                                                                                  <a:avLst>
                                                                                    <a:gd name="adj" fmla="val 50000"/>
                                                                                  </a:avLst>
                                                                                </a:prstGeom>
                                                                                <a:noFill/>
                                                                                <a:ln w="12700">
                                                                                  <a:solidFill>
                                                                                    <a:schemeClr val="tx1">
                                                                                      <a:lumMod val="100000"/>
                                                                                      <a:lumOff val="0"/>
                                                                                    </a:schemeClr>
                                                                                  </a:solidFill>
                                                                                  <a:miter lim="800000"/>
                                                                                  <a:headEnd/>
                                                                                  <a:tailEnd/>
                                                                                </a:ln>
                                                                              </wps:spPr>
                                                                              <wps:bodyPr rot="0">
                                                                                <a:prstTxWarp prst="textNoShape">
                                                                                  <a:avLst/>
                                                                                </a:prstTxWarp>
                                                                                <a:noAutofit/>
                                                                              </wps:bodyPr>
                                                                            </wps:wsp>
                                                                          </wpg:grpSp>
                                                                          <wps:wsp>
                                                                            <wps:cNvPr id="86" name=""/>
                                                                            <wps:cNvSpPr/>
                                                                            <wps:spPr bwMode="auto">
                                                                              <a:xfrm>
                                                                                <a:off x="11156" y="0"/>
                                                                                <a:ext cx="0" cy="457"/>
                                                                              </a:xfrm>
                                                                              <a:prstGeom prst="line">
                                                                                <a:avLst/>
                                                                              </a:prstGeom>
                                                                              <a:noFill/>
                                                                              <a:ln w="9525">
                                                                                <a:solidFill>
                                                                                  <a:schemeClr val="tx1">
                                                                                    <a:lumMod val="100000"/>
                                                                                    <a:lumOff val="0"/>
                                                                                  </a:schemeClr>
                                                                                </a:solidFill>
                                                                                <a:round/>
                                                                                <a:headEnd/>
                                                                                <a:tailEnd/>
                                                                              </a:ln>
                                                                            </wps:spPr>
                                                                            <wps:bodyPr rot="0">
                                                                              <a:prstTxWarp prst="textNoShape">
                                                                                <a:avLst/>
                                                                              </a:prstTxWarp>
                                                                              <a:noAutofit/>
                                                                            </wps:bodyPr>
                                                                          </wps:wsp>
                                                                          <wps:wsp>
                                                                            <wps:cNvPr id="87" name=""/>
                                                                            <wps:cNvSpPr/>
                                                                            <wps:spPr bwMode="auto">
                                                                              <a:xfrm>
                                                                                <a:off x="11191" y="1941"/>
                                                                                <a:ext cx="0" cy="457"/>
                                                                              </a:xfrm>
                                                                              <a:prstGeom prst="line">
                                                                                <a:avLst/>
                                                                              </a:prstGeom>
                                                                              <a:noFill/>
                                                                              <a:ln w="9525">
                                                                                <a:solidFill>
                                                                                  <a:schemeClr val="tx1">
                                                                                    <a:lumMod val="100000"/>
                                                                                    <a:lumOff val="0"/>
                                                                                  </a:schemeClr>
                                                                                </a:solidFill>
                                                                                <a:round/>
                                                                                <a:headEnd/>
                                                                                <a:tailEnd/>
                                                                              </a:ln>
                                                                            </wps:spPr>
                                                                            <wps:bodyPr rot="0">
                                                                              <a:prstTxWarp prst="textNoShape">
                                                                                <a:avLst/>
                                                                              </a:prstTxWarp>
                                                                              <a:noAutofit/>
                                                                            </wps:bodyPr>
                                                                          </wps:wsp>
                                                                          <wps:wsp>
                                                                            <wps:cNvPr id="88" name=""/>
                                                                            <wps:cNvSpPr/>
                                                                            <wps:spPr bwMode="auto">
                                                                              <a:xfrm flipH="1">
                                                                                <a:off x="10379" y="458"/>
                                                                                <a:ext cx="782" cy="671"/>
                                                                              </a:xfrm>
                                                                              <a:prstGeom prst="line">
                                                                                <a:avLst/>
                                                                              </a:prstGeom>
                                                                              <a:noFill/>
                                                                              <a:ln w="9525">
                                                                                <a:solidFill>
                                                                                  <a:schemeClr val="tx1">
                                                                                    <a:lumMod val="100000"/>
                                                                                    <a:lumOff val="0"/>
                                                                                  </a:schemeClr>
                                                                                </a:solidFill>
                                                                                <a:round/>
                                                                                <a:headEnd/>
                                                                                <a:tailEnd/>
                                                                              </a:ln>
                                                                            </wps:spPr>
                                                                            <wps:bodyPr rot="0">
                                                                              <a:prstTxWarp prst="textNoShape">
                                                                                <a:avLst/>
                                                                              </a:prstTxWarp>
                                                                              <a:noAutofit/>
                                                                            </wps:bodyPr>
                                                                          </wps:wsp>
                                                                          <wps:wsp>
                                                                            <wps:cNvPr id="89" name=""/>
                                                                            <wps:cNvSpPr/>
                                                                            <wps:spPr bwMode="auto">
                                                                              <a:xfrm>
                                                                                <a:off x="10379" y="1129"/>
                                                                                <a:ext cx="1534" cy="0"/>
                                                                              </a:xfrm>
                                                                              <a:prstGeom prst="line">
                                                                                <a:avLst/>
                                                                              </a:prstGeom>
                                                                              <a:noFill/>
                                                                              <a:ln w="9525">
                                                                                <a:solidFill>
                                                                                  <a:schemeClr val="tx1">
                                                                                    <a:lumMod val="100000"/>
                                                                                    <a:lumOff val="0"/>
                                                                                  </a:schemeClr>
                                                                                </a:solidFill>
                                                                                <a:round/>
                                                                                <a:headEnd/>
                                                                                <a:tailEnd/>
                                                                              </a:ln>
                                                                            </wps:spPr>
                                                                            <wps:bodyPr rot="0">
                                                                              <a:prstTxWarp prst="textNoShape">
                                                                                <a:avLst/>
                                                                              </a:prstTxWarp>
                                                                              <a:noAutofit/>
                                                                            </wps:bodyPr>
                                                                          </wps:wsp>
                                                                          <wps:wsp>
                                                                            <wps:cNvPr id="90" name=""/>
                                                                            <wps:cNvSpPr/>
                                                                            <wps:spPr bwMode="auto">
                                                                              <a:xfrm flipH="1">
                                                                                <a:off x="11156" y="1129"/>
                                                                                <a:ext cx="741" cy="845"/>
                                                                              </a:xfrm>
                                                                              <a:prstGeom prst="line">
                                                                                <a:avLst/>
                                                                              </a:prstGeom>
                                                                              <a:noFill/>
                                                                              <a:ln w="9525">
                                                                                <a:solidFill>
                                                                                  <a:schemeClr val="tx1">
                                                                                    <a:lumMod val="100000"/>
                                                                                    <a:lumOff val="0"/>
                                                                                  </a:schemeClr>
                                                                                </a:solidFill>
                                                                                <a:round/>
                                                                                <a:headEnd/>
                                                                                <a:tailEnd/>
                                                                              </a:ln>
                                                                            </wps:spPr>
                                                                            <wps:bodyPr rot="0">
                                                                              <a:prstTxWarp prst="textNoShape">
                                                                                <a:avLst/>
                                                                              </a:prstTxWarp>
                                                                              <a:noAutofit/>
                                                                            </wps:bodyPr>
                                                                          </wps:wsp>
                                                                          <wps:wsp>
                                                                            <wps:cNvPr id="91" name=""/>
                                                                            <wps:cNvSpPr/>
                                                                            <wps:spPr bwMode="auto">
                                                                              <a:xfrm>
                                                                                <a:off x="19277" y="4395"/>
                                                                                <a:ext cx="0" cy="458"/>
                                                                              </a:xfrm>
                                                                              <a:prstGeom prst="line">
                                                                                <a:avLst/>
                                                                              </a:prstGeom>
                                                                              <a:noFill/>
                                                                              <a:ln w="9525">
                                                                                <a:solidFill>
                                                                                  <a:schemeClr val="tx1">
                                                                                    <a:lumMod val="100000"/>
                                                                                    <a:lumOff val="0"/>
                                                                                  </a:schemeClr>
                                                                                </a:solidFill>
                                                                                <a:round/>
                                                                                <a:headEnd/>
                                                                                <a:tailEnd/>
                                                                              </a:ln>
                                                                            </wps:spPr>
                                                                            <wps:bodyPr rot="0">
                                                                              <a:prstTxWarp prst="textNoShape">
                                                                                <a:avLst/>
                                                                              </a:prstTxWarp>
                                                                              <a:noAutofit/>
                                                                            </wps:bodyPr>
                                                                          </wps:wsp>
                                                                          <wps:wsp>
                                                                            <wps:cNvPr id="92" name=""/>
                                                                            <wps:cNvSpPr/>
                                                                            <wps:spPr bwMode="auto">
                                                                              <a:xfrm>
                                                                                <a:off x="19311" y="6337"/>
                                                                                <a:ext cx="0" cy="457"/>
                                                                              </a:xfrm>
                                                                              <a:prstGeom prst="line">
                                                                                <a:avLst/>
                                                                              </a:prstGeom>
                                                                              <a:noFill/>
                                                                              <a:ln w="9525">
                                                                                <a:solidFill>
                                                                                  <a:schemeClr val="tx1">
                                                                                    <a:lumMod val="100000"/>
                                                                                    <a:lumOff val="0"/>
                                                                                  </a:schemeClr>
                                                                                </a:solidFill>
                                                                                <a:round/>
                                                                                <a:headEnd/>
                                                                                <a:tailEnd/>
                                                                              </a:ln>
                                                                            </wps:spPr>
                                                                            <wps:bodyPr rot="0">
                                                                              <a:prstTxWarp prst="textNoShape">
                                                                                <a:avLst/>
                                                                              </a:prstTxWarp>
                                                                              <a:noAutofit/>
                                                                            </wps:bodyPr>
                                                                          </wps:wsp>
                                                                          <wps:wsp>
                                                                            <wps:cNvPr id="93" name=""/>
                                                                            <wps:cNvSpPr/>
                                                                            <wps:spPr bwMode="auto">
                                                                              <a:xfrm flipH="1">
                                                                                <a:off x="18500" y="4854"/>
                                                                                <a:ext cx="782" cy="671"/>
                                                                              </a:xfrm>
                                                                              <a:prstGeom prst="line">
                                                                                <a:avLst/>
                                                                              </a:prstGeom>
                                                                              <a:noFill/>
                                                                              <a:ln w="9525">
                                                                                <a:solidFill>
                                                                                  <a:schemeClr val="tx1">
                                                                                    <a:lumMod val="100000"/>
                                                                                    <a:lumOff val="0"/>
                                                                                  </a:schemeClr>
                                                                                </a:solidFill>
                                                                                <a:round/>
                                                                                <a:headEnd/>
                                                                                <a:tailEnd/>
                                                                              </a:ln>
                                                                            </wps:spPr>
                                                                            <wps:bodyPr rot="0">
                                                                              <a:prstTxWarp prst="textNoShape">
                                                                                <a:avLst/>
                                                                              </a:prstTxWarp>
                                                                              <a:noAutofit/>
                                                                            </wps:bodyPr>
                                                                          </wps:wsp>
                                                                          <wps:wsp>
                                                                            <wps:cNvPr id="94" name=""/>
                                                                            <wps:cNvSpPr/>
                                                                            <wps:spPr bwMode="auto">
                                                                              <a:xfrm>
                                                                                <a:off x="18500" y="5525"/>
                                                                                <a:ext cx="1534" cy="0"/>
                                                                              </a:xfrm>
                                                                              <a:prstGeom prst="line">
                                                                                <a:avLst/>
                                                                              </a:prstGeom>
                                                                              <a:noFill/>
                                                                              <a:ln w="9525">
                                                                                <a:solidFill>
                                                                                  <a:schemeClr val="tx1">
                                                                                    <a:lumMod val="100000"/>
                                                                                    <a:lumOff val="0"/>
                                                                                  </a:schemeClr>
                                                                                </a:solidFill>
                                                                                <a:round/>
                                                                                <a:headEnd/>
                                                                                <a:tailEnd/>
                                                                              </a:ln>
                                                                            </wps:spPr>
                                                                            <wps:bodyPr rot="0">
                                                                              <a:prstTxWarp prst="textNoShape">
                                                                                <a:avLst/>
                                                                              </a:prstTxWarp>
                                                                              <a:noAutofit/>
                                                                            </wps:bodyPr>
                                                                          </wps:wsp>
                                                                          <wps:wsp>
                                                                            <wps:cNvPr id="95" name=""/>
                                                                            <wps:cNvSpPr/>
                                                                            <wps:spPr bwMode="auto">
                                                                              <a:xfrm flipH="1">
                                                                                <a:off x="19277" y="5525"/>
                                                                                <a:ext cx="741" cy="845"/>
                                                                              </a:xfrm>
                                                                              <a:prstGeom prst="line">
                                                                                <a:avLst/>
                                                                              </a:prstGeom>
                                                                              <a:noFill/>
                                                                              <a:ln w="9525">
                                                                                <a:solidFill>
                                                                                  <a:schemeClr val="tx1">
                                                                                    <a:lumMod val="100000"/>
                                                                                    <a:lumOff val="0"/>
                                                                                  </a:schemeClr>
                                                                                </a:solidFill>
                                                                                <a:round/>
                                                                                <a:headEnd/>
                                                                                <a:tailEnd/>
                                                                              </a:ln>
                                                                            </wps:spPr>
                                                                            <wps:bodyPr rot="0">
                                                                              <a:prstTxWarp prst="textNoShape">
                                                                                <a:avLst/>
                                                                              </a:prstTxWarp>
                                                                              <a:noAutofit/>
                                                                            </wps:bodyPr>
                                                                          </wps:wsp>
                                                                          <wps:wsp>
                                                                            <wps:cNvPr id="96" name=""/>
                                                                            <wps:cNvSpPr/>
                                                                            <wps:spPr bwMode="auto">
                                                                              <a:xfrm>
                                                                                <a:off x="27193" y="1745"/>
                                                                                <a:ext cx="0" cy="457"/>
                                                                              </a:xfrm>
                                                                              <a:prstGeom prst="line">
                                                                                <a:avLst/>
                                                                              </a:prstGeom>
                                                                              <a:noFill/>
                                                                              <a:ln w="9525">
                                                                                <a:solidFill>
                                                                                  <a:schemeClr val="tx1">
                                                                                    <a:lumMod val="100000"/>
                                                                                    <a:lumOff val="0"/>
                                                                                  </a:schemeClr>
                                                                                </a:solidFill>
                                                                                <a:round/>
                                                                                <a:headEnd/>
                                                                                <a:tailEnd/>
                                                                              </a:ln>
                                                                            </wps:spPr>
                                                                            <wps:bodyPr rot="0">
                                                                              <a:prstTxWarp prst="textNoShape">
                                                                                <a:avLst/>
                                                                              </a:prstTxWarp>
                                                                              <a:noAutofit/>
                                                                            </wps:bodyPr>
                                                                          </wps:wsp>
                                                                          <wps:wsp>
                                                                            <wps:cNvPr id="97" name=""/>
                                                                            <wps:cNvSpPr/>
                                                                            <wps:spPr bwMode="auto">
                                                                              <a:xfrm>
                                                                                <a:off x="27228" y="3687"/>
                                                                                <a:ext cx="0" cy="457"/>
                                                                              </a:xfrm>
                                                                              <a:prstGeom prst="line">
                                                                                <a:avLst/>
                                                                              </a:prstGeom>
                                                                              <a:noFill/>
                                                                              <a:ln w="9525">
                                                                                <a:solidFill>
                                                                                  <a:schemeClr val="tx1">
                                                                                    <a:lumMod val="100000"/>
                                                                                    <a:lumOff val="0"/>
                                                                                  </a:schemeClr>
                                                                                </a:solidFill>
                                                                                <a:round/>
                                                                                <a:headEnd/>
                                                                                <a:tailEnd/>
                                                                              </a:ln>
                                                                            </wps:spPr>
                                                                            <wps:bodyPr rot="0">
                                                                              <a:prstTxWarp prst="textNoShape">
                                                                                <a:avLst/>
                                                                              </a:prstTxWarp>
                                                                              <a:noAutofit/>
                                                                            </wps:bodyPr>
                                                                          </wps:wsp>
                                                                          <wps:wsp>
                                                                            <wps:cNvPr id="98" name=""/>
                                                                            <wps:cNvSpPr/>
                                                                            <wps:spPr bwMode="auto">
                                                                              <a:xfrm flipH="1">
                                                                                <a:off x="26416" y="2204"/>
                                                                                <a:ext cx="782" cy="671"/>
                                                                              </a:xfrm>
                                                                              <a:prstGeom prst="line">
                                                                                <a:avLst/>
                                                                              </a:prstGeom>
                                                                              <a:noFill/>
                                                                              <a:ln w="9525">
                                                                                <a:solidFill>
                                                                                  <a:schemeClr val="tx1">
                                                                                    <a:lumMod val="100000"/>
                                                                                    <a:lumOff val="0"/>
                                                                                  </a:schemeClr>
                                                                                </a:solidFill>
                                                                                <a:round/>
                                                                                <a:headEnd/>
                                                                                <a:tailEnd/>
                                                                              </a:ln>
                                                                            </wps:spPr>
                                                                            <wps:bodyPr rot="0">
                                                                              <a:prstTxWarp prst="textNoShape">
                                                                                <a:avLst/>
                                                                              </a:prstTxWarp>
                                                                              <a:noAutofit/>
                                                                            </wps:bodyPr>
                                                                          </wps:wsp>
                                                                          <wps:wsp>
                                                                            <wps:cNvPr id="99" name=""/>
                                                                            <wps:cNvSpPr/>
                                                                            <wps:spPr bwMode="auto">
                                                                              <a:xfrm>
                                                                                <a:off x="26416" y="2875"/>
                                                                                <a:ext cx="1534" cy="0"/>
                                                                              </a:xfrm>
                                                                              <a:prstGeom prst="line">
                                                                                <a:avLst/>
                                                                              </a:prstGeom>
                                                                              <a:noFill/>
                                                                              <a:ln w="9525">
                                                                                <a:solidFill>
                                                                                  <a:schemeClr val="tx1">
                                                                                    <a:lumMod val="100000"/>
                                                                                    <a:lumOff val="0"/>
                                                                                  </a:schemeClr>
                                                                                </a:solidFill>
                                                                                <a:round/>
                                                                                <a:headEnd/>
                                                                                <a:tailEnd/>
                                                                              </a:ln>
                                                                            </wps:spPr>
                                                                            <wps:bodyPr rot="0">
                                                                              <a:prstTxWarp prst="textNoShape">
                                                                                <a:avLst/>
                                                                              </a:prstTxWarp>
                                                                              <a:noAutofit/>
                                                                            </wps:bodyPr>
                                                                          </wps:wsp>
                                                                          <wps:wsp>
                                                                            <wps:cNvPr id="100" name=""/>
                                                                            <wps:cNvSpPr/>
                                                                            <wps:spPr bwMode="auto">
                                                                              <a:xfrm flipH="1">
                                                                                <a:off x="27193" y="2875"/>
                                                                                <a:ext cx="741" cy="844"/>
                                                                              </a:xfrm>
                                                                              <a:prstGeom prst="line">
                                                                                <a:avLst/>
                                                                              </a:prstGeom>
                                                                              <a:noFill/>
                                                                              <a:ln w="9525">
                                                                                <a:solidFill>
                                                                                  <a:schemeClr val="tx1">
                                                                                    <a:lumMod val="100000"/>
                                                                                    <a:lumOff val="0"/>
                                                                                  </a:schemeClr>
                                                                                </a:solidFill>
                                                                                <a:round/>
                                                                                <a:headEnd/>
                                                                                <a:tailEnd/>
                                                                              </a:ln>
                                                                            </wps:spPr>
                                                                            <wps:bodyPr rot="0">
                                                                              <a:prstTxWarp prst="textNoShape">
                                                                                <a:avLst/>
                                                                              </a:prstTxWarp>
                                                                              <a:noAutofit/>
                                                                            </wps:bodyPr>
                                                                          </wps:wsp>
                                                                          <wps:wsp>
                                                                            <wps:cNvPr id="101" name=""/>
                                                                            <wps:cNvSpPr/>
                                                                            <wps:spPr bwMode="auto">
                                                                              <a:xfrm>
                                                                                <a:off x="19314" y="12902"/>
                                                                                <a:ext cx="0" cy="457"/>
                                                                              </a:xfrm>
                                                                              <a:prstGeom prst="line">
                                                                                <a:avLst/>
                                                                              </a:prstGeom>
                                                                              <a:noFill/>
                                                                              <a:ln w="9525">
                                                                                <a:solidFill>
                                                                                  <a:schemeClr val="tx1">
                                                                                    <a:lumMod val="100000"/>
                                                                                    <a:lumOff val="0"/>
                                                                                  </a:schemeClr>
                                                                                </a:solidFill>
                                                                                <a:round/>
                                                                                <a:headEnd/>
                                                                                <a:tailEnd/>
                                                                              </a:ln>
                                                                            </wps:spPr>
                                                                            <wps:bodyPr rot="0">
                                                                              <a:prstTxWarp prst="textNoShape">
                                                                                <a:avLst/>
                                                                              </a:prstTxWarp>
                                                                              <a:noAutofit/>
                                                                            </wps:bodyPr>
                                                                          </wps:wsp>
                                                                          <wps:wsp>
                                                                            <wps:cNvPr id="102" name=""/>
                                                                            <wps:cNvSpPr/>
                                                                            <wps:spPr bwMode="auto">
                                                                              <a:xfrm>
                                                                                <a:off x="19349" y="14843"/>
                                                                                <a:ext cx="0" cy="458"/>
                                                                              </a:xfrm>
                                                                              <a:prstGeom prst="line">
                                                                                <a:avLst/>
                                                                              </a:prstGeom>
                                                                              <a:noFill/>
                                                                              <a:ln w="9525">
                                                                                <a:solidFill>
                                                                                  <a:schemeClr val="tx1">
                                                                                    <a:lumMod val="100000"/>
                                                                                    <a:lumOff val="0"/>
                                                                                  </a:schemeClr>
                                                                                </a:solidFill>
                                                                                <a:round/>
                                                                                <a:headEnd/>
                                                                                <a:tailEnd/>
                                                                              </a:ln>
                                                                            </wps:spPr>
                                                                            <wps:bodyPr rot="0">
                                                                              <a:prstTxWarp prst="textNoShape">
                                                                                <a:avLst/>
                                                                              </a:prstTxWarp>
                                                                              <a:noAutofit/>
                                                                            </wps:bodyPr>
                                                                          </wps:wsp>
                                                                          <wps:wsp>
                                                                            <wps:cNvPr id="103" name=""/>
                                                                            <wps:cNvSpPr/>
                                                                            <wps:spPr bwMode="auto">
                                                                              <a:xfrm>
                                                                                <a:off x="19315" y="13359"/>
                                                                                <a:ext cx="700" cy="671"/>
                                                                              </a:xfrm>
                                                                              <a:prstGeom prst="line">
                                                                                <a:avLst/>
                                                                              </a:prstGeom>
                                                                              <a:noFill/>
                                                                              <a:ln w="9525">
                                                                                <a:solidFill>
                                                                                  <a:schemeClr val="tx1">
                                                                                    <a:lumMod val="100000"/>
                                                                                    <a:lumOff val="0"/>
                                                                                  </a:schemeClr>
                                                                                </a:solidFill>
                                                                                <a:round/>
                                                                                <a:headEnd/>
                                                                                <a:tailEnd/>
                                                                              </a:ln>
                                                                            </wps:spPr>
                                                                            <wps:bodyPr rot="0">
                                                                              <a:prstTxWarp prst="textNoShape">
                                                                                <a:avLst/>
                                                                              </a:prstTxWarp>
                                                                              <a:noAutofit/>
                                                                            </wps:bodyPr>
                                                                          </wps:wsp>
                                                                          <wps:wsp>
                                                                            <wps:cNvPr id="104" name=""/>
                                                                            <wps:cNvSpPr/>
                                                                            <wps:spPr bwMode="auto">
                                                                              <a:xfrm>
                                                                                <a:off x="18537" y="14031"/>
                                                                                <a:ext cx="1534" cy="0"/>
                                                                              </a:xfrm>
                                                                              <a:prstGeom prst="line">
                                                                                <a:avLst/>
                                                                              </a:prstGeom>
                                                                              <a:noFill/>
                                                                              <a:ln w="9525">
                                                                                <a:solidFill>
                                                                                  <a:schemeClr val="tx1">
                                                                                    <a:lumMod val="100000"/>
                                                                                    <a:lumOff val="0"/>
                                                                                  </a:schemeClr>
                                                                                </a:solidFill>
                                                                                <a:round/>
                                                                                <a:headEnd/>
                                                                                <a:tailEnd/>
                                                                              </a:ln>
                                                                            </wps:spPr>
                                                                            <wps:bodyPr rot="0">
                                                                              <a:prstTxWarp prst="textNoShape">
                                                                                <a:avLst/>
                                                                              </a:prstTxWarp>
                                                                              <a:noAutofit/>
                                                                            </wps:bodyPr>
                                                                          </wps:wsp>
                                                                          <wps:wsp>
                                                                            <wps:cNvPr id="105" name=""/>
                                                                            <wps:cNvSpPr/>
                                                                            <wps:spPr bwMode="auto">
                                                                              <a:xfrm>
                                                                                <a:off x="18534" y="14030"/>
                                                                                <a:ext cx="776" cy="845"/>
                                                                              </a:xfrm>
                                                                              <a:prstGeom prst="line">
                                                                                <a:avLst/>
                                                                              </a:prstGeom>
                                                                              <a:noFill/>
                                                                              <a:ln w="9525">
                                                                                <a:solidFill>
                                                                                  <a:schemeClr val="tx1">
                                                                                    <a:lumMod val="100000"/>
                                                                                    <a:lumOff val="0"/>
                                                                                  </a:schemeClr>
                                                                                </a:solidFill>
                                                                                <a:round/>
                                                                                <a:headEnd/>
                                                                                <a:tailEnd/>
                                                                              </a:ln>
                                                                            </wps:spPr>
                                                                            <wps:bodyPr rot="0">
                                                                              <a:prstTxWarp prst="textNoShape">
                                                                                <a:avLst/>
                                                                              </a:prstTxWarp>
                                                                              <a:noAutofit/>
                                                                            </wps:bodyPr>
                                                                          </wps:wsp>
                                                                        </wpg:grpSp>
                                                                        <wps:wsp>
                                                                          <wps:cNvPr id="106" name=""/>
                                                                          <wps:cNvSpPr/>
                                                                          <wps:spPr bwMode="auto">
                                                                            <a:xfrm>
                                                                              <a:off x="0" y="35"/>
                                                                              <a:ext cx="6707" cy="0"/>
                                                                            </a:xfrm>
                                                                            <a:prstGeom prst="line">
                                                                              <a:avLst/>
                                                                            </a:prstGeom>
                                                                            <a:noFill/>
                                                                            <a:ln w="9525">
                                                                              <a:solidFill>
                                                                                <a:schemeClr val="tx1">
                                                                                  <a:lumMod val="100000"/>
                                                                                  <a:lumOff val="0"/>
                                                                                </a:schemeClr>
                                                                              </a:solidFill>
                                                                              <a:prstDash val="lgDash"/>
                                                                              <a:round/>
                                                                              <a:headEnd/>
                                                                              <a:tailEnd/>
                                                                            </a:ln>
                                                                          </wps:spPr>
                                                                          <wps:bodyPr rot="0">
                                                                            <a:prstTxWarp prst="textNoShape">
                                                                              <a:avLst/>
                                                                            </a:prstTxWarp>
                                                                            <a:noAutofit/>
                                                                          </wps:bodyPr>
                                                                        </wps:wsp>
                                                                        <wps:wsp>
                                                                          <wps:cNvPr id="107" name=""/>
                                                                          <wps:cNvSpPr/>
                                                                          <wps:spPr bwMode="auto">
                                                                            <a:xfrm>
                                                                              <a:off x="0" y="35"/>
                                                                              <a:ext cx="0" cy="8425"/>
                                                                            </a:xfrm>
                                                                            <a:prstGeom prst="line">
                                                                              <a:avLst/>
                                                                            </a:prstGeom>
                                                                            <a:noFill/>
                                                                            <a:ln w="9525">
                                                                              <a:solidFill>
                                                                                <a:schemeClr val="tx1">
                                                                                  <a:lumMod val="100000"/>
                                                                                  <a:lumOff val="0"/>
                                                                                </a:schemeClr>
                                                                              </a:solidFill>
                                                                              <a:prstDash val="lgDash"/>
                                                                              <a:round/>
                                                                              <a:headEnd/>
                                                                              <a:tailEnd/>
                                                                            </a:ln>
                                                                          </wps:spPr>
                                                                          <wps:bodyPr rot="0">
                                                                            <a:prstTxWarp prst="textNoShape">
                                                                              <a:avLst/>
                                                                            </a:prstTxWarp>
                                                                            <a:noAutofit/>
                                                                          </wps:bodyPr>
                                                                        </wps:wsp>
                                                                        <wps:wsp>
                                                                          <wps:cNvPr id="108" name=""/>
                                                                          <wps:cNvSpPr/>
                                                                          <wps:spPr bwMode="auto">
                                                                            <a:xfrm>
                                                                              <a:off x="0" y="8437"/>
                                                                              <a:ext cx="2480" cy="32"/>
                                                                            </a:xfrm>
                                                                            <a:prstGeom prst="line">
                                                                              <a:avLst/>
                                                                            </a:prstGeom>
                                                                            <a:noFill/>
                                                                            <a:ln w="9525">
                                                                              <a:solidFill>
                                                                                <a:schemeClr val="tx1">
                                                                                  <a:lumMod val="100000"/>
                                                                                  <a:lumOff val="0"/>
                                                                                </a:schemeClr>
                                                                              </a:solidFill>
                                                                              <a:prstDash val="lgDash"/>
                                                                              <a:round/>
                                                                              <a:headEnd/>
                                                                              <a:tailEnd/>
                                                                            </a:ln>
                                                                          </wps:spPr>
                                                                          <wps:bodyPr rot="0">
                                                                            <a:prstTxWarp prst="textNoShape">
                                                                              <a:avLst/>
                                                                            </a:prstTxWarp>
                                                                            <a:noAutofit/>
                                                                          </wps:bodyPr>
                                                                        </wps:wsp>
                                                                        <wps:wsp>
                                                                          <wps:cNvPr id="109" name=""/>
                                                                          <wps:cNvSpPr/>
                                                                          <wps:spPr bwMode="auto">
                                                                            <a:xfrm>
                                                                              <a:off x="3954" y="8473"/>
                                                                              <a:ext cx="2930" cy="25"/>
                                                                            </a:xfrm>
                                                                            <a:prstGeom prst="line">
                                                                              <a:avLst/>
                                                                            </a:prstGeom>
                                                                            <a:noFill/>
                                                                            <a:ln w="9525">
                                                                              <a:solidFill>
                                                                                <a:schemeClr val="tx1">
                                                                                  <a:lumMod val="100000"/>
                                                                                  <a:lumOff val="0"/>
                                                                                </a:schemeClr>
                                                                              </a:solidFill>
                                                                              <a:prstDash val="lgDash"/>
                                                                              <a:round/>
                                                                              <a:headEnd/>
                                                                              <a:tailEnd/>
                                                                            </a:ln>
                                                                          </wps:spPr>
                                                                          <wps:bodyPr rot="0">
                                                                            <a:prstTxWarp prst="textNoShape">
                                                                              <a:avLst/>
                                                                            </a:prstTxWarp>
                                                                            <a:noAutofit/>
                                                                          </wps:bodyPr>
                                                                        </wps:wsp>
                                                                        <wps:wsp>
                                                                          <wps:cNvPr id="110" name=""/>
                                                                          <wps:cNvSpPr/>
                                                                          <wps:spPr bwMode="auto">
                                                                            <a:xfrm flipH="1">
                                                                              <a:off x="6778" y="7237"/>
                                                                              <a:ext cx="0" cy="1226"/>
                                                                            </a:xfrm>
                                                                            <a:prstGeom prst="line">
                                                                              <a:avLst/>
                                                                            </a:prstGeom>
                                                                            <a:noFill/>
                                                                            <a:ln w="9525">
                                                                              <a:solidFill>
                                                                                <a:schemeClr val="tx1">
                                                                                  <a:lumMod val="100000"/>
                                                                                  <a:lumOff val="0"/>
                                                                                </a:schemeClr>
                                                                              </a:solidFill>
                                                                              <a:prstDash val="lgDash"/>
                                                                              <a:round/>
                                                                              <a:headEnd/>
                                                                              <a:tailEnd/>
                                                                            </a:ln>
                                                                          </wps:spPr>
                                                                          <wps:bodyPr rot="0">
                                                                            <a:prstTxWarp prst="textNoShape">
                                                                              <a:avLst/>
                                                                            </a:prstTxWarp>
                                                                            <a:noAutofit/>
                                                                          </wps:bodyPr>
                                                                        </wps:wsp>
                                                                        <wps:wsp>
                                                                          <wps:cNvPr id="111" name=""/>
                                                                          <wps:cNvSpPr/>
                                                                          <wps:spPr bwMode="auto">
                                                                            <a:xfrm>
                                                                              <a:off x="6778" y="2789"/>
                                                                              <a:ext cx="0" cy="2133"/>
                                                                            </a:xfrm>
                                                                            <a:prstGeom prst="line">
                                                                              <a:avLst/>
                                                                            </a:prstGeom>
                                                                            <a:noFill/>
                                                                            <a:ln w="9525">
                                                                              <a:solidFill>
                                                                                <a:schemeClr val="tx1">
                                                                                  <a:lumMod val="100000"/>
                                                                                  <a:lumOff val="0"/>
                                                                                </a:schemeClr>
                                                                              </a:solidFill>
                                                                              <a:prstDash val="lgDash"/>
                                                                              <a:round/>
                                                                              <a:headEnd/>
                                                                              <a:tailEnd/>
                                                                            </a:ln>
                                                                          </wps:spPr>
                                                                          <wps:bodyPr rot="0">
                                                                            <a:prstTxWarp prst="textNoShape">
                                                                              <a:avLst/>
                                                                            </a:prstTxWarp>
                                                                            <a:noAutofit/>
                                                                          </wps:bodyPr>
                                                                        </wps:wsp>
                                                                        <wps:wsp>
                                                                          <wps:cNvPr id="112" name=""/>
                                                                          <wps:cNvSpPr/>
                                                                          <wps:spPr bwMode="auto">
                                                                            <a:xfrm>
                                                                              <a:off x="6672" y="0"/>
                                                                              <a:ext cx="33" cy="1225"/>
                                                                            </a:xfrm>
                                                                            <a:prstGeom prst="line">
                                                                              <a:avLst/>
                                                                            </a:prstGeom>
                                                                            <a:noFill/>
                                                                            <a:ln w="9525">
                                                                              <a:solidFill>
                                                                                <a:schemeClr val="tx1">
                                                                                  <a:lumMod val="100000"/>
                                                                                  <a:lumOff val="0"/>
                                                                                </a:schemeClr>
                                                                              </a:solidFill>
                                                                              <a:prstDash val="lgDash"/>
                                                                              <a:round/>
                                                                              <a:headEnd/>
                                                                              <a:tailEnd/>
                                                                            </a:ln>
                                                                          </wps:spPr>
                                                                          <wps:bodyPr rot="0">
                                                                            <a:prstTxWarp prst="textNoShape">
                                                                              <a:avLst/>
                                                                            </a:prstTxWarp>
                                                                            <a:noAutofit/>
                                                                          </wps:bodyPr>
                                                                        </wps:wsp>
                                                                      </wpg:grpSp>
                                                                      <wps:wsp>
                                                                        <wps:cNvPr id="113" name=""/>
                                                                        <wps:cNvSpPr txBox="1">
                                                                          <a:spLocks noChangeArrowheads="1"/>
                                                                        </wps:cNvSpPr>
                                                                        <wps:spPr bwMode="auto">
                                                                          <a:xfrm>
                                                                            <a:off x="37663" y="15398"/>
                                                                            <a:ext cx="11252" cy="2413"/>
                                                                          </a:xfrm>
                                                                          <a:prstGeom prst="rect">
                                                                            <a:avLst/>
                                                                          </a:prstGeom>
                                                                          <a:solidFill>
                                                                            <a:schemeClr val="lt1">
                                                                              <a:lumMod val="100000"/>
                                                                              <a:lumOff val="0"/>
                                                                            </a:schemeClr>
                                                                          </a:solidFill>
                                                                          <a:ln>
                                                                            <a:noFill/>
                                                                          </a:ln>
                                                                        </wps:spPr>
                                                                        <wps:txbx>
                                                                          <w:txbxContent>
                                                                            <w:p>
                                                                              <w:pPr>
                                                                                <w:rPr>
                                                                                  <w:sz w:val="20"/>
                                                                                  <w:szCs w:val="20"/>
                                                                                </w:rPr>
                                                                              </w:pPr>
                                                                              <w:r>
                                                                                <w:rPr>
                                                                                  <w:sz w:val="20"/>
                                                                                  <w:szCs w:val="20"/>
                                                                                </w:rPr>
                                                                                <w:t xml:space="preserve">В тепловую сеть</w:t>
                                                                              </w:r>
                                                                              <w:r>
                                                                                <w:rPr>
                                                                                  <w:sz w:val="20"/>
                                                                                  <w:szCs w:val="20"/>
                                                                                </w:rPr>
                                                                              </w:r>
                                                                              <w:r>
                                                                                <w:rPr>
                                                                                  <w:sz w:val="20"/>
                                                                                  <w:szCs w:val="20"/>
                                                                                </w:rPr>
                                                                              </w:r>
                                                                            </w:p>
                                                                          </w:txbxContent>
                                                                        </wps:txbx>
                                                                        <wps:bodyPr rot="0" vert="horz" wrap="square" lIns="91440" tIns="45720" rIns="91440" bIns="45720" anchor="t" anchorCtr="0" upright="1">
                                                                          <a:noAutofit/>
                                                                        </wps:bodyPr>
                                                                      </wps:wsp>
                                                                      <wps:wsp>
                                                                        <wps:cNvPr id="114" name=""/>
                                                                        <wps:cNvSpPr txBox="1">
                                                                          <a:spLocks noChangeArrowheads="1"/>
                                                                        </wps:cNvSpPr>
                                                                        <wps:spPr bwMode="auto">
                                                                          <a:xfrm>
                                                                            <a:off x="37391" y="22876"/>
                                                                            <a:ext cx="11513" cy="2413"/>
                                                                          </a:xfrm>
                                                                          <a:prstGeom prst="rect">
                                                                            <a:avLst/>
                                                                          </a:prstGeom>
                                                                          <a:solidFill>
                                                                            <a:schemeClr val="lt1">
                                                                              <a:lumMod val="100000"/>
                                                                              <a:lumOff val="0"/>
                                                                            </a:schemeClr>
                                                                          </a:solidFill>
                                                                          <a:ln>
                                                                            <a:noFill/>
                                                                          </a:ln>
                                                                        </wps:spPr>
                                                                        <wps:txbx>
                                                                          <w:txbxContent>
                                                                            <w:p>
                                                                              <w:pPr>
                                                                                <w:rPr>
                                                                                  <w:sz w:val="20"/>
                                                                                  <w:szCs w:val="20"/>
                                                                                </w:rPr>
                                                                              </w:pPr>
                                                                              <w:r>
                                                                                <w:rPr>
                                                                                  <w:sz w:val="20"/>
                                                                                  <w:szCs w:val="20"/>
                                                                                </w:rPr>
                                                                                <w:t xml:space="preserve">Из тепловой сети</w:t>
                                                                              </w:r>
                                                                              <w:r>
                                                                                <w:rPr>
                                                                                  <w:sz w:val="20"/>
                                                                                  <w:szCs w:val="20"/>
                                                                                </w:rPr>
                                                                              </w:r>
                                                                              <w:r>
                                                                                <w:rPr>
                                                                                  <w:sz w:val="20"/>
                                                                                  <w:szCs w:val="20"/>
                                                                                </w:rPr>
                                                                              </w:r>
                                                                            </w:p>
                                                                          </w:txbxContent>
                                                                        </wps:txbx>
                                                                        <wps:bodyPr rot="0" vert="horz" wrap="square" lIns="91440" tIns="45720" rIns="91440" bIns="45720" anchor="t" anchorCtr="0" upright="1">
                                                                          <a:noAutofit/>
                                                                        </wps:bodyPr>
                                                                      </wps:wsp>
                                                                    </wpg:grpSp>
                                                                  </wpg:grpSp>
                                                                </wpg:grpSp>
                                                              </wpg:grpSp>
                                                            </wpg:grpSp>
                                                          </wpg:grpSp>
                                                        </wpg:grpSp>
                                                        <wps:wsp>
                                                          <wps:cNvPr id="115" name=""/>
                                                          <wps:cNvSpPr/>
                                                          <wps:spPr bwMode="auto">
                                                            <a:xfrm>
                                                              <a:off x="43154" y="25570"/>
                                                              <a:ext cx="5747" cy="0"/>
                                                            </a:xfrm>
                                                            <a:prstGeom prst="line">
                                                              <a:avLst/>
                                                            </a:prstGeom>
                                                            <a:noFill/>
                                                            <a:ln w="12700">
                                                              <a:solidFill>
                                                                <a:schemeClr val="tx1">
                                                                  <a:lumMod val="100000"/>
                                                                  <a:lumOff val="0"/>
                                                                </a:schemeClr>
                                                              </a:solidFill>
                                                              <a:round/>
                                                              <a:headEnd type="stealth" w="med" len="med"/>
                                                              <a:tailEnd/>
                                                            </a:ln>
                                                          </wps:spPr>
                                                          <wps:bodyPr rot="0">
                                                            <a:prstTxWarp prst="textNoShape">
                                                              <a:avLst/>
                                                            </a:prstTxWarp>
                                                            <a:noAutofit/>
                                                          </wps:bodyPr>
                                                        </wps:wsp>
                                                        <wps:wsp>
                                                          <wps:cNvPr id="116" name=""/>
                                                          <wps:cNvSpPr/>
                                                          <wps:spPr bwMode="auto">
                                                            <a:xfrm flipH="1">
                                                              <a:off x="3268" y="22093"/>
                                                              <a:ext cx="6014" cy="0"/>
                                                            </a:xfrm>
                                                            <a:prstGeom prst="line">
                                                              <a:avLst/>
                                                            </a:prstGeom>
                                                            <a:noFill/>
                                                            <a:ln w="12700">
                                                              <a:solidFill>
                                                                <a:schemeClr val="tx1">
                                                                  <a:lumMod val="100000"/>
                                                                  <a:lumOff val="0"/>
                                                                </a:schemeClr>
                                                              </a:solidFill>
                                                              <a:round/>
                                                              <a:headEnd type="stealth" w="med" len="med"/>
                                                              <a:tailEnd/>
                                                            </a:ln>
                                                          </wps:spPr>
                                                          <wps:bodyPr rot="0">
                                                            <a:prstTxWarp prst="textNoShape">
                                                              <a:avLst/>
                                                            </a:prstTxWarp>
                                                            <a:noAutofit/>
                                                          </wps:bodyPr>
                                                        </wps:wsp>
                                                      </wpg:grpSp>
                                                    </wpg:grpSp>
                                                  </wpg:grpSp>
                                                </wpg:grpSp>
                                              </wpg:grpSp>
                                            </wpg:grpSp>
                                          </wpg:grpSp>
                                        </wpg:grpSp>
                                      </wpg:grpSp>
                                    </wpg:grpSp>
                                  </wpg:grpSp>
                                </wpg:grpSp>
                              </wpg:grpSp>
                            </wpg:grpSp>
                          </wpg:grpSp>
                        </wpg:grpSp>
                      </wpg:grpSp>
                    </wpg:wgp>
                  </a:graphicData>
                </a:graphic>
              </wp:inline>
            </w:drawing>
          </mc:Choice>
          <mc:Fallback>
            <w:pict>
              <v:group id="group 8" o:spid="_x0000_s0000" style="width:399.70pt;height:201.85pt;mso-wrap-distance-left:0.00pt;mso-wrap-distance-top:0.00pt;mso-wrap-distance-right:0.00pt;mso-wrap-distance-bottom:0.00pt;" coordorigin="0,0" coordsize="507,256">
                <v:shape id="shape 9" o:spid="_x0000_s9" o:spt="202" type="#_x0000_t202" style="position:absolute;left:297;top:178;width:14;height:25;v-text-anchor:top;visibility:visible;" fillcolor="#FFFFFF" stroked="f">
                  <v:textbox inset="0,0,0,0">
                    <w:txbxContent>
                      <w:p>
                        <w:pPr>
                          <w:rPr>
                            <w:sz w:val="20"/>
                            <w:szCs w:val="20"/>
                          </w:rPr>
                        </w:pPr>
                        <w:r>
                          <w:rPr>
                            <w:sz w:val="20"/>
                            <w:szCs w:val="20"/>
                          </w:rPr>
                          <w:t xml:space="preserve">1</w:t>
                        </w:r>
                        <w:r>
                          <w:rPr>
                            <w:sz w:val="20"/>
                            <w:szCs w:val="20"/>
                          </w:rPr>
                        </w:r>
                        <w:r>
                          <w:rPr>
                            <w:sz w:val="20"/>
                            <w:szCs w:val="20"/>
                          </w:rPr>
                        </w:r>
                      </w:p>
                    </w:txbxContent>
                  </v:textbox>
                </v:shape>
                <v:group id="group 10" o:spid="_x0000_s0000" style="position:absolute;left:0;top:0;width:507;height:256;" coordorigin="0,0" coordsize="507,256">
                  <v:shape id="shape 11" o:spid="_x0000_s11" o:spt="202" type="#_x0000_t202" style="position:absolute;left:191;top:226;width:14;height:25;v-text-anchor:top;visibility:visible;" fillcolor="#FFFFFF" stroked="f">
                    <v:textbox inset="0,0,0,0">
                      <w:txbxContent>
                        <w:p>
                          <w:pPr>
                            <w:rPr>
                              <w:sz w:val="20"/>
                              <w:szCs w:val="20"/>
                            </w:rPr>
                          </w:pPr>
                          <w:r>
                            <w:rPr>
                              <w:sz w:val="20"/>
                              <w:szCs w:val="20"/>
                            </w:rPr>
                            <w:t xml:space="preserve">7</w:t>
                          </w:r>
                          <w:r>
                            <w:rPr>
                              <w:sz w:val="20"/>
                              <w:szCs w:val="20"/>
                            </w:rPr>
                          </w:r>
                          <w:r>
                            <w:rPr>
                              <w:sz w:val="20"/>
                              <w:szCs w:val="20"/>
                            </w:rPr>
                          </w:r>
                        </w:p>
                      </w:txbxContent>
                    </v:textbox>
                  </v:shape>
                  <v:group id="group 12" o:spid="_x0000_s0000" style="position:absolute;left:0;top:0;width:507;height:256;" coordorigin="0,0" coordsize="507,256">
                    <v:shape id="shape 13" o:spid="_x0000_s13" o:spt="202" type="#_x0000_t202" style="position:absolute;left:218;top:188;width:14;height:25;v-text-anchor:top;visibility:visible;" fillcolor="#FFFFFF" stroked="f">
                      <v:textbox inset="0,0,0,0">
                        <w:txbxContent>
                          <w:p>
                            <w:pPr>
                              <w:rPr>
                                <w:sz w:val="20"/>
                                <w:szCs w:val="20"/>
                              </w:rPr>
                            </w:pPr>
                            <w:r>
                              <w:rPr>
                                <w:sz w:val="20"/>
                                <w:szCs w:val="20"/>
                              </w:rPr>
                              <w:t xml:space="preserve">3</w:t>
                            </w:r>
                            <w:r>
                              <w:rPr>
                                <w:sz w:val="20"/>
                                <w:szCs w:val="20"/>
                              </w:rPr>
                            </w:r>
                            <w:r>
                              <w:rPr>
                                <w:sz w:val="20"/>
                                <w:szCs w:val="20"/>
                              </w:rPr>
                            </w:r>
                          </w:p>
                        </w:txbxContent>
                      </v:textbox>
                    </v:shape>
                    <v:group id="group 14" o:spid="_x0000_s0000" style="position:absolute;left:0;top:0;width:507;height:256;" coordorigin="0,0" coordsize="507,256">
                      <v:shape id="shape 15" o:spid="_x0000_s15" o:spt="202" type="#_x0000_t202" style="position:absolute;left:25;top:224;width:115;height:24;v-text-anchor:top;visibility:visible;" fillcolor="#FFFFFF" stroked="f">
                        <v:textbox inset="0,0,0,0">
                          <w:txbxContent>
                            <w:p>
                              <w:pPr>
                                <w:rPr>
                                  <w:sz w:val="20"/>
                                  <w:szCs w:val="20"/>
                                </w:rPr>
                              </w:pPr>
                              <w:r>
                                <w:rPr>
                                  <w:sz w:val="20"/>
                                  <w:szCs w:val="20"/>
                                </w:rPr>
                                <w:t xml:space="preserve">Из </w:t>
                              </w:r>
                              <w:r>
                                <w:rPr>
                                  <w:sz w:val="20"/>
                                  <w:szCs w:val="20"/>
                                </w:rPr>
                                <w:t xml:space="preserve">водопровода</w:t>
                              </w:r>
                              <w:r>
                                <w:rPr>
                                  <w:sz w:val="20"/>
                                  <w:szCs w:val="20"/>
                                </w:rPr>
                              </w:r>
                              <w:r>
                                <w:rPr>
                                  <w:sz w:val="20"/>
                                  <w:szCs w:val="20"/>
                                </w:rPr>
                              </w:r>
                            </w:p>
                          </w:txbxContent>
                        </v:textbox>
                      </v:shape>
                      <v:group id="group 16" o:spid="_x0000_s0000" style="position:absolute;left:0;top:0;width:507;height:256;" coordorigin="0,0" coordsize="507,256">
                        <v:shape id="shape 17" o:spid="_x0000_s17" o:spt="202" type="#_x0000_t202" style="position:absolute;left:32;top:196;width:14;height:25;v-text-anchor:top;visibility:visible;" fillcolor="#FFFFFF" stroked="f">
                          <v:textbox inset="0,0,0,0">
                            <w:txbxContent>
                              <w:p>
                                <w:pPr>
                                  <w:rPr>
                                    <w:sz w:val="20"/>
                                    <w:szCs w:val="20"/>
                                  </w:rPr>
                                </w:pPr>
                                <w:r>
                                  <w:rPr>
                                    <w:sz w:val="20"/>
                                    <w:szCs w:val="20"/>
                                  </w:rPr>
                                  <w:t xml:space="preserve">8</w:t>
                                </w:r>
                                <w:r>
                                  <w:rPr>
                                    <w:sz w:val="20"/>
                                    <w:szCs w:val="20"/>
                                  </w:rPr>
                                </w:r>
                                <w:r>
                                  <w:rPr>
                                    <w:sz w:val="20"/>
                                    <w:szCs w:val="20"/>
                                  </w:rPr>
                                </w:r>
                              </w:p>
                            </w:txbxContent>
                          </v:textbox>
                        </v:shape>
                        <v:group id="group 18" o:spid="_x0000_s0000" style="position:absolute;left:0;top:0;width:507;height:256;" coordorigin="0,0" coordsize="507,256">
                          <v:shape id="shape 19" o:spid="_x0000_s19" o:spt="202" type="#_x0000_t202" style="position:absolute;left:159;top:122;width:14;height:25;v-text-anchor:top;visibility:visible;" fillcolor="#FFFFFF" stroked="f">
                            <v:textbox inset="0,0,0,0">
                              <w:txbxContent>
                                <w:p>
                                  <w:pPr>
                                    <w:rPr>
                                      <w:sz w:val="20"/>
                                      <w:szCs w:val="20"/>
                                    </w:rPr>
                                  </w:pPr>
                                  <w:r>
                                    <w:rPr>
                                      <w:sz w:val="20"/>
                                      <w:szCs w:val="20"/>
                                    </w:rPr>
                                    <w:t xml:space="preserve">9</w:t>
                                  </w:r>
                                  <w:r>
                                    <w:rPr>
                                      <w:sz w:val="20"/>
                                      <w:szCs w:val="20"/>
                                    </w:rPr>
                                  </w:r>
                                  <w:r>
                                    <w:rPr>
                                      <w:sz w:val="20"/>
                                      <w:szCs w:val="20"/>
                                    </w:rPr>
                                  </w:r>
                                </w:p>
                              </w:txbxContent>
                            </v:textbox>
                          </v:shape>
                          <v:group id="group 20" o:spid="_x0000_s0000" style="position:absolute;left:0;top:0;width:507;height:256;" coordorigin="0,0" coordsize="507,256">
                            <v:shape id="shape 21" o:spid="_x0000_s21" o:spt="202" type="#_x0000_t202" style="position:absolute;left:221;top:137;width:14;height:25;v-text-anchor:top;visibility:visible;" fillcolor="#FFFFFF" stroked="f">
                              <v:textbox inset="0,0,0,0">
                                <w:txbxContent>
                                  <w:p>
                                    <w:pPr>
                                      <w:rPr>
                                        <w:sz w:val="20"/>
                                        <w:szCs w:val="20"/>
                                      </w:rPr>
                                    </w:pPr>
                                    <w:r>
                                      <w:rPr>
                                        <w:sz w:val="20"/>
                                        <w:szCs w:val="20"/>
                                      </w:rPr>
                                      <w:t xml:space="preserve">5</w:t>
                                    </w:r>
                                    <w:r>
                                      <w:rPr>
                                        <w:sz w:val="20"/>
                                        <w:szCs w:val="20"/>
                                      </w:rPr>
                                    </w:r>
                                    <w:r>
                                      <w:rPr>
                                        <w:sz w:val="20"/>
                                        <w:szCs w:val="20"/>
                                      </w:rPr>
                                    </w:r>
                                  </w:p>
                                </w:txbxContent>
                              </v:textbox>
                            </v:shape>
                            <v:group id="group 22" o:spid="_x0000_s0000" style="position:absolute;left:0;top:0;width:507;height:256;" coordorigin="0,0" coordsize="507,256">
                              <v:shape id="shape 23" o:spid="_x0000_s23" o:spt="202" type="#_x0000_t202" style="position:absolute;left:302;top:42;width:14;height:25;v-text-anchor:top;visibility:visible;" fillcolor="#FFFFFF" stroked="f">
                                <v:textbox inset="0,0,0,0">
                                  <w:txbxContent>
                                    <w:p>
                                      <w:pPr>
                                        <w:rPr>
                                          <w:sz w:val="20"/>
                                          <w:szCs w:val="20"/>
                                        </w:rPr>
                                      </w:pPr>
                                      <w:r>
                                        <w:rPr>
                                          <w:sz w:val="20"/>
                                          <w:szCs w:val="20"/>
                                        </w:rPr>
                                        <w:t xml:space="preserve">2</w:t>
                                      </w:r>
                                      <w:r>
                                        <w:rPr>
                                          <w:sz w:val="20"/>
                                          <w:szCs w:val="20"/>
                                        </w:rPr>
                                      </w:r>
                                      <w:r>
                                        <w:rPr>
                                          <w:sz w:val="20"/>
                                          <w:szCs w:val="20"/>
                                        </w:rPr>
                                      </w:r>
                                    </w:p>
                                  </w:txbxContent>
                                </v:textbox>
                              </v:shape>
                              <v:group id="group 24" o:spid="_x0000_s0000" style="position:absolute;left:0;top:0;width:507;height:256;" coordorigin="0,0" coordsize="507,256">
                                <v:shape id="shape 25" o:spid="_x0000_s25" o:spt="202" type="#_x0000_t202" style="position:absolute;left:223;top:60;width:14;height:25;v-text-anchor:top;visibility:visible;" fillcolor="#FFFFFF" stroked="f">
                                  <v:textbox inset="0,0,0,0">
                                    <w:txbxContent>
                                      <w:p>
                                        <w:pPr>
                                          <w:rPr>
                                            <w:sz w:val="20"/>
                                            <w:szCs w:val="20"/>
                                          </w:rPr>
                                        </w:pPr>
                                        <w:r>
                                          <w:rPr>
                                            <w:sz w:val="20"/>
                                            <w:szCs w:val="20"/>
                                          </w:rPr>
                                          <w:t xml:space="preserve">4</w:t>
                                        </w:r>
                                        <w:r>
                                          <w:rPr>
                                            <w:sz w:val="20"/>
                                            <w:szCs w:val="20"/>
                                          </w:rPr>
                                        </w:r>
                                        <w:r>
                                          <w:rPr>
                                            <w:sz w:val="20"/>
                                            <w:szCs w:val="20"/>
                                          </w:rPr>
                                        </w:r>
                                      </w:p>
                                    </w:txbxContent>
                                  </v:textbox>
                                </v:shape>
                                <v:group id="group 26" o:spid="_x0000_s0000" style="position:absolute;left:0;top:0;width:507;height:256;" coordorigin="0,0" coordsize="507,256">
                                  <v:shape id="shape 27" o:spid="_x0000_s27" o:spt="202" type="#_x0000_t202" style="position:absolute;left:141;top:26;width:32;height:25;v-text-anchor:top;visibility:visible;" fillcolor="#FFFFFF" stroked="f">
                                    <v:textbox inset="0,0,0,0">
                                      <w:txbxContent>
                                        <w:p>
                                          <w:pPr>
                                            <w:rPr>
                                              <w:sz w:val="20"/>
                                              <w:szCs w:val="20"/>
                                            </w:rPr>
                                          </w:pPr>
                                          <w:r>
                                            <w:rPr>
                                              <w:sz w:val="20"/>
                                              <w:szCs w:val="20"/>
                                            </w:rPr>
                                            <w:t xml:space="preserve">10</w:t>
                                          </w:r>
                                          <w:r>
                                            <w:rPr>
                                              <w:sz w:val="20"/>
                                              <w:szCs w:val="20"/>
                                            </w:rPr>
                                          </w:r>
                                          <w:r>
                                            <w:rPr>
                                              <w:sz w:val="20"/>
                                              <w:szCs w:val="20"/>
                                            </w:rPr>
                                          </w:r>
                                        </w:p>
                                      </w:txbxContent>
                                    </v:textbox>
                                  </v:shape>
                                  <v:group id="group 28" o:spid="_x0000_s0000" style="position:absolute;left:0;top:0;width:507;height:256;" coordorigin="0,0" coordsize="507,256">
                                    <v:shape id="shape 29" o:spid="_x0000_s29" o:spt="202" type="#_x0000_t202" style="position:absolute;left:107;top:66;width:14;height:25;v-text-anchor:top;visibility:visible;" fillcolor="#FFFFFF" stroked="f">
                                      <v:textbox inset="0,0,0,0">
                                        <w:txbxContent>
                                          <w:p>
                                            <w:pPr>
                                              <w:rPr>
                                                <w:sz w:val="20"/>
                                                <w:szCs w:val="20"/>
                                              </w:rPr>
                                            </w:pPr>
                                            <w:r>
                                              <w:rPr>
                                                <w:sz w:val="20"/>
                                                <w:szCs w:val="20"/>
                                              </w:rPr>
                                              <w:t xml:space="preserve">6</w:t>
                                            </w:r>
                                            <w:r>
                                              <w:rPr>
                                                <w:sz w:val="20"/>
                                                <w:szCs w:val="20"/>
                                              </w:rPr>
                                            </w:r>
                                            <w:r>
                                              <w:rPr>
                                                <w:sz w:val="20"/>
                                                <w:szCs w:val="20"/>
                                              </w:rPr>
                                            </w:r>
                                          </w:p>
                                        </w:txbxContent>
                                      </v:textbox>
                                    </v:shape>
                                    <v:group id="group 30" o:spid="_x0000_s0000" style="position:absolute;left:0;top:0;width:507;height:256;" coordorigin="0,0" coordsize="507,256">
                                      <v:shape id="shape 31" o:spid="_x0000_s31" o:spt="202" type="#_x0000_t202" style="position:absolute;left:75;top:48;width:32;height:25;v-text-anchor:top;visibility:visible;" fillcolor="#FFFFFF" stroked="f">
                                        <v:textbox inset="0,0,0,0">
                                          <w:txbxContent>
                                            <w:p>
                                              <w:pPr>
                                                <w:rPr>
                                                  <w:sz w:val="20"/>
                                                  <w:szCs w:val="20"/>
                                                </w:rPr>
                                              </w:pPr>
                                              <w:r>
                                                <w:rPr>
                                                  <w:sz w:val="20"/>
                                                  <w:szCs w:val="20"/>
                                                </w:rPr>
                                                <w:t xml:space="preserve">12</w:t>
                                              </w:r>
                                              <w:r>
                                                <w:rPr>
                                                  <w:sz w:val="20"/>
                                                  <w:szCs w:val="20"/>
                                                </w:rPr>
                                              </w:r>
                                              <w:r>
                                                <w:rPr>
                                                  <w:sz w:val="20"/>
                                                  <w:szCs w:val="20"/>
                                                </w:rPr>
                                              </w:r>
                                            </w:p>
                                          </w:txbxContent>
                                        </v:textbox>
                                      </v:shape>
                                      <v:group id="group 32" o:spid="_x0000_s0000" style="position:absolute;left:0;top:0;width:507;height:256;" coordorigin="0,0" coordsize="507,256">
                                        <v:shape id="shape 33" o:spid="_x0000_s33" o:spt="202" type="#_x0000_t202" style="position:absolute;left:19;top:58;width:32;height:25;v-text-anchor:top;visibility:visible;" fillcolor="#FFFFFF" stroked="f">
                                          <v:textbox inset="0,0,0,0">
                                            <w:txbxContent>
                                              <w:p>
                                                <w:pPr>
                                                  <w:rPr>
                                                    <w:sz w:val="20"/>
                                                    <w:szCs w:val="20"/>
                                                  </w:rPr>
                                                </w:pPr>
                                                <w:r>
                                                  <w:rPr>
                                                    <w:sz w:val="20"/>
                                                    <w:szCs w:val="20"/>
                                                  </w:rPr>
                                                  <w:t xml:space="preserve">13</w:t>
                                                </w:r>
                                                <w:r>
                                                  <w:rPr>
                                                    <w:sz w:val="20"/>
                                                    <w:szCs w:val="20"/>
                                                  </w:rPr>
                                                </w:r>
                                                <w:r>
                                                  <w:rPr>
                                                    <w:sz w:val="20"/>
                                                    <w:szCs w:val="20"/>
                                                  </w:rPr>
                                                </w:r>
                                              </w:p>
                                            </w:txbxContent>
                                          </v:textbox>
                                        </v:shape>
                                        <v:group id="group 34" o:spid="_x0000_s0000" style="position:absolute;left:0;top:0;width:507;height:256;" coordorigin="0,0" coordsize="507,256">
                                          <v:shape id="shape 35" o:spid="_x0000_s35" o:spt="202" type="#_x0000_t202" style="position:absolute;left:42;top:5;width:32;height:25;v-text-anchor:top;visibility:visible;" fillcolor="#FFFFFF" stroked="f">
                                            <v:textbox inset="0,0,0,0">
                                              <w:txbxContent>
                                                <w:p>
                                                  <w:pPr>
                                                    <w:rPr>
                                                      <w:sz w:val="20"/>
                                                      <w:szCs w:val="20"/>
                                                    </w:rPr>
                                                  </w:pPr>
                                                  <w:r>
                                                    <w:rPr>
                                                      <w:sz w:val="20"/>
                                                      <w:szCs w:val="20"/>
                                                    </w:rPr>
                                                    <w:t xml:space="preserve">11</w:t>
                                                  </w:r>
                                                  <w:r>
                                                    <w:rPr>
                                                      <w:sz w:val="20"/>
                                                      <w:szCs w:val="20"/>
                                                    </w:rPr>
                                                  </w:r>
                                                  <w:r>
                                                    <w:rPr>
                                                      <w:sz w:val="20"/>
                                                      <w:szCs w:val="20"/>
                                                    </w:rPr>
                                                  </w:r>
                                                </w:p>
                                              </w:txbxContent>
                                            </v:textbox>
                                          </v:shape>
                                          <v:group id="group 36" o:spid="_x0000_s0000" style="position:absolute;left:0;top:0;width:507;height:256;" coordorigin="0,0" coordsize="507,256">
                                            <v:line id="shape 37" o:spid="_x0000_s37" style="position:absolute;left:0;text-align:left;visibility:visible;" from="42.9pt,5.6pt" to="75.0pt,30.7pt" filled="f" strokecolor="#000000" strokeweight="0.75pt">
                                              <v:stroke dashstyle="longdash"/>
                                            </v:line>
                                            <v:line id="shape 38" o:spid="_x0000_s38" style="position:absolute;left:0;text-align:left;visibility:visible;" from="42.9pt,5.6pt" to="75.0pt,30.7pt" filled="f" strokecolor="#000000" strokeweight="0.75pt">
                                              <v:stroke dashstyle="longdash"/>
                                            </v:line>
                                            <v:line id="shape 39" o:spid="_x0000_s39" style="position:absolute;left:0;text-align:left;visibility:visible;" from="42.9pt,5.6pt" to="75.0pt,30.7pt" filled="f" strokecolor="#000000" strokeweight="0.75pt">
                                              <v:stroke dashstyle="longdash"/>
                                            </v:line>
                                            <v:line id="shape 40" o:spid="_x0000_s40" style="position:absolute;left:0;text-align:left;visibility:visible;" from="42.9pt,5.6pt" to="75.0pt,30.7pt" filled="f" strokecolor="#000000" strokeweight="0.75pt">
                                              <v:stroke dashstyle="longdash"/>
                                            </v:line>
                                            <v:line id="shape 41" o:spid="_x0000_s41" style="position:absolute;left:0;text-align:left;visibility:visible;" from="42.9pt,5.6pt" to="75.0pt,30.7pt" filled="f" strokecolor="#000000" strokeweight="0.75pt">
                                              <v:stroke dashstyle="longdash"/>
                                            </v:line>
                                            <v:group id="group 42" o:spid="_x0000_s0000" style="position:absolute;left:0;top:0;width:507;height:256;" coordorigin="0,0" coordsize="507,256">
                                              <v:line id="shape 43" o:spid="_x0000_s43" style="position:absolute;left:0;text-align:left;flip:x;visibility:visible;" from="42.9pt,5.6pt" to="75.0pt,30.7pt" filled="f" strokecolor="#000000" strokeweight="1.00pt"/>
                                              <v:line id="shape 44" o:spid="_x0000_s44" style="position:absolute;left:0;text-align:left;flip:x;visibility:visible;" from="42.9pt,5.6pt" to="75.0pt,30.7pt" filled="f" strokecolor="#000000" strokeweight="1.00pt"/>
                                              <v:group id="group 45" o:spid="_x0000_s0000" style="position:absolute;left:2;top:0;width:504;height:256;" coordorigin="0,0" coordsize="504,256">
                                                <v:line id="shape 46" o:spid="_x0000_s46" style="position:absolute;left:0;text-align:left;flip:y;visibility:visible;" from="42.9pt,5.6pt" to="75.0pt,30.7pt" filled="f" strokecolor="#000000" strokeweight="1.00pt"/>
                                                <v:group id="group 47" o:spid="_x0000_s0000" style="position:absolute;left:0;top:0;width:504;height:256;" coordorigin="0,0" coordsize="504,256">
                                                  <v:line id="shape 48" o:spid="_x0000_s48" style="position:absolute;left:0;text-align:left;flip:y;visibility:visible;" from="42.9pt,5.6pt" to="75.0pt,30.7pt" filled="f" strokecolor="#000000" strokeweight="1.00pt"/>
                                                  <v:group id="group 49" o:spid="_x0000_s0000" style="position:absolute;left:0;top:0;width:504;height:256;" coordorigin="0,0" coordsize="504,256">
                                                    <v:line id="shape 50" o:spid="_x0000_s50" style="position:absolute;left:0;text-align:left;visibility:visible;" from="42.9pt,5.6pt" to="75.0pt,30.7pt" filled="f" strokecolor="#000000" strokeweight="1.00pt"/>
                                                    <v:line id="shape 51" o:spid="_x0000_s51" style="position:absolute;left:0;text-align:left;visibility:visible;" from="42.9pt,5.6pt" to="75.0pt,30.7pt" filled="f" strokecolor="#000000" strokeweight="1.00pt"/>
                                                    <v:line id="shape 52" o:spid="_x0000_s52" style="position:absolute;left:0;text-align:left;visibility:visible;" from="42.9pt,5.6pt" to="75.0pt,30.7pt" filled="f" strokecolor="#000000" strokeweight="1.00pt"/>
                                                    <v:line id="shape 53" o:spid="_x0000_s53" style="position:absolute;left:0;text-align:left;visibility:visible;" from="42.9pt,5.6pt" to="75.0pt,30.7pt" filled="f" strokecolor="#000000" strokeweight="1.00pt"/>
                                                    <v:line id="shape 54" o:spid="_x0000_s54" style="position:absolute;left:0;text-align:left;flip:x;visibility:visible;" from="42.9pt,5.6pt" to="75.0pt,30.7pt" filled="f" strokecolor="#000000" strokeweight="1.00pt"/>
                                                    <v:line id="shape 55" o:spid="_x0000_s55" style="position:absolute;left:0;text-align:left;flip:x;visibility:visible;" from="42.9pt,5.6pt" to="75.0pt,30.7pt" filled="f" strokecolor="#000000" strokeweight="1.00pt"/>
                                                    <v:line id="shape 56" o:spid="_x0000_s56" style="position:absolute;left:0;text-align:left;flip:x;visibility:visible;" from="42.9pt,5.6pt" to="75.0pt,30.7pt" filled="f" strokecolor="#000000" strokeweight="1.00pt"/>
                                                    <v:group id="group 57" o:spid="_x0000_s0000" style="position:absolute;left:0;top:0;width:504;height:256;" coordorigin="0,0" coordsize="504,256">
                                                      <v:line id="shape 58" o:spid="_x0000_s58" style="position:absolute;left:0;text-align:left;visibility:visible;" from="42.9pt,5.6pt" to="75.0pt,30.7pt" filled="f" strokecolor="#000000" strokeweight="0.75pt">
                                                        <v:stroke dashstyle="longdash"/>
                                                      </v:line>
                                                      <v:line id="shape 59" o:spid="_x0000_s59" style="position:absolute;left:0;text-align:left;visibility:visible;" from="42.9pt,5.6pt" to="75.0pt,30.7pt" filled="f" strokecolor="#000000" strokeweight="0.75pt">
                                                        <v:stroke dashstyle="longdash"/>
                                                      </v:line>
                                                      <v:group id="group 60" o:spid="_x0000_s0000" style="position:absolute;left:0;top:0;width:504;height:256;" coordorigin="0,0" coordsize="504,256">
                                                        <v:line id="shape 61" o:spid="_x0000_s61" style="position:absolute;left:0;text-align:left;flip:y;visibility:visible;" from="42.9pt,5.6pt" to="75.0pt,30.7pt" filled="f" strokecolor="#000000" strokeweight="0.75pt">
                                                          <v:stroke dashstyle="longdash"/>
                                                        </v:line>
                                                        <v:line id="shape 62" o:spid="_x0000_s62" style="position:absolute;left:0;text-align:left;visibility:visible;" from="42.9pt,5.6pt" to="75.0pt,30.7pt" filled="f" strokecolor="#000000" strokeweight="0.75pt">
                                                          <v:stroke dashstyle="longdash"/>
                                                        </v:line>
                                                        <v:line id="shape 63" o:spid="_x0000_s63" style="position:absolute;left:0;text-align:left;flip:y;visibility:visible;" from="42.9pt,5.6pt" to="75.0pt,30.7pt" filled="f" strokecolor="#000000" strokeweight="1.00pt"/>
                                                        <v:line id="shape 64" o:spid="_x0000_s64" style="position:absolute;left:0;text-align:left;flip:xy;visibility:visible;" from="42.9pt,5.6pt" to="75.0pt,30.7pt" filled="f" strokecolor="#000000" strokeweight="1.00pt"/>
                                                        <v:group id="group 65" o:spid="_x0000_s0000" style="position:absolute;left:0;top:0;width:504;height:256;" coordorigin="0,0" coordsize="504,256">
                                                          <v:group id="group 66" o:spid="_x0000_s0000" style="position:absolute;left:69;top:14;width:224;height:233;" coordorigin="0,0" coordsize="224,233">
                                                            <v:line id="shape 67" o:spid="_x0000_s67" style="position:absolute;left:0;text-align:left;flip:x;visibility:visible;" from="42.9pt,5.6pt" to="75.0pt,30.7pt" filled="f" strokecolor="#000000" strokeweight="1.00pt"/>
                                                            <v:line id="shape 68" o:spid="_x0000_s68" style="position:absolute;left:0;text-align:left;visibility:visible;" from="42.9pt,5.6pt" to="75.0pt,30.7pt" filled="f" strokecolor="#000000" strokeweight="1.00pt"/>
                                                            <v:line id="shape 69" o:spid="_x0000_s69" style="position:absolute;left:0;text-align:left;visibility:visible;" from="42.9pt,5.6pt" to="75.0pt,30.7pt" filled="f" strokecolor="#000000" strokeweight="1.00pt"/>
                                                            <v:line id="shape 70" o:spid="_x0000_s70" style="position:absolute;left:0;text-align:left;visibility:visible;" from="42.9pt,5.6pt" to="75.0pt,30.7pt" filled="f" strokecolor="#000000" strokeweight="0.75pt">
                                                              <v:stroke dashstyle="longdash"/>
                                                            </v:line>
                                                            <v:line id="shape 71" o:spid="_x0000_s71" style="position:absolute;left:0;text-align:left;visibility:visible;" from="42.9pt,5.6pt" to="75.0pt,30.7pt" filled="f" strokecolor="#000000" strokeweight="0.75pt">
                                                              <v:stroke dashstyle="longdash"/>
                                                            </v:line>
                                                            <v:line id="shape 72" o:spid="_x0000_s72" style="position:absolute;left:0;text-align:left;visibility:visible;" from="42.9pt,5.6pt" to="75.0pt,30.7pt" filled="f" strokecolor="#000000" strokeweight="0.75pt">
                                                              <v:stroke dashstyle="longdash"/>
                                                            </v:line>
                                                            <v:line id="shape 73" o:spid="_x0000_s73" style="position:absolute;left:0;text-align:left;visibility:visible;" from="42.9pt,5.6pt" to="75.0pt,30.7pt" filled="f" strokecolor="#000000" strokeweight="0.75pt">
                                                              <v:stroke dashstyle="longdash"/>
                                                            </v:line>
                                                            <v:line id="shape 74" o:spid="_x0000_s74" style="position:absolute;left:0;text-align:left;flip:xy;visibility:visible;" from="42.9pt,5.6pt" to="75.0pt,30.7pt" filled="f" strokecolor="#000000" strokeweight="1.00pt"/>
                                                            <v:line id="shape 75" o:spid="_x0000_s75" style="position:absolute;left:0;text-align:left;visibility:visible;" from="42.9pt,5.6pt" to="75.0pt,30.7pt" filled="f" strokecolor="#000000" strokeweight="1.00pt"/>
                                                            <v:line id="shape 76" o:spid="_x0000_s76" style="position:absolute;left:0;text-align:left;flip:xy;visibility:visible;" from="42.9pt,5.6pt" to="75.0pt,30.7pt" filled="f" strokecolor="#000000" strokeweight="1.00pt"/>
                                                            <v:line id="shape 77" o:spid="_x0000_s77" style="position:absolute;left:0;text-align:left;flip:y;visibility:visible;" from="42.9pt,5.6pt" to="75.0pt,30.7pt" filled="f" strokecolor="#000000" strokeweight="1.00pt"/>
                                                            <v:line id="shape 78" o:spid="_x0000_s78" style="position:absolute;left:0;text-align:left;flip:y;visibility:visible;" from="42.9pt,5.6pt" to="75.0pt,30.7pt" filled="f" strokecolor="#000000" strokeweight="1.00pt"/>
                                                            <v:line id="shape 79" o:spid="_x0000_s79" style="position:absolute;left:0;text-align:left;flip:xy;visibility:visible;" from="42.9pt,5.6pt" to="75.0pt,30.7pt" filled="f" strokecolor="#000000" strokeweight="1.00pt"/>
                                                          </v:group>
                                                          <v:group id="group 80" o:spid="_x0000_s0000" style="position:absolute;left:0;top:0;width:504;height:256;" coordorigin="0,0" coordsize="504,256">
                                                            <v:line id="shape 81" o:spid="_x0000_s81" style="position:absolute;left:0;text-align:left;flip:x;visibility:visible;" from="42.9pt,5.6pt" to="75.0pt,30.7pt" filled="f" strokecolor="#000000" strokeweight="1.00pt"/>
                                                            <v:line id="shape 82" o:spid="_x0000_s82" style="position:absolute;left:0;text-align:left;flip:y;visibility:visible;" from="42.9pt,5.6pt" to="75.0pt,30.7pt" filled="f" strokecolor="#000000" strokeweight="1.00pt"/>
                                                            <v:line id="shape 83" o:spid="_x0000_s83" style="position:absolute;left:0;text-align:left;flip:x;visibility:visible;" from="42.9pt,5.6pt" to="75.0pt,30.7pt" filled="f" strokecolor="#000000" strokeweight="1.00pt"/>
                                                            <v:line id="shape 84" o:spid="_x0000_s84" style="position:absolute;left:0;text-align:left;flip:x;visibility:visible;" from="42.9pt,5.6pt" to="75.0pt,30.7pt" filled="f" strokecolor="#000000" strokeweight="1.00pt"/>
                                                            <v:line id="shape 85" o:spid="_x0000_s85" style="position:absolute;left:0;text-align:left;flip:x;visibility:visible;" from="42.9pt,5.6pt" to="75.0pt,30.7pt" filled="f" strokecolor="#000000" strokeweight="1.00pt"/>
                                                            <v:line id="shape 86" o:spid="_x0000_s86" style="position:absolute;left:0;text-align:left;flip:y;visibility:visible;" from="42.9pt,5.6pt" to="75.0pt,30.7pt" filled="f" strokecolor="#000000" strokeweight="1.00pt"/>
                                                            <v:line id="shape 87" o:spid="_x0000_s87" style="position:absolute;left:0;text-align:left;visibility:visible;" from="42.9pt,5.6pt" to="75.0pt,30.7pt" filled="f" strokecolor="#000000" strokeweight="1.00pt"/>
                                                            <v:line id="shape 88" o:spid="_x0000_s88" style="position:absolute;left:0;text-align:left;flip:x;visibility:visible;" from="42.9pt,5.6pt" to="75.0pt,30.7pt" filled="f" strokecolor="#000000" strokeweight="1.00pt"/>
                                                            <v:line id="shape 89" o:spid="_x0000_s89" style="position:absolute;left:0;text-align:left;flip:x;visibility:visible;" from="42.9pt,5.6pt" to="75.0pt,30.7pt" filled="f" strokecolor="#000000" strokeweight="1.00pt"/>
                                                            <v:line id="shape 90" o:spid="_x0000_s90" style="position:absolute;left:0;text-align:left;visibility:visible;" from="42.9pt,5.6pt" to="75.0pt,30.7pt" filled="f" strokecolor="#000000" strokeweight="1.00pt"/>
                                                            <v:group id="group 91" o:spid="_x0000_s0000" style="position:absolute;left:0;top:0;width:504;height:256;" coordorigin="0,0" coordsize="504,256">
                                                              <v:line id="shape 92" o:spid="_x0000_s92" style="position:absolute;left:0;text-align:left;flip:x;visibility:visible;" from="42.9pt,5.6pt" to="75.0pt,30.7pt" filled="f" strokecolor="#000000" strokeweight="1.00pt"/>
                                                              <v:line id="shape 93" o:spid="_x0000_s93" style="position:absolute;left:0;text-align:left;flip:xy;visibility:visible;" from="42.9pt,5.6pt" to="75.0pt,30.7pt" filled="f" strokecolor="#000000" strokeweight="1.00pt"/>
                                                              <v:line id="shape 94" o:spid="_x0000_s94" style="position:absolute;left:0;text-align:left;flip:xy;visibility:visible;" from="42.9pt,5.6pt" to="75.0pt,30.7pt" filled="f" strokecolor="#000000" strokeweight="1.00pt"/>
                                                              <v:line id="shape 95" o:spid="_x0000_s95" style="position:absolute;left:0;text-align:left;flip:xy;visibility:visible;" from="42.9pt,5.6pt" to="75.0pt,30.7pt" filled="f" strokecolor="#000000" strokeweight="1.00pt"/>
                                                              <v:line id="shape 96" o:spid="_x0000_s96" style="position:absolute;left:0;text-align:left;flip:y;visibility:visible;" from="42.9pt,5.6pt" to="75.0pt,30.7pt" filled="f" strokecolor="#000000" strokeweight="1.00pt"/>
                                                              <v:line id="shape 97" o:spid="_x0000_s97" style="position:absolute;left:0;text-align:left;flip:x;visibility:visible;" from="42.9pt,5.6pt" to="75.0pt,30.7pt" filled="f" strokecolor="#000000" strokeweight="1.00pt"/>
                                                              <v:group id="group 98" o:spid="_x0000_s0000" style="position:absolute;left:0;top:0;width:489;height:256;" coordorigin="0,0" coordsize="489,256">
                                                                <v:group id="group 99" o:spid="_x0000_s0000" style="position:absolute;left:0;top:0;width:304;height:256;" coordorigin="0,0" coordsize="304,256">
                                                                  <v:group id="group 100" o:spid="_x0000_s0000" style="position:absolute;left:20;top:11;width:283;height:244;" coordorigin="0,-13" coordsize="283,244">
                                                                    <v:group id="group 101" o:spid="_x0000_s0000" style="position:absolute;left:0;top:-13;width:283;height:244;" coordorigin="0,-13" coordsize="283,244">
                                                                      <v:group id="group 102" o:spid="_x0000_s0000" style="position:absolute;left:0;top:-13;width:283;height:244;" coordorigin="0,-13" coordsize="283,244">
                                                                        <v:shape id="shape 103" o:spid="_x0000_s103" o:spt="1" type="#_x0000_t1" style="position:absolute;left:36;top:23;width:21;height:23;visibility:visible;" filled="f" strokecolor="#000000" strokeweight="1.00pt"/>
                                                                        <v:shape id="shape 104" o:spid="_x0000_s104" o:spt="1" type="#_x0000_t1" style="position:absolute;left:100;top:0;width:21;height:23;visibility:visible;" filled="f" strokecolor="#000000" strokeweight="1.00pt"/>
                                                                        <v:shape id="shape 105" o:spid="_x0000_s105" o:spt="1" type="#_x0000_t1" style="position:absolute;left:181;top:44;width:21;height:23;visibility:visible;" filled="f" strokecolor="#000000" strokeweight="1.00pt"/>
                                                                        <v:shape id="shape 106" o:spid="_x0000_s106" o:spt="1" type="#_x0000_t1" style="position:absolute;left:261;top:17;width:21;height:23;visibility:visible;" filled="f" strokecolor="#000000" strokeweight="1.00pt"/>
                                                                        <v:shape id="shape 107" o:spid="_x0000_s107" o:spt="1" type="#_x0000_t1" style="position:absolute;left:153;top:97;width:21;height:23;visibility:visible;" filled="f" strokecolor="#000000" strokeweight="1.00pt"/>
                                                                        <v:shape id="shape 108" o:spid="_x0000_s108" o:spt="1" type="#_x0000_t1" style="position:absolute;left:181;top:128;width:21;height:23;visibility:visible;" filled="f" strokecolor="#000000" strokeweight="1.00pt"/>
                                                                        <v:shape id="shape 109" o:spid="_x0000_s109" o:spt="1" type="#_x0000_t1" style="position:absolute;left:103;top:35;width:15;height:23;visibility:visible;" filled="f" strokecolor="#000000" strokeweight="1.00pt"/>
                                                                        <v:shape id="shape 110" o:spid="_x0000_s110" o:spt="1" type="#_x0000_t1" style="position:absolute;left:89;top:59;width:45;height:26;visibility:visible;" filled="f" strokecolor="#000000" strokeweight="1.00pt"/>
                                                                        <v:shape id="shape 111" o:spid="_x0000_s111" o:spt="3" type="#_x0000_t3" style="position:absolute;left:185;top:166;width:14;height:16;visibility:visible;" filled="f" strokecolor="#000000" strokeweight="1.00pt"/>
                                                                        <v:shape id="shape 112" o:spid="_x0000_s112" o:spt="3" type="#_x0000_t3" style="position:absolute;left:264;top:157;width:14;height:16;visibility:visible;" filled="f" strokecolor="#000000" strokeweight="1.00pt"/>
                                                                        <v:shape id="shape 113" o:spid="_x0000_s113" o:spt="3" type="#_x0000_t3" style="position:absolute;left:157;top:214;width:14;height:16;visibility:visible;" filled="f" strokecolor="#000000" strokeweight="1.00pt"/>
                                                                        <v:shape id="shape 114" o:spid="_x0000_s114" o:spt="3" type="#_x0000_t3" style="position:absolute;left:0;top:186;width:14;height:16;visibility:visible;" filled="f" strokecolor="#000000" strokeweight="1.00pt"/>
                                                                        <v:shape id="shape 115" o:spid="_x0000_s115" o:spt="3" type="#_x0000_t3" style="position:absolute;left:3;top:51;width:14;height:16;visibility:visible;" filled="f" strokecolor="#000000" strokeweight="1.00pt"/>
                                                                        <v:shape id="shape 116" o:spid="_x0000_s116" o:spt="1" type="#_x0000_t1" style="position:absolute;left:44;top:-13;width:4;height:5;visibility:visible;" filled="f" strokecolor="#000000" strokeweight="1.00pt"/>
                                                                      </v:group>
                                                                      <v:shape id="shape 117" o:spid="_x0000_s117" o:spt="5" type="#_x0000_t5" style="position:absolute;left:5;top:191;width:10;height:6;rotation:90;visibility:visible;" fillcolor="#000000" strokecolor="#000000" strokeweight="1.00pt"/>
                                                                      <v:shape id="shape 118" o:spid="_x0000_s118" o:spt="5" type="#_x0000_t5" style="position:absolute;left:163;top:218;width:10;height:6;rotation:90;visibility:visible;" fillcolor="#000000" strokecolor="#000000" strokeweight="1.00pt"/>
                                                                      <v:shape id="shape 119" o:spid="_x0000_s119" o:spt="5" type="#_x0000_t5" style="position:absolute;left:266;top:157;width:10;height:6;visibility:visible;" fillcolor="#000000" strokecolor="#000000" strokeweight="1.00pt"/>
                                                                      <v:shape id="shape 120" o:spid="_x0000_s120" o:spt="5" type="#_x0000_t5" style="position:absolute;left:187;top:175;width:10;height:6;rotation:180;visibility:visible;" fillcolor="#000000" strokecolor="#000000" strokeweight="1.00pt"/>
                                                                      <v:shape id="shape 121" o:spid="_x0000_s121" o:spt="5" type="#_x0000_t5" style="position:absolute;left:2;top:55;width:10;height:6;rotation:-90;visibility:visible;" fillcolor="#000000" strokecolor="#000000" strokeweight="1.00pt"/>
                                                                      <v:shape id="shape 122" o:spid="_x0000_s122" o:spt="5" type="#_x0000_t5" style="position:absolute;left:240;top:218;width:4;height:4;rotation:90;visibility:visible;" filled="f" strokecolor="#000000" strokeweight="1.00pt"/>
                                                                      <v:shape id="shape 123" o:spid="_x0000_s123" o:spt="5" type="#_x0000_t5" style="position:absolute;left:246;top:218;width:5;height:4;rotation:-90;visibility:visible;" filled="f" strokecolor="#000000" strokeweight="1.00pt"/>
                                                                    </v:group>
                                                                    <v:line id="shape 124" o:spid="_x0000_s124" style="position:absolute;left:0;text-align:left;visibility:visible;" from="246.1pt,218.8pt" to="251.3pt,223.4pt" filled="f" strokecolor="#000000" strokeweight="0.75pt"/>
                                                                    <v:line id="shape 125" o:spid="_x0000_s125" style="position:absolute;left:0;text-align:left;visibility:visible;" from="246.1pt,218.8pt" to="251.3pt,223.4pt" filled="f" strokecolor="#000000" strokeweight="0.75pt"/>
                                                                    <v:line id="shape 126" o:spid="_x0000_s126" style="position:absolute;left:0;text-align:left;flip:x;visibility:visible;" from="246.1pt,218.8pt" to="251.3pt,223.4pt" filled="f" strokecolor="#000000" strokeweight="0.75pt"/>
                                                                    <v:line id="shape 127" o:spid="_x0000_s127" style="position:absolute;left:0;text-align:left;visibility:visible;" from="246.1pt,218.8pt" to="251.3pt,223.4pt" filled="f" strokecolor="#000000" strokeweight="0.75pt"/>
                                                                    <v:line id="shape 128" o:spid="_x0000_s128" style="position:absolute;left:0;text-align:left;flip:x;visibility:visible;" from="246.1pt,218.8pt" to="251.3pt,223.4pt" filled="f" strokecolor="#000000" strokeweight="0.75pt"/>
                                                                    <v:line id="shape 129" o:spid="_x0000_s129" style="position:absolute;left:0;text-align:left;visibility:visible;" from="246.1pt,218.8pt" to="251.3pt,223.4pt" filled="f" strokecolor="#000000" strokeweight="0.75pt"/>
                                                                    <v:line id="shape 130" o:spid="_x0000_s130" style="position:absolute;left:0;text-align:left;visibility:visible;" from="246.1pt,218.8pt" to="251.3pt,223.4pt" filled="f" strokecolor="#000000" strokeweight="0.75pt"/>
                                                                    <v:line id="shape 131" o:spid="_x0000_s131" style="position:absolute;left:0;text-align:left;flip:x;visibility:visible;" from="246.1pt,218.8pt" to="251.3pt,223.4pt" filled="f" strokecolor="#000000" strokeweight="0.75pt"/>
                                                                    <v:line id="shape 132" o:spid="_x0000_s132" style="position:absolute;left:0;text-align:left;visibility:visible;" from="246.1pt,218.8pt" to="251.3pt,223.4pt" filled="f" strokecolor="#000000" strokeweight="0.75pt"/>
                                                                    <v:line id="shape 133" o:spid="_x0000_s133" style="position:absolute;left:0;text-align:left;flip:x;visibility:visible;" from="246.1pt,218.8pt" to="251.3pt,223.4pt" filled="f" strokecolor="#000000" strokeweight="0.75pt"/>
                                                                    <v:line id="shape 134" o:spid="_x0000_s134" style="position:absolute;left:0;text-align:left;visibility:visible;" from="246.1pt,218.8pt" to="251.3pt,223.4pt" filled="f" strokecolor="#000000" strokeweight="0.75pt"/>
                                                                    <v:line id="shape 135" o:spid="_x0000_s135" style="position:absolute;left:0;text-align:left;visibility:visible;" from="246.1pt,218.8pt" to="251.3pt,223.4pt" filled="f" strokecolor="#000000" strokeweight="0.75pt"/>
                                                                    <v:line id="shape 136" o:spid="_x0000_s136" style="position:absolute;left:0;text-align:left;flip:x;visibility:visible;" from="246.1pt,218.8pt" to="251.3pt,223.4pt" filled="f" strokecolor="#000000" strokeweight="0.75pt"/>
                                                                    <v:line id="shape 137" o:spid="_x0000_s137" style="position:absolute;left:0;text-align:left;visibility:visible;" from="246.1pt,218.8pt" to="251.3pt,223.4pt" filled="f" strokecolor="#000000" strokeweight="0.75pt"/>
                                                                    <v:line id="shape 138" o:spid="_x0000_s138" style="position:absolute;left:0;text-align:left;flip:x;visibility:visible;" from="246.1pt,218.8pt" to="251.3pt,223.4pt" filled="f" strokecolor="#000000" strokeweight="0.75pt"/>
                                                                    <v:line id="shape 139" o:spid="_x0000_s139" style="position:absolute;left:0;text-align:left;visibility:visible;" from="246.1pt,218.8pt" to="251.3pt,223.4pt" filled="f" strokecolor="#000000" strokeweight="0.75pt"/>
                                                                    <v:line id="shape 140" o:spid="_x0000_s140" style="position:absolute;left:0;text-align:left;visibility:visible;" from="246.1pt,218.8pt" to="251.3pt,223.4pt" filled="f" strokecolor="#000000" strokeweight="0.75pt"/>
                                                                    <v:line id="shape 141" o:spid="_x0000_s141" style="position:absolute;left:0;text-align:left;visibility:visible;" from="246.1pt,218.8pt" to="251.3pt,223.4pt" filled="f" strokecolor="#000000" strokeweight="0.75pt"/>
                                                                    <v:line id="shape 142" o:spid="_x0000_s142" style="position:absolute;left:0;text-align:left;visibility:visible;" from="246.1pt,218.8pt" to="251.3pt,223.4pt" filled="f" strokecolor="#000000" strokeweight="0.75pt"/>
                                                                    <v:line id="shape 143" o:spid="_x0000_s143" style="position:absolute;left:0;text-align:left;visibility:visible;" from="246.1pt,218.8pt" to="251.3pt,223.4pt" filled="f" strokecolor="#000000" strokeweight="0.75pt"/>
                                                                  </v:group>
                                                                  <v:line id="shape 144" o:spid="_x0000_s144" style="position:absolute;left:0;text-align:left;visibility:visible;" from="246.1pt,218.8pt" to="251.3pt,223.4pt" filled="f" strokecolor="#000000" strokeweight="0.75pt">
                                                                    <v:stroke dashstyle="longdash"/>
                                                                  </v:line>
                                                                  <v:line id="shape 145" o:spid="_x0000_s145" style="position:absolute;left:0;text-align:left;visibility:visible;" from="246.1pt,218.8pt" to="251.3pt,223.4pt" filled="f" strokecolor="#000000" strokeweight="0.75pt">
                                                                    <v:stroke dashstyle="longdash"/>
                                                                  </v:line>
                                                                  <v:line id="shape 146" o:spid="_x0000_s146" style="position:absolute;left:0;text-align:left;visibility:visible;" from="246.1pt,218.8pt" to="251.3pt,223.4pt" filled="f" strokecolor="#000000" strokeweight="0.75pt">
                                                                    <v:stroke dashstyle="longdash"/>
                                                                  </v:line>
                                                                  <v:line id="shape 147" o:spid="_x0000_s147" style="position:absolute;left:0;text-align:left;visibility:visible;" from="246.1pt,218.8pt" to="251.3pt,223.4pt" filled="f" strokecolor="#000000" strokeweight="0.75pt">
                                                                    <v:stroke dashstyle="longdash"/>
                                                                  </v:line>
                                                                  <v:line id="shape 148" o:spid="_x0000_s148" style="position:absolute;left:0;text-align:left;flip:x;visibility:visible;" from="246.1pt,218.8pt" to="251.3pt,223.4pt" filled="f" strokecolor="#000000" strokeweight="0.75pt">
                                                                    <v:stroke dashstyle="longdash"/>
                                                                  </v:line>
                                                                  <v:line id="shape 149" o:spid="_x0000_s149" style="position:absolute;left:0;text-align:left;visibility:visible;" from="246.1pt,218.8pt" to="251.3pt,223.4pt" filled="f" strokecolor="#000000" strokeweight="0.75pt">
                                                                    <v:stroke dashstyle="longdash"/>
                                                                  </v:line>
                                                                  <v:line id="shape 150" o:spid="_x0000_s150" style="position:absolute;left:0;text-align:left;visibility:visible;" from="246.1pt,218.8pt" to="251.3pt,223.4pt" filled="f" strokecolor="#000000" strokeweight="0.75pt">
                                                                    <v:stroke dashstyle="longdash"/>
                                                                  </v:line>
                                                                </v:group>
                                                                <v:shape id="shape 151" o:spid="_x0000_s151" o:spt="202" type="#_x0000_t202" style="position:absolute;left:376;top:153;width:112;height:24;v-text-anchor:top;visibility:visible;" fillcolor="#FFFFFF" stroked="f">
                                                                  <v:textbox inset="0,0,0,0">
                                                                    <w:txbxContent>
                                                                      <w:p>
                                                                        <w:pPr>
                                                                          <w:rPr>
                                                                            <w:sz w:val="20"/>
                                                                            <w:szCs w:val="20"/>
                                                                          </w:rPr>
                                                                        </w:pPr>
                                                                        <w:r>
                                                                          <w:rPr>
                                                                            <w:sz w:val="20"/>
                                                                            <w:szCs w:val="20"/>
                                                                          </w:rPr>
                                                                          <w:t xml:space="preserve">В тепловую сеть</w:t>
                                                                        </w:r>
                                                                        <w:r>
                                                                          <w:rPr>
                                                                            <w:sz w:val="20"/>
                                                                            <w:szCs w:val="20"/>
                                                                          </w:rPr>
                                                                        </w:r>
                                                                        <w:r>
                                                                          <w:rPr>
                                                                            <w:sz w:val="20"/>
                                                                            <w:szCs w:val="20"/>
                                                                          </w:rPr>
                                                                        </w:r>
                                                                      </w:p>
                                                                    </w:txbxContent>
                                                                  </v:textbox>
                                                                </v:shape>
                                                                <v:shape id="shape 152" o:spid="_x0000_s152" o:spt="202" type="#_x0000_t202" style="position:absolute;left:373;top:228;width:115;height:24;v-text-anchor:top;visibility:visible;" fillcolor="#FFFFFF" stroked="f">
                                                                  <v:textbox inset="0,0,0,0">
                                                                    <w:txbxContent>
                                                                      <w:p>
                                                                        <w:pPr>
                                                                          <w:rPr>
                                                                            <w:sz w:val="20"/>
                                                                            <w:szCs w:val="20"/>
                                                                          </w:rPr>
                                                                        </w:pPr>
                                                                        <w:r>
                                                                          <w:rPr>
                                                                            <w:sz w:val="20"/>
                                                                            <w:szCs w:val="20"/>
                                                                          </w:rPr>
                                                                          <w:t xml:space="preserve">Из тепловой сети</w:t>
                                                                        </w:r>
                                                                        <w:r>
                                                                          <w:rPr>
                                                                            <w:sz w:val="20"/>
                                                                            <w:szCs w:val="20"/>
                                                                          </w:rPr>
                                                                        </w:r>
                                                                        <w:r>
                                                                          <w:rPr>
                                                                            <w:sz w:val="20"/>
                                                                            <w:szCs w:val="20"/>
                                                                          </w:rPr>
                                                                        </w:r>
                                                                      </w:p>
                                                                    </w:txbxContent>
                                                                  </v:textbox>
                                                                </v:shape>
                                                              </v:group>
                                                            </v:group>
                                                          </v:group>
                                                        </v:group>
                                                      </v:group>
                                                    </v:group>
                                                  </v:group>
                                                  <v:line id="shape 153" o:spid="_x0000_s153" style="position:absolute;left:0;text-align:left;visibility:visible;" from="373.9pt,228.8pt" to="489.0pt,252.9pt" filled="f" strokecolor="#000000" strokeweight="1.00pt"/>
                                                  <v:line id="shape 154" o:spid="_x0000_s154" style="position:absolute;left:0;text-align:left;flip:x;visibility:visible;" from="373.9pt,228.8pt" to="489.0pt,252.9pt" filled="f" strokecolor="#000000" strokeweight="1.00pt"/>
                                                </v:group>
                                              </v:group>
                                            </v:group>
                                          </v:group>
                                        </v:group>
                                      </v:group>
                                    </v:group>
                                  </v:group>
                                </v:group>
                              </v:group>
                            </v:group>
                          </v:group>
                        </v:group>
                      </v:group>
                    </v:group>
                  </v:group>
                </v:group>
              </v:group>
            </w:pict>
          </mc:Fallback>
        </mc:AlternateContent>
      </w:r>
      <w:r/>
    </w:p>
    <w:p>
      <w:pPr>
        <w:pStyle w:val="1247"/>
        <w:ind w:left="119" w:right="-53" w:firstLine="709"/>
        <w:jc w:val="both"/>
        <w:spacing w:before="120"/>
      </w:pPr>
      <w:r/>
      <w:r/>
    </w:p>
    <w:p>
      <w:pPr>
        <w:pStyle w:val="1247"/>
        <w:ind w:left="119" w:right="-53" w:firstLine="709"/>
        <w:jc w:val="center"/>
        <w:spacing w:before="120"/>
      </w:pPr>
      <w:r>
        <w:t xml:space="preserve">Рисунок 1 – Принципиальная тепловая схема котельной с водогрейными котлами:</w:t>
      </w:r>
      <w:r>
        <w:br/>
        <w:t xml:space="preserve">1 - сетевой насос; 2 - водогрейный котел; 3 - рециркуляционный насос; 4 - подогреватель подпиточной воды; 5 - подогреватель водопроводной в</w:t>
      </w:r>
      <w:r>
        <w:t xml:space="preserve">оды; 6 - вакуумный деаэратор; 7 - подпиточный насос и регулятор подпитки; 8 - насос водопроводной воды; 9 - оборудование химводоподготовки; 10 - охладитель выпара; 11 - вакуумный водоструйный эжектор; 12 – бак газоотделитель эжектора; 13 - эжекторный насос</w:t>
      </w:r>
      <w:r/>
    </w:p>
    <w:p>
      <w:pPr>
        <w:pStyle w:val="1247"/>
        <w:ind w:left="119" w:right="-53" w:firstLine="709"/>
        <w:jc w:val="both"/>
        <w:spacing w:before="120"/>
      </w:pPr>
      <w:r/>
      <w:r/>
    </w:p>
    <w:p>
      <w:pPr>
        <w:pStyle w:val="1248"/>
        <w:ind w:right="110" w:firstLine="733"/>
      </w:pPr>
      <w:r/>
      <w:bookmarkStart w:id="47" w:name="_Toc130231881"/>
      <w:r/>
      <w:bookmarkStart w:id="48" w:name="_Toc165540664"/>
      <w:r>
        <w:rPr>
          <w:lang w:eastAsia="ru-RU"/>
        </w:rPr>
        <w:t xml:space="preserve">1.2.7 </w:t>
      </w:r>
      <w:r>
        <w:t xml:space="preserve">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bookmarkEnd w:id="47"/>
      <w:r/>
      <w:bookmarkEnd w:id="48"/>
      <w:r/>
      <w:r/>
    </w:p>
    <w:p>
      <w:pPr>
        <w:pStyle w:val="1247"/>
        <w:ind w:left="118" w:right="107" w:firstLine="707"/>
        <w:jc w:val="both"/>
        <w:spacing w:before="115"/>
      </w:pPr>
      <w:r>
        <w:t xml:space="preserve">Регулирование </w:t>
      </w:r>
      <w:r>
        <w:t xml:space="preserve">отпуска теплоты – центральное (на источнике теплоты) качественное – изменение в зависимости от температуры наружного воздуха, температуры теплоносителя на источнике теплоты, по расчетному температурному графику для газовых котельных 95-70 ºС и 70-60°С для </w:t>
      </w:r>
      <w:r>
        <w:t xml:space="preserve">твердотопливных </w:t>
      </w:r>
      <w:r>
        <w:t xml:space="preserve">котельных.</w:t>
      </w:r>
      <w:r/>
    </w:p>
    <w:p>
      <w:pPr>
        <w:pStyle w:val="1247"/>
        <w:ind w:left="119" w:right="108" w:firstLine="709"/>
        <w:jc w:val="both"/>
      </w:pPr>
      <w:r/>
      <w:r/>
    </w:p>
    <w:p>
      <w:pPr>
        <w:pStyle w:val="1248"/>
        <w:ind w:left="1373" w:hanging="522"/>
        <w:jc w:val="left"/>
      </w:pPr>
      <w:r/>
      <w:bookmarkStart w:id="49" w:name="_bookmark41"/>
      <w:r/>
      <w:bookmarkStart w:id="50" w:name="_Toc130231882"/>
      <w:r/>
      <w:bookmarkStart w:id="51" w:name="_Toc165540665"/>
      <w:r/>
      <w:bookmarkEnd w:id="49"/>
      <w:r>
        <w:rPr>
          <w:lang w:eastAsia="ru-RU"/>
        </w:rPr>
        <w:t xml:space="preserve">1.2.8 </w:t>
      </w:r>
      <w:r>
        <w:t xml:space="preserve">Среднегодовая</w:t>
      </w:r>
      <w:r>
        <w:rPr>
          <w:spacing w:val="-4"/>
        </w:rPr>
        <w:t xml:space="preserve"> </w:t>
      </w:r>
      <w:r>
        <w:t xml:space="preserve">загрузка</w:t>
      </w:r>
      <w:r>
        <w:rPr>
          <w:spacing w:val="-3"/>
        </w:rPr>
        <w:t xml:space="preserve"> </w:t>
      </w:r>
      <w:r>
        <w:rPr>
          <w:spacing w:val="-2"/>
        </w:rPr>
        <w:t xml:space="preserve">оборудования</w:t>
      </w:r>
      <w:bookmarkEnd w:id="50"/>
      <w:r/>
      <w:bookmarkEnd w:id="51"/>
      <w:r/>
      <w:r/>
    </w:p>
    <w:p>
      <w:pPr>
        <w:ind w:left="156" w:right="153"/>
        <w:jc w:val="right"/>
        <w:rPr>
          <w:spacing w:val="-7"/>
          <w:sz w:val="24"/>
          <w:szCs w:val="24"/>
        </w:rPr>
      </w:pPr>
      <w:r/>
      <w:bookmarkStart w:id="52" w:name="_bookmark42"/>
      <w:r/>
      <w:bookmarkEnd w:id="52"/>
      <w:r>
        <w:rPr>
          <w:sz w:val="24"/>
          <w:szCs w:val="24"/>
        </w:rPr>
        <w:t xml:space="preserve">Таблица</w:t>
      </w:r>
      <w:r>
        <w:rPr>
          <w:spacing w:val="-8"/>
          <w:sz w:val="24"/>
          <w:szCs w:val="24"/>
        </w:rPr>
        <w:t xml:space="preserve"> </w:t>
      </w:r>
      <w:r>
        <w:rPr>
          <w:sz w:val="24"/>
          <w:szCs w:val="24"/>
        </w:rPr>
        <w:t xml:space="preserve">1.2.</w:t>
      </w:r>
      <w:r>
        <w:rPr>
          <w:sz w:val="24"/>
          <w:szCs w:val="24"/>
        </w:rPr>
        <w:t xml:space="preserve">8</w:t>
      </w:r>
      <w:r>
        <w:rPr>
          <w:sz w:val="24"/>
          <w:szCs w:val="24"/>
        </w:rPr>
        <w:t xml:space="preserve">.1</w:t>
      </w:r>
      <w:r>
        <w:rPr>
          <w:spacing w:val="-7"/>
          <w:sz w:val="24"/>
          <w:szCs w:val="24"/>
        </w:rPr>
      </w:r>
      <w:r>
        <w:rPr>
          <w:spacing w:val="-7"/>
          <w:sz w:val="24"/>
          <w:szCs w:val="24"/>
        </w:rPr>
      </w:r>
    </w:p>
    <w:p>
      <w:pPr>
        <w:ind w:left="156" w:right="153"/>
        <w:jc w:val="center"/>
        <w:rPr>
          <w:spacing w:val="-2"/>
          <w:sz w:val="24"/>
          <w:szCs w:val="24"/>
        </w:rPr>
      </w:pPr>
      <w:r>
        <w:rPr>
          <w:spacing w:val="-2"/>
          <w:sz w:val="24"/>
          <w:szCs w:val="24"/>
        </w:rPr>
        <w:t xml:space="preserve">Среднегодовая загрузка оборудования</w:t>
      </w:r>
      <w:r>
        <w:rPr>
          <w:spacing w:val="-2"/>
          <w:sz w:val="24"/>
          <w:szCs w:val="24"/>
        </w:rPr>
      </w:r>
      <w:r>
        <w:rPr>
          <w:spacing w:val="-2"/>
          <w:sz w:val="24"/>
          <w:szCs w:val="24"/>
        </w:rPr>
      </w:r>
    </w:p>
    <w:tbl>
      <w:tblPr>
        <w:tblW w:w="5000" w:type="pct"/>
        <w:tblCellMar>
          <w:left w:w="10" w:type="dxa"/>
          <w:right w:w="10" w:type="dxa"/>
        </w:tblCellMar>
        <w:tblLook w:val="04A0" w:firstRow="1" w:lastRow="0" w:firstColumn="1" w:lastColumn="0" w:noHBand="0" w:noVBand="1"/>
      </w:tblPr>
      <w:tblGrid>
        <w:gridCol w:w="3385"/>
        <w:gridCol w:w="1635"/>
        <w:gridCol w:w="1633"/>
        <w:gridCol w:w="1633"/>
        <w:gridCol w:w="1574"/>
      </w:tblGrid>
      <w:tr>
        <w:tblPrEx/>
        <w:trPr>
          <w:trHeight w:val="699" w:hRule="exact"/>
        </w:trPr>
        <w:tc>
          <w:tcPr>
            <w:shd w:val="clear" w:color="auto" w:fill="ffffff"/>
            <w:tcBorders>
              <w:top w:val="single" w:color="auto" w:sz="4" w:space="0"/>
              <w:left w:val="single" w:color="auto" w:sz="4" w:space="0"/>
            </w:tcBorders>
            <w:tcW w:w="1717" w:type="pct"/>
            <w:vAlign w:val="center"/>
            <w:textDirection w:val="lrTb"/>
            <w:noWrap w:val="false"/>
          </w:tcPr>
          <w:p>
            <w:pPr>
              <w:jc w:val="center"/>
              <w:rPr>
                <w:sz w:val="20"/>
                <w:szCs w:val="20"/>
              </w:rPr>
            </w:pPr>
            <w:r>
              <w:rPr>
                <w:sz w:val="20"/>
                <w:szCs w:val="20"/>
              </w:rPr>
              <w:t xml:space="preserve">Наименование источника тепловой энергии</w:t>
            </w:r>
            <w:r>
              <w:rPr>
                <w:sz w:val="20"/>
                <w:szCs w:val="20"/>
              </w:rPr>
            </w:r>
            <w:r>
              <w:rPr>
                <w:sz w:val="20"/>
                <w:szCs w:val="20"/>
              </w:rPr>
            </w:r>
          </w:p>
        </w:tc>
        <w:tc>
          <w:tcPr>
            <w:shd w:val="clear" w:color="auto" w:fill="ffffff"/>
            <w:tcBorders>
              <w:top w:val="single" w:color="auto" w:sz="4" w:space="0"/>
              <w:left w:val="single" w:color="auto" w:sz="4" w:space="0"/>
            </w:tcBorders>
            <w:tcW w:w="829" w:type="pct"/>
            <w:vAlign w:val="center"/>
            <w:textDirection w:val="lrTb"/>
            <w:noWrap w:val="false"/>
          </w:tcPr>
          <w:p>
            <w:pPr>
              <w:jc w:val="center"/>
              <w:rPr>
                <w:sz w:val="20"/>
                <w:szCs w:val="20"/>
              </w:rPr>
            </w:pPr>
            <w:r>
              <w:rPr>
                <w:sz w:val="20"/>
                <w:szCs w:val="20"/>
              </w:rPr>
              <w:t xml:space="preserve">Марка и количество котлов</w:t>
            </w:r>
            <w:r>
              <w:rPr>
                <w:sz w:val="20"/>
                <w:szCs w:val="20"/>
              </w:rPr>
            </w:r>
            <w:r>
              <w:rPr>
                <w:sz w:val="20"/>
                <w:szCs w:val="20"/>
              </w:rPr>
            </w:r>
          </w:p>
        </w:tc>
        <w:tc>
          <w:tcPr>
            <w:shd w:val="clear" w:color="auto" w:fill="ffffff"/>
            <w:tcBorders>
              <w:top w:val="single" w:color="auto" w:sz="4" w:space="0"/>
              <w:left w:val="single" w:color="auto" w:sz="4" w:space="0"/>
              <w:right w:val="single" w:color="auto" w:sz="4" w:space="0"/>
            </w:tcBorders>
            <w:tcW w:w="828" w:type="pct"/>
            <w:vAlign w:val="center"/>
            <w:textDirection w:val="lrTb"/>
            <w:noWrap w:val="false"/>
          </w:tcPr>
          <w:p>
            <w:pPr>
              <w:ind w:right="-10"/>
              <w:jc w:val="center"/>
              <w:rPr>
                <w:sz w:val="20"/>
                <w:szCs w:val="20"/>
              </w:rPr>
            </w:pPr>
            <w:r>
              <w:rPr>
                <w:sz w:val="20"/>
                <w:szCs w:val="20"/>
              </w:rPr>
              <w:t xml:space="preserve">Располагаемая тепловая мощность, Гкал/ч</w:t>
            </w:r>
            <w:r>
              <w:rPr>
                <w:sz w:val="20"/>
                <w:szCs w:val="20"/>
              </w:rPr>
            </w:r>
            <w:r>
              <w:rPr>
                <w:sz w:val="20"/>
                <w:szCs w:val="20"/>
              </w:rPr>
            </w:r>
          </w:p>
        </w:tc>
        <w:tc>
          <w:tcPr>
            <w:shd w:val="clear" w:color="auto" w:fill="ffffff"/>
            <w:tcBorders>
              <w:top w:val="single" w:color="auto" w:sz="4" w:space="0"/>
              <w:left w:val="single" w:color="auto" w:sz="4" w:space="0"/>
            </w:tcBorders>
            <w:tcW w:w="828" w:type="pct"/>
            <w:vAlign w:val="center"/>
            <w:textDirection w:val="lrTb"/>
            <w:noWrap w:val="false"/>
          </w:tcPr>
          <w:p>
            <w:pPr>
              <w:jc w:val="center"/>
              <w:rPr>
                <w:sz w:val="20"/>
                <w:szCs w:val="20"/>
                <w:lang w:bidi="ru-RU"/>
              </w:rPr>
            </w:pPr>
            <w:r>
              <w:rPr>
                <w:sz w:val="20"/>
                <w:szCs w:val="20"/>
                <w:lang w:bidi="ru-RU"/>
              </w:rPr>
              <w:t xml:space="preserve">Нагрузка</w:t>
            </w:r>
            <w:r>
              <w:rPr>
                <w:sz w:val="20"/>
                <w:szCs w:val="20"/>
                <w:lang w:bidi="ru-RU"/>
              </w:rPr>
              <w:t xml:space="preserve">,</w:t>
            </w:r>
            <w:r>
              <w:rPr>
                <w:sz w:val="20"/>
                <w:szCs w:val="20"/>
                <w:lang w:bidi="ru-RU"/>
              </w:rPr>
              <w:t xml:space="preserve"> Гкал/ч</w:t>
            </w:r>
            <w:r>
              <w:rPr>
                <w:sz w:val="20"/>
                <w:szCs w:val="20"/>
                <w:lang w:bidi="ru-RU"/>
              </w:rPr>
            </w:r>
            <w:r>
              <w:rPr>
                <w:sz w:val="20"/>
                <w:szCs w:val="20"/>
                <w:lang w:bidi="ru-RU"/>
              </w:rPr>
            </w:r>
          </w:p>
        </w:tc>
        <w:tc>
          <w:tcPr>
            <w:shd w:val="clear" w:color="auto" w:fill="ffffff"/>
            <w:tcBorders>
              <w:top w:val="single" w:color="auto" w:sz="4" w:space="0"/>
              <w:left w:val="single" w:color="auto" w:sz="4" w:space="0"/>
              <w:right w:val="single" w:color="auto" w:sz="4" w:space="0"/>
            </w:tcBorders>
            <w:tcW w:w="798" w:type="pct"/>
            <w:vAlign w:val="center"/>
            <w:textDirection w:val="lrTb"/>
            <w:noWrap w:val="false"/>
          </w:tcPr>
          <w:p>
            <w:pPr>
              <w:jc w:val="center"/>
              <w:rPr>
                <w:sz w:val="20"/>
                <w:szCs w:val="20"/>
                <w:lang w:bidi="ru-RU"/>
              </w:rPr>
            </w:pPr>
            <w:r>
              <w:rPr>
                <w:sz w:val="20"/>
                <w:szCs w:val="20"/>
                <w:lang w:bidi="ru-RU"/>
              </w:rPr>
              <w:t xml:space="preserve">Среднегодовая за</w:t>
            </w:r>
            <w:r>
              <w:rPr>
                <w:sz w:val="20"/>
                <w:szCs w:val="20"/>
                <w:lang w:bidi="ru-RU"/>
              </w:rPr>
              <w:t xml:space="preserve">грузка оборудова</w:t>
            </w:r>
            <w:r>
              <w:rPr>
                <w:sz w:val="20"/>
                <w:szCs w:val="20"/>
                <w:lang w:bidi="ru-RU"/>
              </w:rPr>
              <w:t xml:space="preserve">ния, %</w:t>
            </w:r>
            <w:r>
              <w:rPr>
                <w:sz w:val="20"/>
                <w:szCs w:val="20"/>
                <w:lang w:bidi="ru-RU"/>
              </w:rPr>
            </w:r>
            <w:r>
              <w:rPr>
                <w:sz w:val="20"/>
                <w:szCs w:val="20"/>
                <w:lang w:bidi="ru-RU"/>
              </w:rPr>
            </w:r>
          </w:p>
        </w:tc>
      </w:tr>
      <w:tr>
        <w:tblPrEx/>
        <w:trPr>
          <w:trHeight w:val="562" w:hRule="exact"/>
        </w:trPr>
        <w:tc>
          <w:tcPr>
            <w:shd w:val="clear" w:color="auto" w:fill="ffffff"/>
            <w:tcBorders>
              <w:top w:val="single" w:color="auto" w:sz="4" w:space="0"/>
              <w:left w:val="single" w:color="auto" w:sz="4" w:space="0"/>
              <w:bottom w:val="single" w:color="auto" w:sz="4" w:space="0"/>
            </w:tcBorders>
            <w:tcW w:w="1717" w:type="pct"/>
            <w:vAlign w:val="center"/>
            <w:textDirection w:val="lrTb"/>
            <w:noWrap w:val="false"/>
          </w:tcPr>
          <w:p>
            <w:pPr>
              <w:jc w:val="center"/>
              <w:rPr>
                <w:sz w:val="20"/>
                <w:szCs w:val="20"/>
              </w:rPr>
            </w:pPr>
            <w:r>
              <w:rPr>
                <w:color w:val="000000"/>
                <w:sz w:val="20"/>
                <w:szCs w:val="20"/>
              </w:rPr>
              <w:t xml:space="preserve">Котельная </w:t>
            </w:r>
            <w:r>
              <w:rPr>
                <w:rFonts w:ascii="Liberation Serif" w:hAnsi="Liberation Serif" w:cs="Calibri"/>
                <w:color w:val="000000"/>
                <w:sz w:val="20"/>
                <w:szCs w:val="20"/>
              </w:rPr>
              <w:t xml:space="preserve">п. Новый Мир, ЛПДС «Юргамыш»</w:t>
            </w:r>
            <w:r>
              <w:rPr>
                <w:sz w:val="20"/>
                <w:szCs w:val="20"/>
              </w:rPr>
            </w:r>
            <w:r>
              <w:rPr>
                <w:sz w:val="20"/>
                <w:szCs w:val="20"/>
              </w:rPr>
            </w:r>
          </w:p>
        </w:tc>
        <w:tc>
          <w:tcPr>
            <w:shd w:val="clear" w:color="auto" w:fill="ffffff"/>
            <w:tcBorders>
              <w:top w:val="single" w:color="auto" w:sz="4" w:space="0"/>
              <w:left w:val="single" w:color="auto" w:sz="4" w:space="0"/>
              <w:bottom w:val="single" w:color="auto" w:sz="4" w:space="0"/>
            </w:tcBorders>
            <w:tcW w:w="829" w:type="pct"/>
            <w:vAlign w:val="center"/>
            <w:textDirection w:val="lrTb"/>
            <w:noWrap w:val="false"/>
          </w:tcPr>
          <w:p>
            <w:pPr>
              <w:jc w:val="center"/>
              <w:rPr>
                <w:sz w:val="20"/>
                <w:szCs w:val="20"/>
              </w:rPr>
            </w:pPr>
            <w:r>
              <w:rPr>
                <w:sz w:val="20"/>
                <w:szCs w:val="20"/>
              </w:rPr>
              <w:t xml:space="preserve">КВЖ-8,12-115ГМ </w:t>
            </w:r>
            <w:r>
              <w:rPr>
                <w:sz w:val="20"/>
                <w:szCs w:val="20"/>
              </w:rPr>
            </w:r>
            <w:r>
              <w:rPr>
                <w:sz w:val="20"/>
                <w:szCs w:val="20"/>
              </w:rPr>
            </w:r>
          </w:p>
          <w:p>
            <w:pPr>
              <w:jc w:val="center"/>
              <w:rPr>
                <w:sz w:val="20"/>
                <w:szCs w:val="20"/>
              </w:rPr>
            </w:pPr>
            <w:r>
              <w:rPr>
                <w:sz w:val="20"/>
                <w:szCs w:val="20"/>
              </w:rPr>
              <w:t xml:space="preserve">(3 котла)</w:t>
            </w:r>
            <w:r>
              <w:rPr>
                <w:sz w:val="20"/>
                <w:szCs w:val="20"/>
              </w:rPr>
            </w:r>
            <w:r>
              <w:rPr>
                <w:sz w:val="20"/>
                <w:szCs w:val="20"/>
              </w:rPr>
            </w:r>
          </w:p>
        </w:tc>
        <w:tc>
          <w:tcPr>
            <w:shd w:val="clear" w:color="auto" w:fill="ffffff"/>
            <w:tcBorders>
              <w:top w:val="single" w:color="auto" w:sz="4" w:space="0"/>
              <w:left w:val="single" w:color="auto" w:sz="4" w:space="0"/>
              <w:bottom w:val="single" w:color="auto" w:sz="4" w:space="0"/>
              <w:right w:val="single" w:color="auto" w:sz="4" w:space="0"/>
            </w:tcBorders>
            <w:tcW w:w="828" w:type="pct"/>
            <w:vAlign w:val="center"/>
            <w:textDirection w:val="lrTb"/>
            <w:noWrap w:val="false"/>
          </w:tcPr>
          <w:p>
            <w:pPr>
              <w:ind w:right="-10"/>
              <w:jc w:val="center"/>
              <w:rPr>
                <w:sz w:val="20"/>
                <w:szCs w:val="20"/>
              </w:rPr>
            </w:pPr>
            <w:r>
              <w:rPr>
                <w:sz w:val="20"/>
                <w:szCs w:val="20"/>
              </w:rPr>
              <w:t xml:space="preserve">13,20</w:t>
            </w:r>
            <w:r>
              <w:rPr>
                <w:sz w:val="20"/>
                <w:szCs w:val="20"/>
              </w:rPr>
            </w:r>
            <w:r>
              <w:rPr>
                <w:sz w:val="20"/>
                <w:szCs w:val="20"/>
              </w:rPr>
            </w:r>
          </w:p>
        </w:tc>
        <w:tc>
          <w:tcPr>
            <w:shd w:val="clear" w:color="auto" w:fill="ffffff"/>
            <w:tcBorders>
              <w:top w:val="single" w:color="auto" w:sz="4" w:space="0"/>
              <w:left w:val="single" w:color="auto" w:sz="4" w:space="0"/>
              <w:bottom w:val="single" w:color="auto" w:sz="4" w:space="0"/>
            </w:tcBorders>
            <w:tcW w:w="828" w:type="pct"/>
            <w:vAlign w:val="center"/>
            <w:textDirection w:val="lrTb"/>
            <w:noWrap w:val="false"/>
          </w:tcPr>
          <w:p>
            <w:pPr>
              <w:ind w:left="-142" w:right="-142"/>
              <w:jc w:val="center"/>
              <w:rPr>
                <w:sz w:val="20"/>
                <w:szCs w:val="20"/>
              </w:rPr>
            </w:pPr>
            <w:r>
              <w:rPr>
                <w:sz w:val="20"/>
                <w:szCs w:val="20"/>
              </w:rPr>
              <w:t xml:space="preserve">7,798</w:t>
            </w:r>
            <w:r>
              <w:rPr>
                <w:sz w:val="20"/>
                <w:szCs w:val="20"/>
              </w:rPr>
            </w:r>
            <w:r>
              <w:rPr>
                <w:sz w:val="20"/>
                <w:szCs w:val="20"/>
              </w:rPr>
            </w:r>
          </w:p>
        </w:tc>
        <w:tc>
          <w:tcPr>
            <w:shd w:val="clear" w:color="auto" w:fill="ffffff"/>
            <w:tcBorders>
              <w:top w:val="single" w:color="auto" w:sz="4" w:space="0"/>
              <w:left w:val="single" w:color="auto" w:sz="4" w:space="0"/>
              <w:bottom w:val="single" w:color="auto" w:sz="4" w:space="0"/>
              <w:right w:val="single" w:color="auto" w:sz="4" w:space="0"/>
            </w:tcBorders>
            <w:tcW w:w="798" w:type="pct"/>
            <w:vAlign w:val="center"/>
            <w:textDirection w:val="lrTb"/>
            <w:noWrap w:val="false"/>
          </w:tcPr>
          <w:p>
            <w:pPr>
              <w:ind w:left="-142" w:right="-142"/>
              <w:jc w:val="center"/>
              <w:rPr>
                <w:sz w:val="20"/>
                <w:szCs w:val="20"/>
              </w:rPr>
            </w:pPr>
            <w:r>
              <w:rPr>
                <w:sz w:val="20"/>
                <w:szCs w:val="20"/>
              </w:rPr>
              <w:t xml:space="preserve">59</w:t>
            </w:r>
            <w:r>
              <w:rPr>
                <w:sz w:val="20"/>
                <w:szCs w:val="20"/>
              </w:rPr>
            </w:r>
            <w:r>
              <w:rPr>
                <w:sz w:val="20"/>
                <w:szCs w:val="20"/>
              </w:rPr>
            </w:r>
          </w:p>
        </w:tc>
      </w:tr>
      <w:tr>
        <w:tblPrEx/>
        <w:trPr>
          <w:trHeight w:val="709" w:hRule="exact"/>
        </w:trPr>
        <w:tc>
          <w:tcPr>
            <w:shd w:val="clear" w:color="auto" w:fill="ffffff"/>
            <w:tcBorders>
              <w:top w:val="single" w:color="auto" w:sz="4" w:space="0"/>
              <w:left w:val="single" w:color="auto" w:sz="4" w:space="0"/>
              <w:bottom w:val="single" w:color="auto" w:sz="4" w:space="0"/>
              <w:right w:val="single" w:color="auto" w:sz="4" w:space="0"/>
            </w:tcBorders>
            <w:tcW w:w="1717" w:type="pct"/>
            <w:vAlign w:val="center"/>
            <w:textDirection w:val="lrTb"/>
            <w:noWrap w:val="false"/>
          </w:tcPr>
          <w:p>
            <w:pPr>
              <w:jc w:val="center"/>
              <w:rPr>
                <w:sz w:val="20"/>
                <w:szCs w:val="20"/>
              </w:rPr>
            </w:pPr>
            <w:r>
              <w:rPr>
                <w:color w:val="000000"/>
                <w:sz w:val="20"/>
                <w:szCs w:val="20"/>
              </w:rPr>
              <w:t xml:space="preserve">Котельная </w:t>
            </w:r>
            <w:r>
              <w:rPr>
                <w:rFonts w:ascii="Liberation Serif" w:hAnsi="Liberation Serif" w:cs="Calibri"/>
                <w:color w:val="000000"/>
                <w:sz w:val="20"/>
                <w:szCs w:val="20"/>
              </w:rPr>
              <w:t xml:space="preserve">р.п.  Юргамыш, ул. Железнодорожная, территория тягловой подстанции ОАО «РЖД»</w:t>
            </w:r>
            <w:r>
              <w:rPr>
                <w:sz w:val="20"/>
                <w:szCs w:val="20"/>
              </w:rPr>
            </w:r>
            <w:r>
              <w:rPr>
                <w:sz w:val="20"/>
                <w:szCs w:val="20"/>
              </w:rPr>
            </w:r>
          </w:p>
        </w:tc>
        <w:tc>
          <w:tcPr>
            <w:shd w:val="clear" w:color="auto" w:fill="ffffff"/>
            <w:tcBorders>
              <w:top w:val="single" w:color="auto" w:sz="4" w:space="0"/>
              <w:left w:val="single" w:color="auto" w:sz="4" w:space="0"/>
              <w:bottom w:val="single" w:color="auto" w:sz="4" w:space="0"/>
              <w:right w:val="single" w:color="auto" w:sz="4" w:space="0"/>
            </w:tcBorders>
            <w:tcW w:w="829" w:type="pct"/>
            <w:vAlign w:val="center"/>
            <w:textDirection w:val="lrTb"/>
            <w:noWrap w:val="false"/>
          </w:tcPr>
          <w:p>
            <w:pPr>
              <w:jc w:val="center"/>
              <w:rPr>
                <w:sz w:val="20"/>
                <w:szCs w:val="20"/>
              </w:rPr>
            </w:pPr>
            <w:r>
              <w:rPr>
                <w:sz w:val="20"/>
                <w:szCs w:val="20"/>
              </w:rPr>
              <w:t xml:space="preserve">НР-18Ф-0,63 </w:t>
            </w:r>
            <w:r>
              <w:rPr>
                <w:sz w:val="20"/>
                <w:szCs w:val="20"/>
              </w:rPr>
            </w:r>
            <w:r>
              <w:rPr>
                <w:sz w:val="20"/>
                <w:szCs w:val="20"/>
              </w:rPr>
            </w:r>
          </w:p>
          <w:p>
            <w:pPr>
              <w:jc w:val="center"/>
              <w:rPr>
                <w:sz w:val="20"/>
                <w:szCs w:val="20"/>
              </w:rPr>
            </w:pPr>
            <w:r>
              <w:rPr>
                <w:sz w:val="20"/>
                <w:szCs w:val="20"/>
              </w:rPr>
              <w:t xml:space="preserve">(2 котла)</w:t>
            </w:r>
            <w:r>
              <w:rPr>
                <w:sz w:val="20"/>
                <w:szCs w:val="20"/>
              </w:rPr>
            </w:r>
            <w:r>
              <w:rPr>
                <w:sz w:val="20"/>
                <w:szCs w:val="20"/>
              </w:rPr>
            </w:r>
          </w:p>
        </w:tc>
        <w:tc>
          <w:tcPr>
            <w:shd w:val="clear" w:color="auto" w:fill="ffffff"/>
            <w:tcBorders>
              <w:top w:val="single" w:color="auto" w:sz="4" w:space="0"/>
              <w:left w:val="single" w:color="auto" w:sz="4" w:space="0"/>
              <w:bottom w:val="single" w:color="auto" w:sz="4" w:space="0"/>
              <w:right w:val="single" w:color="auto" w:sz="4" w:space="0"/>
            </w:tcBorders>
            <w:tcW w:w="828" w:type="pct"/>
            <w:vAlign w:val="center"/>
            <w:textDirection w:val="lrTb"/>
            <w:noWrap w:val="false"/>
          </w:tcPr>
          <w:p>
            <w:pPr>
              <w:ind w:right="-10"/>
              <w:jc w:val="center"/>
              <w:rPr>
                <w:sz w:val="20"/>
                <w:szCs w:val="20"/>
              </w:rPr>
            </w:pPr>
            <w:r>
              <w:rPr>
                <w:sz w:val="20"/>
                <w:szCs w:val="20"/>
              </w:rPr>
              <w:t xml:space="preserve">0,915</w:t>
            </w:r>
            <w:r>
              <w:rPr>
                <w:sz w:val="20"/>
                <w:szCs w:val="20"/>
              </w:rPr>
            </w:r>
            <w:r>
              <w:rPr>
                <w:sz w:val="20"/>
                <w:szCs w:val="20"/>
              </w:rPr>
            </w:r>
          </w:p>
        </w:tc>
        <w:tc>
          <w:tcPr>
            <w:shd w:val="clear" w:color="auto" w:fill="ffffff"/>
            <w:tcBorders>
              <w:top w:val="single" w:color="auto" w:sz="4" w:space="0"/>
              <w:left w:val="single" w:color="auto" w:sz="4" w:space="0"/>
              <w:bottom w:val="single" w:color="auto" w:sz="4" w:space="0"/>
              <w:right w:val="single" w:color="auto" w:sz="4" w:space="0"/>
            </w:tcBorders>
            <w:tcW w:w="828" w:type="pct"/>
            <w:vAlign w:val="center"/>
            <w:textDirection w:val="lrTb"/>
            <w:noWrap w:val="false"/>
          </w:tcPr>
          <w:p>
            <w:pPr>
              <w:ind w:right="-10"/>
              <w:jc w:val="center"/>
              <w:rPr>
                <w:sz w:val="20"/>
                <w:szCs w:val="20"/>
              </w:rPr>
            </w:pPr>
            <w:r>
              <w:rPr>
                <w:sz w:val="20"/>
                <w:szCs w:val="20"/>
              </w:rPr>
              <w:t xml:space="preserve">0,3732</w:t>
            </w:r>
            <w:r>
              <w:rPr>
                <w:sz w:val="20"/>
                <w:szCs w:val="20"/>
              </w:rPr>
            </w:r>
            <w:r>
              <w:rPr>
                <w:sz w:val="20"/>
                <w:szCs w:val="20"/>
              </w:rPr>
            </w:r>
          </w:p>
        </w:tc>
        <w:tc>
          <w:tcPr>
            <w:shd w:val="clear" w:color="auto" w:fill="ffffff"/>
            <w:tcBorders>
              <w:top w:val="single" w:color="auto" w:sz="4" w:space="0"/>
              <w:left w:val="single" w:color="auto" w:sz="4" w:space="0"/>
              <w:bottom w:val="single" w:color="auto" w:sz="4" w:space="0"/>
              <w:right w:val="single" w:color="auto" w:sz="4" w:space="0"/>
            </w:tcBorders>
            <w:tcW w:w="798" w:type="pct"/>
            <w:vAlign w:val="center"/>
            <w:textDirection w:val="lrTb"/>
            <w:noWrap w:val="false"/>
          </w:tcPr>
          <w:p>
            <w:pPr>
              <w:ind w:right="-10"/>
              <w:jc w:val="center"/>
              <w:rPr>
                <w:sz w:val="20"/>
                <w:szCs w:val="20"/>
              </w:rPr>
            </w:pPr>
            <w:r>
              <w:rPr>
                <w:sz w:val="20"/>
                <w:szCs w:val="20"/>
              </w:rPr>
              <w:t xml:space="preserve">4</w:t>
            </w:r>
            <w:r>
              <w:rPr>
                <w:sz w:val="20"/>
                <w:szCs w:val="20"/>
              </w:rPr>
              <w:t xml:space="preserve">1</w:t>
            </w:r>
            <w:r>
              <w:rPr>
                <w:sz w:val="20"/>
                <w:szCs w:val="20"/>
              </w:rPr>
            </w:r>
            <w:r>
              <w:rPr>
                <w:sz w:val="20"/>
                <w:szCs w:val="20"/>
              </w:rPr>
            </w:r>
          </w:p>
        </w:tc>
      </w:tr>
      <w:tr>
        <w:tblPrEx/>
        <w:trPr>
          <w:trHeight w:val="719" w:hRule="exact"/>
        </w:trPr>
        <w:tc>
          <w:tcPr>
            <w:shd w:val="clear" w:color="auto" w:fill="ffffff"/>
            <w:tcBorders>
              <w:top w:val="single" w:color="auto" w:sz="4" w:space="0"/>
              <w:left w:val="single" w:color="auto" w:sz="4" w:space="0"/>
              <w:bottom w:val="single" w:color="auto" w:sz="4" w:space="0"/>
            </w:tcBorders>
            <w:tcW w:w="1717" w:type="pct"/>
            <w:vAlign w:val="center"/>
            <w:textDirection w:val="lrTb"/>
            <w:noWrap w:val="false"/>
          </w:tcPr>
          <w:p>
            <w:pPr>
              <w:jc w:val="center"/>
              <w:rPr>
                <w:sz w:val="20"/>
                <w:szCs w:val="20"/>
              </w:rPr>
            </w:pPr>
            <w:r>
              <w:rPr>
                <w:sz w:val="20"/>
                <w:szCs w:val="20"/>
              </w:rPr>
              <w:t xml:space="preserve">Котельная ФКУ ИК №7 УФСИН России по Курганской области,</w:t>
            </w:r>
            <w:r>
              <w:rPr>
                <w:rFonts w:ascii="Liberation Serif" w:hAnsi="Liberation Serif" w:cs="Calibri"/>
                <w:color w:val="000000"/>
                <w:sz w:val="20"/>
                <w:szCs w:val="20"/>
              </w:rPr>
              <w:t xml:space="preserve"> Курганская область, р.п. Юргамыш, ул. Труда, 147</w:t>
            </w:r>
            <w:r>
              <w:rPr>
                <w:sz w:val="20"/>
                <w:szCs w:val="20"/>
              </w:rPr>
            </w:r>
            <w:r>
              <w:rPr>
                <w:sz w:val="20"/>
                <w:szCs w:val="20"/>
              </w:rPr>
            </w:r>
          </w:p>
        </w:tc>
        <w:tc>
          <w:tcPr>
            <w:shd w:val="clear" w:color="auto" w:fill="ffffff"/>
            <w:tcBorders>
              <w:top w:val="single" w:color="auto" w:sz="4" w:space="0"/>
              <w:left w:val="single" w:color="auto" w:sz="4" w:space="0"/>
              <w:bottom w:val="single" w:color="auto" w:sz="4" w:space="0"/>
            </w:tcBorders>
            <w:tcW w:w="829" w:type="pct"/>
            <w:vAlign w:val="center"/>
            <w:textDirection w:val="lrTb"/>
            <w:noWrap w:val="false"/>
          </w:tcPr>
          <w:p>
            <w:pPr>
              <w:jc w:val="center"/>
              <w:rPr>
                <w:sz w:val="20"/>
                <w:szCs w:val="20"/>
              </w:rPr>
            </w:pPr>
            <w:r>
              <w:rPr>
                <w:sz w:val="20"/>
                <w:szCs w:val="20"/>
              </w:rPr>
              <w:t xml:space="preserve">КВр-2,5 (1 котел)</w:t>
            </w:r>
            <w:r>
              <w:rPr>
                <w:sz w:val="20"/>
                <w:szCs w:val="20"/>
              </w:rPr>
            </w:r>
            <w:r>
              <w:rPr>
                <w:sz w:val="20"/>
                <w:szCs w:val="20"/>
              </w:rPr>
            </w:r>
          </w:p>
          <w:p>
            <w:pPr>
              <w:jc w:val="center"/>
              <w:rPr>
                <w:sz w:val="20"/>
                <w:szCs w:val="20"/>
              </w:rPr>
            </w:pPr>
            <w:r>
              <w:rPr>
                <w:sz w:val="20"/>
                <w:szCs w:val="20"/>
              </w:rPr>
              <w:t xml:space="preserve">КЕ-4/14 (1 котел)</w:t>
            </w:r>
            <w:r>
              <w:rPr>
                <w:sz w:val="20"/>
                <w:szCs w:val="20"/>
              </w:rPr>
            </w:r>
            <w:r>
              <w:rPr>
                <w:sz w:val="20"/>
                <w:szCs w:val="20"/>
              </w:rPr>
            </w:r>
          </w:p>
        </w:tc>
        <w:tc>
          <w:tcPr>
            <w:shd w:val="clear" w:color="auto" w:fill="ffffff"/>
            <w:tcBorders>
              <w:top w:val="single" w:color="auto" w:sz="4" w:space="0"/>
              <w:left w:val="single" w:color="auto" w:sz="4" w:space="0"/>
              <w:bottom w:val="single" w:color="auto" w:sz="4" w:space="0"/>
              <w:right w:val="single" w:color="auto" w:sz="4" w:space="0"/>
            </w:tcBorders>
            <w:tcW w:w="828" w:type="pct"/>
            <w:vAlign w:val="center"/>
            <w:textDirection w:val="lrTb"/>
            <w:noWrap w:val="false"/>
          </w:tcPr>
          <w:p>
            <w:pPr>
              <w:ind w:right="-10"/>
              <w:jc w:val="center"/>
              <w:rPr>
                <w:sz w:val="20"/>
                <w:szCs w:val="20"/>
              </w:rPr>
            </w:pPr>
            <w:r>
              <w:rPr>
                <w:sz w:val="20"/>
                <w:szCs w:val="20"/>
              </w:rPr>
              <w:t xml:space="preserve">6,15</w:t>
            </w:r>
            <w:r>
              <w:rPr>
                <w:sz w:val="20"/>
                <w:szCs w:val="20"/>
              </w:rPr>
            </w:r>
            <w:r>
              <w:rPr>
                <w:sz w:val="20"/>
                <w:szCs w:val="20"/>
              </w:rPr>
            </w:r>
          </w:p>
        </w:tc>
        <w:tc>
          <w:tcPr>
            <w:shd w:val="clear" w:color="auto" w:fill="ffffff"/>
            <w:tcBorders>
              <w:top w:val="single" w:color="auto" w:sz="4" w:space="0"/>
              <w:left w:val="single" w:color="auto" w:sz="4" w:space="0"/>
              <w:bottom w:val="single" w:color="auto" w:sz="4" w:space="0"/>
            </w:tcBorders>
            <w:tcW w:w="828"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shd w:val="clear" w:color="auto" w:fill="ffffff"/>
            <w:tcBorders>
              <w:top w:val="single" w:color="auto" w:sz="4" w:space="0"/>
              <w:left w:val="single" w:color="auto" w:sz="4" w:space="0"/>
              <w:bottom w:val="single" w:color="auto" w:sz="4" w:space="0"/>
              <w:right w:val="single" w:color="auto" w:sz="4" w:space="0"/>
            </w:tcBorders>
            <w:tcW w:w="798"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r>
      <w:tr>
        <w:tblPrEx/>
        <w:trPr>
          <w:trHeight w:val="564" w:hRule="exact"/>
        </w:trPr>
        <w:tc>
          <w:tcPr>
            <w:shd w:val="clear" w:color="auto" w:fill="ffffff"/>
            <w:tcBorders>
              <w:top w:val="single" w:color="auto" w:sz="4" w:space="0"/>
              <w:left w:val="single" w:color="auto" w:sz="4" w:space="0"/>
              <w:bottom w:val="single" w:color="auto" w:sz="4" w:space="0"/>
              <w:right w:val="single" w:color="auto" w:sz="4" w:space="0"/>
            </w:tcBorders>
            <w:tcW w:w="1717" w:type="pct"/>
            <w:vAlign w:val="center"/>
            <w:textDirection w:val="lrTb"/>
            <w:noWrap w:val="false"/>
          </w:tcPr>
          <w:p>
            <w:pPr>
              <w:jc w:val="center"/>
              <w:rPr>
                <w:sz w:val="20"/>
                <w:szCs w:val="20"/>
              </w:rPr>
            </w:pPr>
            <w:r>
              <w:rPr>
                <w:sz w:val="20"/>
                <w:szCs w:val="20"/>
              </w:rPr>
              <w:t xml:space="preserve">Котельная </w:t>
            </w:r>
            <w:r>
              <w:rPr>
                <w:rFonts w:ascii="Liberation Serif" w:hAnsi="Liberation Serif" w:cs="Calibri"/>
                <w:color w:val="000000"/>
                <w:sz w:val="20"/>
                <w:szCs w:val="20"/>
              </w:rPr>
              <w:t xml:space="preserve">р.п. Юргамыш, ул. Ленина, 47а</w:t>
            </w:r>
            <w:r>
              <w:rPr>
                <w:sz w:val="20"/>
                <w:szCs w:val="20"/>
              </w:rPr>
            </w:r>
            <w:r>
              <w:rPr>
                <w:sz w:val="20"/>
                <w:szCs w:val="20"/>
              </w:rPr>
            </w:r>
          </w:p>
        </w:tc>
        <w:tc>
          <w:tcPr>
            <w:shd w:val="clear" w:color="auto" w:fill="ffffff"/>
            <w:tcBorders>
              <w:top w:val="single" w:color="auto" w:sz="4" w:space="0"/>
              <w:left w:val="single" w:color="auto" w:sz="4" w:space="0"/>
              <w:bottom w:val="single" w:color="auto" w:sz="4" w:space="0"/>
              <w:right w:val="single" w:color="auto" w:sz="4" w:space="0"/>
            </w:tcBorders>
            <w:tcW w:w="829" w:type="pct"/>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shd w:val="clear" w:color="auto" w:fill="ffffff"/>
            <w:tcBorders>
              <w:top w:val="single" w:color="auto" w:sz="4" w:space="0"/>
              <w:left w:val="single" w:color="auto" w:sz="4" w:space="0"/>
              <w:bottom w:val="single" w:color="auto" w:sz="4" w:space="0"/>
              <w:right w:val="single" w:color="auto" w:sz="4" w:space="0"/>
            </w:tcBorders>
            <w:tcW w:w="828" w:type="pct"/>
            <w:vAlign w:val="center"/>
            <w:textDirection w:val="lrTb"/>
            <w:noWrap w:val="false"/>
          </w:tcPr>
          <w:p>
            <w:pPr>
              <w:ind w:left="-142" w:right="-142"/>
              <w:jc w:val="center"/>
              <w:rPr>
                <w:sz w:val="20"/>
                <w:szCs w:val="20"/>
              </w:rPr>
            </w:pPr>
            <w:r>
              <w:rPr>
                <w:sz w:val="20"/>
                <w:szCs w:val="20"/>
              </w:rPr>
              <w:t xml:space="preserve">4,761</w:t>
            </w:r>
            <w:r>
              <w:rPr>
                <w:sz w:val="20"/>
                <w:szCs w:val="20"/>
              </w:rPr>
            </w:r>
            <w:r>
              <w:rPr>
                <w:sz w:val="20"/>
                <w:szCs w:val="20"/>
              </w:rPr>
            </w:r>
          </w:p>
        </w:tc>
        <w:tc>
          <w:tcPr>
            <w:shd w:val="clear" w:color="auto" w:fill="ffffff"/>
            <w:tcBorders>
              <w:top w:val="single" w:color="auto" w:sz="4" w:space="0"/>
              <w:left w:val="single" w:color="auto" w:sz="4" w:space="0"/>
              <w:bottom w:val="single" w:color="auto" w:sz="4" w:space="0"/>
              <w:right w:val="single" w:color="auto" w:sz="4" w:space="0"/>
            </w:tcBorders>
            <w:tcW w:w="828" w:type="pct"/>
            <w:vAlign w:val="center"/>
            <w:textDirection w:val="lrTb"/>
            <w:noWrap w:val="false"/>
          </w:tcPr>
          <w:p>
            <w:pPr>
              <w:ind w:left="-142" w:right="-142"/>
              <w:jc w:val="center"/>
              <w:rPr>
                <w:sz w:val="20"/>
                <w:szCs w:val="20"/>
              </w:rPr>
            </w:pPr>
            <w:r>
              <w:rPr>
                <w:sz w:val="20"/>
                <w:szCs w:val="20"/>
              </w:rPr>
              <w:t xml:space="preserve">3,324</w:t>
            </w:r>
            <w:r>
              <w:rPr>
                <w:sz w:val="20"/>
                <w:szCs w:val="20"/>
              </w:rPr>
            </w:r>
            <w:r>
              <w:rPr>
                <w:sz w:val="20"/>
                <w:szCs w:val="20"/>
              </w:rPr>
            </w:r>
          </w:p>
        </w:tc>
        <w:tc>
          <w:tcPr>
            <w:shd w:val="clear" w:color="auto" w:fill="ffffff"/>
            <w:tcBorders>
              <w:top w:val="single" w:color="auto" w:sz="4" w:space="0"/>
              <w:left w:val="single" w:color="auto" w:sz="4" w:space="0"/>
              <w:bottom w:val="single" w:color="auto" w:sz="4" w:space="0"/>
              <w:right w:val="single" w:color="auto" w:sz="4" w:space="0"/>
            </w:tcBorders>
            <w:tcW w:w="798" w:type="pct"/>
            <w:vAlign w:val="center"/>
            <w:textDirection w:val="lrTb"/>
            <w:noWrap w:val="false"/>
          </w:tcPr>
          <w:p>
            <w:pPr>
              <w:ind w:left="-142" w:right="-142"/>
              <w:jc w:val="center"/>
              <w:rPr>
                <w:sz w:val="20"/>
                <w:szCs w:val="20"/>
              </w:rPr>
            </w:pPr>
            <w:r>
              <w:rPr>
                <w:sz w:val="20"/>
                <w:szCs w:val="20"/>
              </w:rPr>
              <w:t xml:space="preserve">70</w:t>
            </w:r>
            <w:r>
              <w:rPr>
                <w:sz w:val="20"/>
                <w:szCs w:val="20"/>
              </w:rPr>
            </w:r>
            <w:r>
              <w:rPr>
                <w:sz w:val="20"/>
                <w:szCs w:val="20"/>
              </w:rPr>
            </w:r>
          </w:p>
        </w:tc>
      </w:tr>
    </w:tbl>
    <w:p>
      <w:pPr>
        <w:pStyle w:val="1247"/>
        <w:ind w:left="142"/>
        <w:jc w:val="both"/>
        <w:spacing w:before="120" w:line="271" w:lineRule="exact"/>
      </w:pPr>
      <w:r/>
      <w:r/>
    </w:p>
    <w:p>
      <w:pPr>
        <w:pStyle w:val="1248"/>
        <w:ind w:left="1373" w:hanging="522"/>
        <w:jc w:val="left"/>
      </w:pPr>
      <w:r/>
      <w:bookmarkStart w:id="53" w:name="_bookmark43"/>
      <w:r/>
      <w:bookmarkStart w:id="54" w:name="_Toc130231883"/>
      <w:r/>
      <w:bookmarkStart w:id="55" w:name="_Toc165540666"/>
      <w:r/>
      <w:bookmarkEnd w:id="53"/>
      <w:r>
        <w:rPr>
          <w:lang w:eastAsia="ru-RU"/>
        </w:rPr>
        <w:t xml:space="preserve">1.2.9 </w:t>
      </w:r>
      <w:r>
        <w:t xml:space="preserve">Способы</w:t>
      </w:r>
      <w:r>
        <w:rPr>
          <w:spacing w:val="-4"/>
        </w:rPr>
        <w:t xml:space="preserve"> </w:t>
      </w:r>
      <w:r>
        <w:t xml:space="preserve">учёта</w:t>
      </w:r>
      <w:r>
        <w:rPr>
          <w:spacing w:val="-2"/>
        </w:rPr>
        <w:t xml:space="preserve"> </w:t>
      </w:r>
      <w:r>
        <w:t xml:space="preserve">тепла,</w:t>
      </w:r>
      <w:r>
        <w:rPr>
          <w:spacing w:val="-4"/>
        </w:rPr>
        <w:t xml:space="preserve"> </w:t>
      </w:r>
      <w:r>
        <w:t xml:space="preserve">отпущенного</w:t>
      </w:r>
      <w:r>
        <w:rPr>
          <w:spacing w:val="-2"/>
        </w:rPr>
        <w:t xml:space="preserve"> </w:t>
      </w:r>
      <w:r>
        <w:t xml:space="preserve">в</w:t>
      </w:r>
      <w:r>
        <w:rPr>
          <w:spacing w:val="-3"/>
        </w:rPr>
        <w:t xml:space="preserve"> </w:t>
      </w:r>
      <w:r>
        <w:t xml:space="preserve">тепловые</w:t>
      </w:r>
      <w:r>
        <w:rPr>
          <w:spacing w:val="-4"/>
        </w:rPr>
        <w:t xml:space="preserve"> сети</w:t>
      </w:r>
      <w:bookmarkEnd w:id="54"/>
      <w:r/>
      <w:bookmarkEnd w:id="55"/>
      <w:r/>
      <w:r/>
    </w:p>
    <w:p>
      <w:pPr>
        <w:pStyle w:val="1247"/>
        <w:ind w:left="118" w:firstLine="707"/>
        <w:jc w:val="both"/>
        <w:spacing w:before="115"/>
      </w:pPr>
      <w:r>
        <w:t xml:space="preserve">Учет произведенного и отпущенного тепла большинства централизованных котельных ведется по расходу топлива. </w:t>
      </w:r>
      <w:r>
        <w:t xml:space="preserve">Только на</w:t>
      </w:r>
      <w:r>
        <w:t xml:space="preserve"> </w:t>
      </w:r>
      <w:r>
        <w:t xml:space="preserve">к</w:t>
      </w:r>
      <w:r>
        <w:t xml:space="preserve">отельной п. Новый Мир ЛПДС «Юргамыш» учет тепловой энергии производится </w:t>
      </w:r>
      <w:r>
        <w:t xml:space="preserve">прибором </w:t>
      </w:r>
      <w:r>
        <w:t xml:space="preserve">марки Взлет МР.</w:t>
      </w:r>
      <w:r/>
    </w:p>
    <w:p>
      <w:pPr>
        <w:pStyle w:val="1247"/>
        <w:spacing w:before="1"/>
        <w:rPr>
          <w:sz w:val="27"/>
        </w:rPr>
      </w:pPr>
      <w:r>
        <w:rPr>
          <w:sz w:val="27"/>
        </w:rPr>
      </w:r>
      <w:r>
        <w:rPr>
          <w:sz w:val="27"/>
        </w:rPr>
      </w:r>
      <w:r>
        <w:rPr>
          <w:sz w:val="27"/>
        </w:rPr>
      </w:r>
    </w:p>
    <w:p>
      <w:pPr>
        <w:pStyle w:val="1248"/>
        <w:ind w:left="1493" w:hanging="642"/>
        <w:jc w:val="left"/>
      </w:pPr>
      <w:r/>
      <w:bookmarkStart w:id="56" w:name="_bookmark44"/>
      <w:r/>
      <w:bookmarkStart w:id="57" w:name="_Toc130231884"/>
      <w:r/>
      <w:bookmarkStart w:id="58" w:name="_Toc165540667"/>
      <w:r/>
      <w:bookmarkEnd w:id="56"/>
      <w:r>
        <w:rPr>
          <w:lang w:eastAsia="ru-RU"/>
        </w:rPr>
        <w:t xml:space="preserve">1.2.10 </w:t>
      </w:r>
      <w:r>
        <w:t xml:space="preserve">Статистика</w:t>
      </w:r>
      <w:r>
        <w:rPr>
          <w:spacing w:val="9"/>
        </w:rPr>
        <w:t xml:space="preserve"> </w:t>
      </w:r>
      <w:r>
        <w:t xml:space="preserve">отказов</w:t>
      </w:r>
      <w:r>
        <w:rPr>
          <w:spacing w:val="10"/>
        </w:rPr>
        <w:t xml:space="preserve"> </w:t>
      </w:r>
      <w:r>
        <w:t xml:space="preserve">и</w:t>
      </w:r>
      <w:r>
        <w:rPr>
          <w:spacing w:val="10"/>
        </w:rPr>
        <w:t xml:space="preserve"> </w:t>
      </w:r>
      <w:r>
        <w:t xml:space="preserve">восстановлений</w:t>
      </w:r>
      <w:r>
        <w:rPr>
          <w:spacing w:val="11"/>
        </w:rPr>
        <w:t xml:space="preserve"> </w:t>
      </w:r>
      <w:r>
        <w:t xml:space="preserve">оборудования</w:t>
      </w:r>
      <w:r>
        <w:rPr>
          <w:spacing w:val="11"/>
        </w:rPr>
        <w:t xml:space="preserve"> </w:t>
      </w:r>
      <w:r>
        <w:t xml:space="preserve">источников</w:t>
      </w:r>
      <w:r>
        <w:rPr>
          <w:spacing w:val="9"/>
        </w:rPr>
        <w:t xml:space="preserve"> </w:t>
      </w:r>
      <w:r>
        <w:rPr>
          <w:spacing w:val="-2"/>
        </w:rPr>
        <w:t xml:space="preserve">тепловой</w:t>
      </w:r>
      <w:bookmarkEnd w:id="57"/>
      <w:r/>
      <w:bookmarkEnd w:id="58"/>
      <w:r/>
      <w:r/>
    </w:p>
    <w:p>
      <w:pPr>
        <w:ind w:left="118"/>
        <w:rPr>
          <w:b/>
          <w:sz w:val="24"/>
        </w:rPr>
      </w:pPr>
      <w:r>
        <w:rPr>
          <w:b/>
          <w:spacing w:val="-2"/>
          <w:sz w:val="24"/>
        </w:rPr>
        <w:t xml:space="preserve">энергии</w:t>
      </w:r>
      <w:r>
        <w:rPr>
          <w:b/>
          <w:sz w:val="24"/>
        </w:rPr>
      </w:r>
      <w:r>
        <w:rPr>
          <w:b/>
          <w:sz w:val="24"/>
        </w:rPr>
      </w:r>
    </w:p>
    <w:p>
      <w:pPr>
        <w:pStyle w:val="1247"/>
        <w:ind w:left="142" w:firstLine="684"/>
        <w:jc w:val="both"/>
        <w:spacing w:before="115"/>
      </w:pPr>
      <w:r>
        <w:t xml:space="preserve">Отказы</w:t>
      </w:r>
      <w:r>
        <w:rPr>
          <w:spacing w:val="-5"/>
        </w:rPr>
        <w:t xml:space="preserve"> </w:t>
      </w:r>
      <w:r>
        <w:t xml:space="preserve">оборудования</w:t>
      </w:r>
      <w:r>
        <w:rPr>
          <w:spacing w:val="-3"/>
        </w:rPr>
        <w:t xml:space="preserve"> </w:t>
      </w:r>
      <w:r>
        <w:t xml:space="preserve">централизованных </w:t>
      </w:r>
      <w:r>
        <w:t xml:space="preserve">источников тепловой</w:t>
      </w:r>
      <w:r>
        <w:rPr>
          <w:spacing w:val="-5"/>
        </w:rPr>
        <w:t xml:space="preserve"> </w:t>
      </w:r>
      <w:r>
        <w:t xml:space="preserve">энергии</w:t>
      </w:r>
      <w:r>
        <w:rPr>
          <w:spacing w:val="-2"/>
        </w:rPr>
        <w:t xml:space="preserve"> </w:t>
      </w:r>
      <w:r>
        <w:t xml:space="preserve">за</w:t>
      </w:r>
      <w:r>
        <w:rPr>
          <w:spacing w:val="-3"/>
        </w:rPr>
        <w:t xml:space="preserve"> </w:t>
      </w:r>
      <w:r>
        <w:t xml:space="preserve">период</w:t>
      </w:r>
      <w:r>
        <w:rPr>
          <w:spacing w:val="-3"/>
        </w:rPr>
        <w:t xml:space="preserve"> </w:t>
      </w:r>
      <w:r>
        <w:t xml:space="preserve">202</w:t>
      </w:r>
      <w:r>
        <w:t xml:space="preserve">3</w:t>
      </w:r>
      <w:r>
        <w:t xml:space="preserve">-2024 гг. </w:t>
      </w:r>
      <w:r>
        <w:rPr>
          <w:spacing w:val="-2"/>
        </w:rPr>
        <w:t xml:space="preserve">отсутствуют.</w:t>
      </w:r>
      <w:r/>
    </w:p>
    <w:p>
      <w:pPr>
        <w:pStyle w:val="1247"/>
        <w:spacing w:before="1"/>
        <w:rPr>
          <w:sz w:val="27"/>
        </w:rPr>
      </w:pPr>
      <w:r>
        <w:rPr>
          <w:sz w:val="27"/>
        </w:rPr>
      </w:r>
      <w:r>
        <w:rPr>
          <w:sz w:val="27"/>
        </w:rPr>
      </w:r>
      <w:r>
        <w:rPr>
          <w:sz w:val="27"/>
        </w:rPr>
      </w:r>
    </w:p>
    <w:p>
      <w:pPr>
        <w:pStyle w:val="1248"/>
        <w:ind w:firstLine="733"/>
        <w:jc w:val="left"/>
      </w:pPr>
      <w:r/>
      <w:bookmarkStart w:id="59" w:name="_bookmark45"/>
      <w:r/>
      <w:bookmarkStart w:id="60" w:name="_Toc130231885"/>
      <w:r/>
      <w:bookmarkStart w:id="61" w:name="_Toc165540668"/>
      <w:r/>
      <w:bookmarkEnd w:id="59"/>
      <w:r>
        <w:rPr>
          <w:lang w:eastAsia="ru-RU"/>
        </w:rPr>
        <w:t xml:space="preserve">1.2. 11 </w:t>
      </w:r>
      <w:r>
        <w:t xml:space="preserve">Предписания</w:t>
      </w:r>
      <w:r>
        <w:rPr>
          <w:spacing w:val="-15"/>
        </w:rPr>
        <w:t xml:space="preserve"> </w:t>
      </w:r>
      <w:r>
        <w:t xml:space="preserve">надзорных</w:t>
      </w:r>
      <w:r>
        <w:rPr>
          <w:spacing w:val="-15"/>
        </w:rPr>
        <w:t xml:space="preserve"> </w:t>
      </w:r>
      <w:r>
        <w:t xml:space="preserve">органов</w:t>
      </w:r>
      <w:r>
        <w:rPr>
          <w:spacing w:val="-15"/>
        </w:rPr>
        <w:t xml:space="preserve"> </w:t>
      </w:r>
      <w:r>
        <w:t xml:space="preserve">по</w:t>
      </w:r>
      <w:r>
        <w:rPr>
          <w:spacing w:val="-15"/>
        </w:rPr>
        <w:t xml:space="preserve"> </w:t>
      </w:r>
      <w:r>
        <w:t xml:space="preserve">запрещению</w:t>
      </w:r>
      <w:r>
        <w:rPr>
          <w:spacing w:val="-15"/>
        </w:rPr>
        <w:t xml:space="preserve"> </w:t>
      </w:r>
      <w:r>
        <w:t xml:space="preserve">дальнейшей</w:t>
      </w:r>
      <w:r>
        <w:rPr>
          <w:spacing w:val="-15"/>
        </w:rPr>
        <w:t xml:space="preserve"> </w:t>
      </w:r>
      <w:r>
        <w:t xml:space="preserve">эксплуатации источников тепловой энергии</w:t>
      </w:r>
      <w:bookmarkEnd w:id="60"/>
      <w:r/>
      <w:bookmarkEnd w:id="61"/>
      <w:r/>
      <w:r/>
    </w:p>
    <w:p>
      <w:pPr>
        <w:pStyle w:val="1247"/>
        <w:ind w:left="118" w:right="114" w:firstLine="707"/>
        <w:spacing w:before="115"/>
        <w:tabs>
          <w:tab w:val="left" w:pos="2433" w:leader="none"/>
          <w:tab w:val="left" w:pos="3786" w:leader="none"/>
          <w:tab w:val="left" w:pos="4839" w:leader="none"/>
          <w:tab w:val="left" w:pos="5335" w:leader="none"/>
          <w:tab w:val="left" w:pos="6868" w:leader="none"/>
          <w:tab w:val="left" w:pos="8355" w:leader="none"/>
        </w:tabs>
      </w:pPr>
      <w:r>
        <w:rPr>
          <w:spacing w:val="-2"/>
        </w:rPr>
        <w:t xml:space="preserve">Предписания</w:t>
      </w:r>
      <w:r>
        <w:tab/>
      </w:r>
      <w:r>
        <w:rPr>
          <w:spacing w:val="-2"/>
        </w:rPr>
        <w:t xml:space="preserve">надзорных</w:t>
      </w:r>
      <w:r>
        <w:tab/>
      </w:r>
      <w:r>
        <w:rPr>
          <w:spacing w:val="-2"/>
        </w:rPr>
        <w:t xml:space="preserve">органов</w:t>
      </w:r>
      <w:r>
        <w:tab/>
      </w:r>
      <w:r>
        <w:rPr>
          <w:spacing w:val="-6"/>
        </w:rPr>
        <w:t xml:space="preserve">по</w:t>
      </w:r>
      <w:r>
        <w:tab/>
      </w:r>
      <w:r>
        <w:rPr>
          <w:spacing w:val="-2"/>
        </w:rPr>
        <w:t xml:space="preserve">запрещению</w:t>
      </w:r>
      <w:r>
        <w:tab/>
      </w:r>
      <w:r>
        <w:rPr>
          <w:spacing w:val="-2"/>
        </w:rPr>
        <w:t xml:space="preserve">дальнейшей</w:t>
      </w:r>
      <w:r>
        <w:tab/>
      </w:r>
      <w:r>
        <w:rPr>
          <w:spacing w:val="-2"/>
        </w:rPr>
        <w:t xml:space="preserve">эксплуатации </w:t>
      </w:r>
      <w:r>
        <w:t xml:space="preserve">источников тепловой энергии </w:t>
      </w:r>
      <w:r>
        <w:t xml:space="preserve">Юргамышского</w:t>
      </w:r>
      <w:r>
        <w:t xml:space="preserve"> муниципального округа</w:t>
      </w:r>
      <w:r>
        <w:t xml:space="preserve"> не выдавались.</w:t>
      </w:r>
      <w:r/>
    </w:p>
    <w:p>
      <w:pPr>
        <w:pStyle w:val="1247"/>
        <w:ind w:left="119" w:right="113" w:firstLine="709"/>
        <w:tabs>
          <w:tab w:val="left" w:pos="2433" w:leader="none"/>
          <w:tab w:val="left" w:pos="3786" w:leader="none"/>
          <w:tab w:val="left" w:pos="4839" w:leader="none"/>
          <w:tab w:val="left" w:pos="5335" w:leader="none"/>
          <w:tab w:val="left" w:pos="6868" w:leader="none"/>
          <w:tab w:val="left" w:pos="8355" w:leader="none"/>
        </w:tabs>
      </w:pPr>
      <w:r/>
      <w:r/>
    </w:p>
    <w:p>
      <w:pPr>
        <w:pStyle w:val="1248"/>
        <w:ind w:right="110" w:firstLine="733"/>
      </w:pPr>
      <w:r/>
      <w:bookmarkStart w:id="62" w:name="_bookmark46"/>
      <w:r/>
      <w:bookmarkStart w:id="63" w:name="_Toc130231886"/>
      <w:r/>
      <w:bookmarkStart w:id="64" w:name="_Toc165540669"/>
      <w:r/>
      <w:bookmarkEnd w:id="62"/>
      <w:r>
        <w:rPr>
          <w:lang w:eastAsia="ru-RU"/>
        </w:rPr>
        <w:t xml:space="preserve">1.2.12 </w:t>
      </w:r>
      <w:r>
        <w:t xml:space="preserve">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w:t>
      </w:r>
      <w:r>
        <w:rPr>
          <w:spacing w:val="-2"/>
        </w:rPr>
        <w:t xml:space="preserve">энергии), которые отнесены к объектам, электрическая мощность которых поставляется </w:t>
      </w:r>
      <w:r>
        <w:t xml:space="preserve">в вынужденном режиме в целях обеспечения надёжного теплоснабжения потребителей</w:t>
      </w:r>
      <w:bookmarkEnd w:id="63"/>
      <w:r/>
      <w:bookmarkEnd w:id="64"/>
      <w:r/>
      <w:r/>
    </w:p>
    <w:p>
      <w:pPr>
        <w:pStyle w:val="1247"/>
        <w:ind w:left="118" w:right="109" w:firstLine="707"/>
        <w:jc w:val="both"/>
        <w:spacing w:before="116"/>
      </w:pPr>
      <w:r>
        <w:t xml:space="preserve">Источники тепловой энергии, функционирующие в режиме комбинированной выработки</w:t>
      </w:r>
      <w:r>
        <w:rPr>
          <w:spacing w:val="-13"/>
        </w:rPr>
        <w:t xml:space="preserve"> </w:t>
      </w:r>
      <w:r>
        <w:t xml:space="preserve">электрической</w:t>
      </w:r>
      <w:r>
        <w:rPr>
          <w:spacing w:val="-13"/>
        </w:rPr>
        <w:t xml:space="preserve"> </w:t>
      </w:r>
      <w:r>
        <w:t xml:space="preserve">и</w:t>
      </w:r>
      <w:r>
        <w:rPr>
          <w:spacing w:val="-13"/>
        </w:rPr>
        <w:t xml:space="preserve"> </w:t>
      </w:r>
      <w:r>
        <w:t xml:space="preserve">тепловой</w:t>
      </w:r>
      <w:r>
        <w:rPr>
          <w:spacing w:val="-13"/>
        </w:rPr>
        <w:t xml:space="preserve"> </w:t>
      </w:r>
      <w:r>
        <w:t xml:space="preserve">энергии,</w:t>
      </w:r>
      <w:r>
        <w:rPr>
          <w:spacing w:val="-14"/>
        </w:rPr>
        <w:t xml:space="preserve"> </w:t>
      </w:r>
      <w:r>
        <w:t xml:space="preserve">электрическая</w:t>
      </w:r>
      <w:r>
        <w:rPr>
          <w:spacing w:val="-14"/>
        </w:rPr>
        <w:t xml:space="preserve"> </w:t>
      </w:r>
      <w:r>
        <w:t xml:space="preserve">мощность</w:t>
      </w:r>
      <w:r>
        <w:rPr>
          <w:spacing w:val="-13"/>
        </w:rPr>
        <w:t xml:space="preserve"> </w:t>
      </w:r>
      <w:r>
        <w:t xml:space="preserve">которых</w:t>
      </w:r>
      <w:r>
        <w:rPr>
          <w:spacing w:val="-13"/>
        </w:rPr>
        <w:t xml:space="preserve"> </w:t>
      </w:r>
      <w:r>
        <w:t xml:space="preserve">поставляется в вынужденном режиме в целях обеспечения надёжного теплоснабжения потребителей, на территории </w:t>
      </w:r>
      <w:r>
        <w:t xml:space="preserve">Юргамышского</w:t>
      </w:r>
      <w:r>
        <w:t xml:space="preserve"> муниципального округа</w:t>
      </w:r>
      <w:r>
        <w:t xml:space="preserve"> </w:t>
      </w:r>
      <w:r>
        <w:t xml:space="preserve">отсутствуют.</w:t>
      </w:r>
      <w:r/>
    </w:p>
    <w:p>
      <w:pPr>
        <w:pStyle w:val="1247"/>
        <w:rPr>
          <w:sz w:val="27"/>
        </w:rPr>
      </w:pPr>
      <w:r>
        <w:rPr>
          <w:sz w:val="27"/>
        </w:rPr>
      </w:r>
      <w:r>
        <w:rPr>
          <w:sz w:val="27"/>
        </w:rPr>
      </w:r>
      <w:r>
        <w:rPr>
          <w:sz w:val="27"/>
        </w:rPr>
      </w:r>
    </w:p>
    <w:p>
      <w:pPr>
        <w:pStyle w:val="1248"/>
        <w:ind w:right="111" w:firstLine="733"/>
      </w:pPr>
      <w:r/>
      <w:bookmarkStart w:id="65" w:name="_bookmark47"/>
      <w:r/>
      <w:bookmarkStart w:id="66" w:name="_Toc130231887"/>
      <w:r/>
      <w:bookmarkStart w:id="67" w:name="_Toc165540670"/>
      <w:r/>
      <w:bookmarkEnd w:id="65"/>
      <w:r>
        <w:rPr>
          <w:lang w:eastAsia="ru-RU"/>
        </w:rPr>
        <w:t xml:space="preserve">1.2.13 </w:t>
      </w:r>
      <w:r>
        <w:t xml:space="preserve">Описание изменений технических характеристик основного оборудования источников тепловой энергии, зафиксированных за период, предшествующий актуализации схемы теплоснабжения</w:t>
      </w:r>
      <w:bookmarkEnd w:id="66"/>
      <w:r/>
      <w:bookmarkEnd w:id="67"/>
      <w:r/>
      <w:r/>
    </w:p>
    <w:p>
      <w:pPr>
        <w:pStyle w:val="1247"/>
        <w:ind w:left="118" w:right="107" w:firstLine="707"/>
        <w:jc w:val="both"/>
        <w:spacing w:before="116"/>
      </w:pPr>
      <w:r>
        <w:t xml:space="preserve">Ранее схема теплоснабжения </w:t>
      </w:r>
      <w:r>
        <w:t xml:space="preserve">Юргамышского</w:t>
      </w:r>
      <w:r>
        <w:t xml:space="preserve"> муниципального округа не была разработана.</w:t>
      </w:r>
      <w:r/>
    </w:p>
    <w:p>
      <w:r>
        <w:br w:type="page" w:clear="all"/>
      </w:r>
      <w:r/>
    </w:p>
    <w:p>
      <w:pPr>
        <w:jc w:val="both"/>
        <w:sectPr>
          <w:footnotePr/>
          <w:endnotePr/>
          <w:type w:val="nextPage"/>
          <w:pgSz w:w="11910" w:h="16840" w:orient="portrait"/>
          <w:pgMar w:top="1100" w:right="740" w:bottom="940" w:left="1300" w:header="0" w:footer="758" w:gutter="0"/>
          <w:cols w:num="1" w:sep="0" w:space="720" w:equalWidth="1"/>
          <w:docGrid w:linePitch="360"/>
        </w:sectPr>
      </w:pPr>
      <w:r/>
      <w:r/>
    </w:p>
    <w:p>
      <w:pPr>
        <w:pStyle w:val="1248"/>
        <w:ind w:firstLine="733"/>
        <w:spacing w:before="71"/>
      </w:pPr>
      <w:r/>
      <w:bookmarkStart w:id="68" w:name="_bookmark53"/>
      <w:r/>
      <w:bookmarkStart w:id="69" w:name="_bookmark48"/>
      <w:r/>
      <w:bookmarkStart w:id="70" w:name="_Toc130231888"/>
      <w:r/>
      <w:bookmarkStart w:id="71" w:name="_Toc165540671"/>
      <w:r/>
      <w:bookmarkEnd w:id="68"/>
      <w:r/>
      <w:bookmarkEnd w:id="69"/>
      <w:r>
        <w:rPr>
          <w:lang w:eastAsia="ru-RU"/>
        </w:rPr>
        <w:t xml:space="preserve">1.3 </w:t>
      </w:r>
      <w:r>
        <w:t xml:space="preserve">Тепловые</w:t>
      </w:r>
      <w:r>
        <w:rPr>
          <w:spacing w:val="-4"/>
        </w:rPr>
        <w:t xml:space="preserve"> </w:t>
      </w:r>
      <w:r>
        <w:t xml:space="preserve">сети,</w:t>
      </w:r>
      <w:r>
        <w:rPr>
          <w:spacing w:val="-1"/>
        </w:rPr>
        <w:t xml:space="preserve"> </w:t>
      </w:r>
      <w:r>
        <w:t xml:space="preserve">сооружения</w:t>
      </w:r>
      <w:r>
        <w:rPr>
          <w:spacing w:val="-2"/>
        </w:rPr>
        <w:t xml:space="preserve"> </w:t>
      </w:r>
      <w:r>
        <w:t xml:space="preserve">на</w:t>
      </w:r>
      <w:r>
        <w:rPr>
          <w:spacing w:val="-1"/>
        </w:rPr>
        <w:t xml:space="preserve"> </w:t>
      </w:r>
      <w:r>
        <w:rPr>
          <w:spacing w:val="-5"/>
        </w:rPr>
        <w:t xml:space="preserve">них</w:t>
      </w:r>
      <w:bookmarkEnd w:id="70"/>
      <w:r/>
      <w:bookmarkEnd w:id="71"/>
      <w:r/>
      <w:r/>
    </w:p>
    <w:p>
      <w:pPr>
        <w:pStyle w:val="1248"/>
        <w:ind w:right="110" w:firstLine="733"/>
        <w:spacing w:before="120"/>
      </w:pPr>
      <w:r/>
      <w:bookmarkStart w:id="72" w:name="_bookmark49"/>
      <w:r/>
      <w:bookmarkStart w:id="73" w:name="_Toc130231889"/>
      <w:r/>
      <w:bookmarkStart w:id="74" w:name="_Toc165540672"/>
      <w:r/>
      <w:bookmarkEnd w:id="72"/>
      <w:r>
        <w:rPr>
          <w:lang w:eastAsia="ru-RU"/>
        </w:rPr>
        <w:t xml:space="preserve">1.3.1 </w:t>
      </w:r>
      <w:r>
        <w:t xml:space="preserve">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w:t>
      </w:r>
      <w:r>
        <w:rPr>
          <w:spacing w:val="-10"/>
        </w:rPr>
        <w:t xml:space="preserve"> </w:t>
      </w:r>
      <w:r>
        <w:t xml:space="preserve">или</w:t>
      </w:r>
      <w:r>
        <w:rPr>
          <w:spacing w:val="-9"/>
        </w:rPr>
        <w:t xml:space="preserve"> </w:t>
      </w:r>
      <w:r>
        <w:t xml:space="preserve">до</w:t>
      </w:r>
      <w:r>
        <w:rPr>
          <w:spacing w:val="-12"/>
        </w:rPr>
        <w:t xml:space="preserve"> </w:t>
      </w:r>
      <w:r>
        <w:t xml:space="preserve">ввода</w:t>
      </w:r>
      <w:r>
        <w:rPr>
          <w:spacing w:val="-9"/>
        </w:rPr>
        <w:t xml:space="preserve"> </w:t>
      </w:r>
      <w:r>
        <w:t xml:space="preserve">в</w:t>
      </w:r>
      <w:r>
        <w:rPr>
          <w:spacing w:val="-9"/>
        </w:rPr>
        <w:t xml:space="preserve"> </w:t>
      </w:r>
      <w:r>
        <w:t xml:space="preserve">жилой</w:t>
      </w:r>
      <w:r>
        <w:rPr>
          <w:spacing w:val="-9"/>
        </w:rPr>
        <w:t xml:space="preserve"> </w:t>
      </w:r>
      <w:r>
        <w:t xml:space="preserve">квартал</w:t>
      </w:r>
      <w:r>
        <w:rPr>
          <w:spacing w:val="-10"/>
        </w:rPr>
        <w:t xml:space="preserve"> </w:t>
      </w:r>
      <w:r>
        <w:t xml:space="preserve">или</w:t>
      </w:r>
      <w:r>
        <w:rPr>
          <w:spacing w:val="-9"/>
        </w:rPr>
        <w:t xml:space="preserve"> </w:t>
      </w:r>
      <w:r>
        <w:t xml:space="preserve">промышленный</w:t>
      </w:r>
      <w:r>
        <w:rPr>
          <w:spacing w:val="-8"/>
        </w:rPr>
        <w:t xml:space="preserve"> </w:t>
      </w:r>
      <w:r>
        <w:t xml:space="preserve">объект</w:t>
      </w:r>
      <w:r>
        <w:rPr>
          <w:spacing w:val="-7"/>
        </w:rPr>
        <w:t xml:space="preserve"> </w:t>
      </w:r>
      <w:r>
        <w:t xml:space="preserve">с</w:t>
      </w:r>
      <w:r>
        <w:rPr>
          <w:spacing w:val="-10"/>
        </w:rPr>
        <w:t xml:space="preserve"> </w:t>
      </w:r>
      <w:r>
        <w:t xml:space="preserve">выделением</w:t>
      </w:r>
      <w:r>
        <w:rPr>
          <w:spacing w:val="-10"/>
        </w:rPr>
        <w:t xml:space="preserve"> </w:t>
      </w:r>
      <w:r>
        <w:t xml:space="preserve">сетей горячего водоснабжения</w:t>
      </w:r>
      <w:bookmarkEnd w:id="73"/>
      <w:r/>
      <w:bookmarkEnd w:id="74"/>
      <w:r/>
      <w:r/>
    </w:p>
    <w:p>
      <w:pPr>
        <w:pStyle w:val="1247"/>
        <w:ind w:left="130" w:right="142" w:firstLine="709"/>
        <w:jc w:val="both"/>
        <w:spacing w:before="120"/>
      </w:pPr>
      <w:r>
        <w:t xml:space="preserve">Структурно тепловые сети, как централизованных, так и децентрализованных котельных имеют в основном по одному магистральному выводу в двухтрубном нерезервируемом исполнении. Котельные п. Новый Мир, ЛПДС «Юргамыш» и р.п.  Юргам</w:t>
      </w:r>
      <w:r>
        <w:t xml:space="preserve">ыш, ул. Железнодорожная, территория тягловой подстанции ОАО «РЖД» имеют два магистральных вывода, выполненные частично подземной бесканальной и частично надземной прокладкой на низких опорах, оканчивающийся секционирующей арматурой в зданиях потребителей. </w:t>
      </w:r>
      <w:r/>
    </w:p>
    <w:p>
      <w:pPr>
        <w:pStyle w:val="1247"/>
        <w:ind w:left="130" w:right="142" w:firstLine="709"/>
        <w:jc w:val="both"/>
      </w:pPr>
      <w:r>
        <w:t xml:space="preserve">Центральные тепловые пункты тепловых сетей в Юргамышском </w:t>
      </w:r>
      <w:r>
        <w:t xml:space="preserve">муниципальном округе</w:t>
      </w:r>
      <w:r>
        <w:t xml:space="preserve"> отсутствуют. Вводы магистральных сетей от котельных в промышленные объекты не имеются. </w:t>
      </w:r>
      <w:r/>
    </w:p>
    <w:p>
      <w:pPr>
        <w:pStyle w:val="1247"/>
        <w:ind w:left="130" w:right="142" w:firstLine="709"/>
        <w:jc w:val="both"/>
      </w:pPr>
      <w:r/>
      <w:r/>
    </w:p>
    <w:p>
      <w:pPr>
        <w:pStyle w:val="1248"/>
        <w:ind w:right="111" w:firstLine="733"/>
        <w:spacing w:before="125"/>
      </w:pPr>
      <w:r/>
      <w:bookmarkStart w:id="75" w:name="_bookmark50"/>
      <w:r/>
      <w:bookmarkStart w:id="76" w:name="_Toc130231890"/>
      <w:r/>
      <w:bookmarkStart w:id="77" w:name="_Toc165540673"/>
      <w:r/>
      <w:bookmarkEnd w:id="75"/>
      <w:r>
        <w:rPr>
          <w:lang w:eastAsia="ru-RU"/>
        </w:rPr>
        <w:t xml:space="preserve">1.3.2 </w:t>
      </w:r>
      <w:r>
        <w:t xml:space="preserve">Карты (схемы) тепловых сетей в зонах действия источников тепловой энергии в электронной форме и (или) на бумажном носителе</w:t>
      </w:r>
      <w:bookmarkEnd w:id="76"/>
      <w:r/>
      <w:bookmarkEnd w:id="77"/>
      <w:r/>
      <w:r/>
    </w:p>
    <w:p>
      <w:pPr>
        <w:pStyle w:val="1247"/>
        <w:ind w:left="118" w:right="105" w:firstLine="707"/>
        <w:jc w:val="both"/>
        <w:spacing w:before="115"/>
      </w:pPr>
      <w:r>
        <w:t xml:space="preserve">Схемы тепловых сетей в зонах действия источников тепловой энергии приведены </w:t>
      </w:r>
      <w:r>
        <w:t xml:space="preserve">в приложении.</w:t>
      </w:r>
      <w:r/>
    </w:p>
    <w:p>
      <w:pPr>
        <w:pStyle w:val="1247"/>
        <w:ind w:left="118" w:right="105" w:firstLine="707"/>
        <w:jc w:val="both"/>
        <w:spacing w:before="115"/>
        <w:rPr>
          <w:b/>
        </w:rPr>
      </w:pPr>
      <w:r>
        <w:rPr>
          <w:b/>
        </w:rPr>
      </w:r>
      <w:r>
        <w:rPr>
          <w:b/>
        </w:rPr>
      </w:r>
      <w:r>
        <w:rPr>
          <w:b/>
        </w:rPr>
      </w:r>
    </w:p>
    <w:p>
      <w:pPr>
        <w:pStyle w:val="1248"/>
        <w:ind w:right="104" w:firstLine="733"/>
      </w:pPr>
      <w:r/>
      <w:bookmarkStart w:id="78" w:name="_Toc130231891"/>
      <w:r/>
      <w:bookmarkStart w:id="79" w:name="_Toc165540674"/>
      <w:r>
        <w:rPr>
          <w:lang w:eastAsia="ru-RU"/>
        </w:rPr>
        <w:t xml:space="preserve">1.3.3 </w:t>
      </w:r>
      <w:r>
        <w:t xml:space="preserve">Параметры тепловых сетей, включая год начала эксплуатации, т</w:t>
      </w:r>
      <w:r>
        <w:t xml:space="preserve">ип изоляции, тип компенсирующих устройств, тип прокладки, краткую характеристику грунтов в местах прокладки с выделением наименее надёжных участков, определением их материальной характеристики и тепловой нагрузки потребителей, подключённых к таким участкам</w:t>
      </w:r>
      <w:bookmarkEnd w:id="78"/>
      <w:r/>
      <w:bookmarkEnd w:id="79"/>
      <w:r/>
      <w:r/>
    </w:p>
    <w:p>
      <w:pPr>
        <w:pStyle w:val="1247"/>
        <w:ind w:left="118" w:right="111" w:firstLine="707"/>
        <w:jc w:val="both"/>
        <w:spacing w:before="115"/>
      </w:pPr>
      <w:r>
        <w:t xml:space="preserve">Параметры тепловых сетей </w:t>
      </w:r>
      <w:r>
        <w:t xml:space="preserve">централизованных источников тепловой энергии </w:t>
      </w:r>
      <w:r>
        <w:t xml:space="preserve">приведены в таблицах </w:t>
      </w:r>
      <w:r>
        <w:t xml:space="preserve">1.3.3.1-1.3.3.</w:t>
      </w:r>
      <w:r>
        <w:t xml:space="preserve">5</w:t>
      </w:r>
      <w:r>
        <w:t xml:space="preserve">.</w:t>
      </w:r>
      <w:r/>
    </w:p>
    <w:p>
      <w:pPr>
        <w:pStyle w:val="1247"/>
        <w:ind w:left="119" w:right="113" w:firstLine="709"/>
        <w:jc w:val="both"/>
      </w:pPr>
      <w:r>
        <w:t xml:space="preserve">Параметры тепловых сетей децентрализованных источников тепловой энергии в таблице 1.2.1.5.</w:t>
      </w:r>
      <w:r/>
    </w:p>
    <w:p>
      <w:pPr>
        <w:pStyle w:val="1247"/>
        <w:ind w:left="118" w:right="111" w:firstLine="707"/>
        <w:jc w:val="right"/>
        <w:spacing w:before="115"/>
      </w:pPr>
      <w:r>
        <w:t xml:space="preserve">Таблица 1.3.3.1</w:t>
      </w:r>
      <w:r/>
    </w:p>
    <w:p>
      <w:pPr>
        <w:pStyle w:val="1247"/>
        <w:ind w:left="118" w:right="111" w:firstLine="707"/>
        <w:jc w:val="center"/>
        <w:spacing w:before="115"/>
      </w:pPr>
      <w:r>
        <w:t xml:space="preserve">Параметры тепловой сети от котельной п. Новый Мир, ЛПДС «Юргамыш» </w:t>
      </w:r>
      <w:r/>
    </w:p>
    <w:tbl>
      <w:tblPr>
        <w:tblStyle w:val="1257"/>
        <w:tblW w:w="4895" w:type="pct"/>
        <w:tblLook w:val="04A0" w:firstRow="1" w:lastRow="0" w:firstColumn="1" w:lastColumn="0" w:noHBand="0" w:noVBand="1"/>
      </w:tblPr>
      <w:tblGrid>
        <w:gridCol w:w="944"/>
        <w:gridCol w:w="5249"/>
        <w:gridCol w:w="3499"/>
      </w:tblGrid>
      <w:tr>
        <w:tblPrEx/>
        <w:trPr/>
        <w:tc>
          <w:tcPr>
            <w:tcW w:w="487" w:type="pct"/>
            <w:textDirection w:val="lrTb"/>
            <w:noWrap w:val="false"/>
          </w:tcPr>
          <w:p>
            <w:pPr>
              <w:jc w:val="both"/>
              <w:rPr>
                <w:szCs w:val="20"/>
              </w:rPr>
            </w:pPr>
            <w:r>
              <w:rPr>
                <w:szCs w:val="20"/>
              </w:rPr>
              <w:t xml:space="preserve">№ пп</w:t>
            </w:r>
            <w:r>
              <w:rPr>
                <w:szCs w:val="20"/>
              </w:rPr>
            </w:r>
            <w:r>
              <w:rPr>
                <w:szCs w:val="20"/>
              </w:rPr>
            </w:r>
          </w:p>
        </w:tc>
        <w:tc>
          <w:tcPr>
            <w:tcW w:w="2708" w:type="pct"/>
            <w:textDirection w:val="lrTb"/>
            <w:noWrap w:val="false"/>
          </w:tcPr>
          <w:p>
            <w:pPr>
              <w:rPr>
                <w:szCs w:val="20"/>
              </w:rPr>
            </w:pPr>
            <w:r>
              <w:rPr>
                <w:szCs w:val="20"/>
              </w:rPr>
              <w:t xml:space="preserve">Параметр</w:t>
            </w:r>
            <w:r>
              <w:rPr>
                <w:szCs w:val="20"/>
              </w:rPr>
            </w:r>
            <w:r>
              <w:rPr>
                <w:szCs w:val="20"/>
              </w:rPr>
            </w:r>
          </w:p>
        </w:tc>
        <w:tc>
          <w:tcPr>
            <w:tcW w:w="1805" w:type="pct"/>
            <w:textDirection w:val="lrTb"/>
            <w:noWrap w:val="false"/>
          </w:tcPr>
          <w:p>
            <w:pPr>
              <w:rPr>
                <w:szCs w:val="20"/>
              </w:rPr>
            </w:pPr>
            <w:r>
              <w:rPr>
                <w:szCs w:val="20"/>
              </w:rPr>
              <w:t xml:space="preserve">Характеристика, значение</w:t>
            </w:r>
            <w:r>
              <w:rPr>
                <w:szCs w:val="20"/>
              </w:rPr>
            </w:r>
            <w:r>
              <w:rPr>
                <w:szCs w:val="20"/>
              </w:rPr>
            </w:r>
          </w:p>
        </w:tc>
      </w:tr>
      <w:tr>
        <w:tblPrEx/>
        <w:trPr/>
        <w:tc>
          <w:tcPr>
            <w:tcW w:w="487" w:type="pct"/>
            <w:textDirection w:val="lrTb"/>
            <w:noWrap w:val="false"/>
          </w:tcPr>
          <w:p>
            <w:pPr>
              <w:pStyle w:val="1250"/>
              <w:numPr>
                <w:ilvl w:val="0"/>
                <w:numId w:val="41"/>
              </w:numPr>
              <w:contextualSpacing/>
              <w:ind w:hanging="747"/>
              <w:jc w:val="left"/>
              <w:rPr>
                <w:szCs w:val="20"/>
              </w:rPr>
            </w:pPr>
            <w:r>
              <w:rPr>
                <w:szCs w:val="20"/>
              </w:rPr>
            </w:r>
            <w:r>
              <w:rPr>
                <w:szCs w:val="20"/>
              </w:rPr>
            </w:r>
            <w:r>
              <w:rPr>
                <w:szCs w:val="20"/>
              </w:rPr>
            </w:r>
          </w:p>
        </w:tc>
        <w:tc>
          <w:tcPr>
            <w:tcW w:w="2708" w:type="pct"/>
            <w:textDirection w:val="lrTb"/>
            <w:noWrap w:val="false"/>
          </w:tcPr>
          <w:p>
            <w:pPr>
              <w:jc w:val="both"/>
              <w:rPr>
                <w:szCs w:val="20"/>
              </w:rPr>
            </w:pPr>
            <w:r>
              <w:rPr>
                <w:szCs w:val="20"/>
              </w:rPr>
              <w:t xml:space="preserve">Наружный диаметр, мм</w:t>
            </w:r>
            <w:r>
              <w:rPr>
                <w:szCs w:val="20"/>
              </w:rPr>
            </w:r>
            <w:r>
              <w:rPr>
                <w:szCs w:val="20"/>
              </w:rPr>
            </w:r>
          </w:p>
        </w:tc>
        <w:tc>
          <w:tcPr>
            <w:tcW w:w="1805" w:type="pct"/>
            <w:textDirection w:val="lrTb"/>
            <w:noWrap w:val="false"/>
          </w:tcPr>
          <w:p>
            <w:pPr>
              <w:rPr>
                <w:szCs w:val="20"/>
              </w:rPr>
            </w:pPr>
            <w:r>
              <w:rPr>
                <w:szCs w:val="20"/>
              </w:rPr>
              <w:t xml:space="preserve">300; 219;</w:t>
            </w:r>
            <w:r>
              <w:rPr>
                <w:szCs w:val="20"/>
              </w:rPr>
              <w:t xml:space="preserve"> 150</w:t>
            </w:r>
            <w:r>
              <w:rPr>
                <w:szCs w:val="20"/>
              </w:rPr>
              <w:t xml:space="preserve">;</w:t>
            </w:r>
            <w:r>
              <w:rPr>
                <w:szCs w:val="20"/>
              </w:rPr>
              <w:t xml:space="preserve"> 100</w:t>
            </w:r>
            <w:r>
              <w:rPr>
                <w:szCs w:val="20"/>
              </w:rPr>
              <w:t xml:space="preserve">;</w:t>
            </w:r>
            <w:r>
              <w:rPr>
                <w:szCs w:val="20"/>
              </w:rPr>
              <w:t xml:space="preserve"> 80</w:t>
            </w:r>
            <w:r>
              <w:rPr>
                <w:szCs w:val="20"/>
              </w:rPr>
              <w:t xml:space="preserve">;</w:t>
            </w:r>
            <w:r>
              <w:rPr>
                <w:szCs w:val="20"/>
              </w:rPr>
              <w:t xml:space="preserve"> 57</w:t>
            </w:r>
            <w:r>
              <w:rPr>
                <w:szCs w:val="20"/>
              </w:rPr>
              <w:t xml:space="preserve">;</w:t>
            </w:r>
            <w:r>
              <w:rPr>
                <w:szCs w:val="20"/>
              </w:rPr>
              <w:t xml:space="preserve"> 50, 40</w:t>
            </w:r>
            <w:r>
              <w:rPr>
                <w:szCs w:val="20"/>
              </w:rPr>
              <w:t xml:space="preserve">;</w:t>
            </w:r>
            <w:r>
              <w:rPr>
                <w:szCs w:val="20"/>
              </w:rPr>
              <w:t xml:space="preserve"> 25 </w:t>
            </w:r>
            <w:r>
              <w:rPr>
                <w:szCs w:val="20"/>
              </w:rPr>
            </w:r>
            <w:r>
              <w:rPr>
                <w:szCs w:val="20"/>
              </w:rPr>
            </w:r>
          </w:p>
        </w:tc>
      </w:tr>
      <w:tr>
        <w:tblPrEx/>
        <w:trPr/>
        <w:tc>
          <w:tcPr>
            <w:tcW w:w="487" w:type="pct"/>
            <w:textDirection w:val="lrTb"/>
            <w:noWrap w:val="false"/>
          </w:tcPr>
          <w:p>
            <w:pPr>
              <w:pStyle w:val="1250"/>
              <w:numPr>
                <w:ilvl w:val="0"/>
                <w:numId w:val="41"/>
              </w:numPr>
              <w:contextualSpacing/>
              <w:ind w:left="0" w:firstLine="0"/>
              <w:rPr>
                <w:szCs w:val="20"/>
              </w:rPr>
            </w:pPr>
            <w:r>
              <w:rPr>
                <w:szCs w:val="20"/>
              </w:rPr>
            </w:r>
            <w:r>
              <w:rPr>
                <w:szCs w:val="20"/>
              </w:rPr>
            </w:r>
            <w:r>
              <w:rPr>
                <w:szCs w:val="20"/>
              </w:rPr>
            </w:r>
          </w:p>
        </w:tc>
        <w:tc>
          <w:tcPr>
            <w:tcW w:w="2708" w:type="pct"/>
            <w:textDirection w:val="lrTb"/>
            <w:noWrap w:val="false"/>
          </w:tcPr>
          <w:p>
            <w:pPr>
              <w:jc w:val="both"/>
              <w:rPr>
                <w:szCs w:val="20"/>
              </w:rPr>
            </w:pPr>
            <w:r>
              <w:rPr>
                <w:szCs w:val="20"/>
              </w:rPr>
              <w:t xml:space="preserve">Материал</w:t>
            </w:r>
            <w:r>
              <w:rPr>
                <w:szCs w:val="20"/>
              </w:rPr>
            </w:r>
            <w:r>
              <w:rPr>
                <w:szCs w:val="20"/>
              </w:rPr>
            </w:r>
          </w:p>
        </w:tc>
        <w:tc>
          <w:tcPr>
            <w:tcW w:w="1805" w:type="pct"/>
            <w:textDirection w:val="lrTb"/>
            <w:noWrap w:val="false"/>
          </w:tcPr>
          <w:p>
            <w:pPr>
              <w:rPr>
                <w:szCs w:val="20"/>
              </w:rPr>
            </w:pPr>
            <w:r>
              <w:rPr>
                <w:szCs w:val="20"/>
              </w:rPr>
              <w:t xml:space="preserve">сталь</w:t>
            </w:r>
            <w:r>
              <w:rPr>
                <w:szCs w:val="20"/>
              </w:rPr>
            </w:r>
            <w:r>
              <w:rPr>
                <w:szCs w:val="20"/>
              </w:rPr>
            </w:r>
          </w:p>
        </w:tc>
      </w:tr>
      <w:tr>
        <w:tblPrEx/>
        <w:trPr/>
        <w:tc>
          <w:tcPr>
            <w:tcW w:w="487" w:type="pct"/>
            <w:textDirection w:val="lrTb"/>
            <w:noWrap w:val="false"/>
          </w:tcPr>
          <w:p>
            <w:pPr>
              <w:pStyle w:val="1250"/>
              <w:numPr>
                <w:ilvl w:val="0"/>
                <w:numId w:val="41"/>
              </w:numPr>
              <w:contextualSpacing/>
              <w:ind w:left="0" w:firstLine="0"/>
              <w:rPr>
                <w:szCs w:val="20"/>
              </w:rPr>
            </w:pPr>
            <w:r>
              <w:rPr>
                <w:szCs w:val="20"/>
              </w:rPr>
            </w:r>
            <w:r>
              <w:rPr>
                <w:szCs w:val="20"/>
              </w:rPr>
            </w:r>
            <w:r>
              <w:rPr>
                <w:szCs w:val="20"/>
              </w:rPr>
            </w:r>
          </w:p>
        </w:tc>
        <w:tc>
          <w:tcPr>
            <w:tcW w:w="2708" w:type="pct"/>
            <w:textDirection w:val="lrTb"/>
            <w:noWrap w:val="false"/>
          </w:tcPr>
          <w:p>
            <w:pPr>
              <w:jc w:val="both"/>
              <w:rPr>
                <w:szCs w:val="20"/>
              </w:rPr>
            </w:pPr>
            <w:r>
              <w:rPr>
                <w:szCs w:val="20"/>
              </w:rPr>
              <w:t xml:space="preserve">Схема исполнения тепловой сети</w:t>
            </w:r>
            <w:r>
              <w:rPr>
                <w:szCs w:val="20"/>
              </w:rPr>
            </w:r>
            <w:r>
              <w:rPr>
                <w:szCs w:val="20"/>
              </w:rPr>
            </w:r>
          </w:p>
        </w:tc>
        <w:tc>
          <w:tcPr>
            <w:tcW w:w="1805" w:type="pct"/>
            <w:textDirection w:val="lrTb"/>
            <w:noWrap w:val="false"/>
          </w:tcPr>
          <w:p>
            <w:pPr>
              <w:ind w:left="-111" w:right="-105" w:firstLine="6"/>
              <w:rPr>
                <w:szCs w:val="20"/>
              </w:rPr>
            </w:pPr>
            <w:r>
              <w:rPr>
                <w:szCs w:val="20"/>
              </w:rPr>
              <w:t xml:space="preserve">двухтрубная</w:t>
            </w:r>
            <w:r>
              <w:rPr>
                <w:szCs w:val="20"/>
              </w:rPr>
            </w:r>
            <w:r>
              <w:rPr>
                <w:szCs w:val="20"/>
              </w:rPr>
            </w:r>
          </w:p>
        </w:tc>
      </w:tr>
      <w:tr>
        <w:tblPrEx/>
        <w:trPr/>
        <w:tc>
          <w:tcPr>
            <w:tcW w:w="487" w:type="pct"/>
            <w:textDirection w:val="lrTb"/>
            <w:noWrap w:val="false"/>
          </w:tcPr>
          <w:p>
            <w:pPr>
              <w:pStyle w:val="1250"/>
              <w:numPr>
                <w:ilvl w:val="0"/>
                <w:numId w:val="41"/>
              </w:numPr>
              <w:contextualSpacing/>
              <w:ind w:left="0" w:firstLine="0"/>
              <w:rPr>
                <w:szCs w:val="20"/>
              </w:rPr>
            </w:pPr>
            <w:r>
              <w:rPr>
                <w:szCs w:val="20"/>
              </w:rPr>
            </w:r>
            <w:r>
              <w:rPr>
                <w:szCs w:val="20"/>
              </w:rPr>
            </w:r>
            <w:r>
              <w:rPr>
                <w:szCs w:val="20"/>
              </w:rPr>
            </w:r>
          </w:p>
        </w:tc>
        <w:tc>
          <w:tcPr>
            <w:tcW w:w="2708" w:type="pct"/>
            <w:textDirection w:val="lrTb"/>
            <w:noWrap w:val="false"/>
          </w:tcPr>
          <w:p>
            <w:pPr>
              <w:jc w:val="both"/>
              <w:rPr>
                <w:szCs w:val="20"/>
              </w:rPr>
            </w:pPr>
            <w:r>
              <w:rPr>
                <w:szCs w:val="20"/>
              </w:rPr>
              <w:t xml:space="preserve">Конструкция</w:t>
            </w:r>
            <w:r>
              <w:rPr>
                <w:szCs w:val="20"/>
              </w:rPr>
            </w:r>
            <w:r>
              <w:rPr>
                <w:szCs w:val="20"/>
              </w:rPr>
            </w:r>
          </w:p>
        </w:tc>
        <w:tc>
          <w:tcPr>
            <w:tcW w:w="1805" w:type="pct"/>
            <w:textDirection w:val="lrTb"/>
            <w:noWrap w:val="false"/>
          </w:tcPr>
          <w:p>
            <w:pPr>
              <w:rPr>
                <w:szCs w:val="20"/>
              </w:rPr>
            </w:pPr>
            <w:r>
              <w:rPr>
                <w:szCs w:val="20"/>
              </w:rPr>
              <w:t xml:space="preserve">тупиковая</w:t>
            </w:r>
            <w:r>
              <w:rPr>
                <w:szCs w:val="20"/>
              </w:rPr>
            </w:r>
            <w:r>
              <w:rPr>
                <w:szCs w:val="20"/>
              </w:rPr>
            </w:r>
          </w:p>
        </w:tc>
      </w:tr>
      <w:tr>
        <w:tblPrEx/>
        <w:trPr/>
        <w:tc>
          <w:tcPr>
            <w:tcW w:w="487" w:type="pct"/>
            <w:textDirection w:val="lrTb"/>
            <w:noWrap w:val="false"/>
          </w:tcPr>
          <w:p>
            <w:pPr>
              <w:pStyle w:val="1250"/>
              <w:numPr>
                <w:ilvl w:val="0"/>
                <w:numId w:val="41"/>
              </w:numPr>
              <w:contextualSpacing/>
              <w:ind w:left="0" w:firstLine="0"/>
              <w:rPr>
                <w:szCs w:val="20"/>
              </w:rPr>
            </w:pPr>
            <w:r>
              <w:rPr>
                <w:szCs w:val="20"/>
              </w:rPr>
            </w:r>
            <w:r>
              <w:rPr>
                <w:szCs w:val="20"/>
              </w:rPr>
            </w:r>
            <w:r>
              <w:rPr>
                <w:szCs w:val="20"/>
              </w:rPr>
            </w:r>
          </w:p>
        </w:tc>
        <w:tc>
          <w:tcPr>
            <w:tcW w:w="2708" w:type="pct"/>
            <w:textDirection w:val="lrTb"/>
            <w:noWrap w:val="false"/>
          </w:tcPr>
          <w:p>
            <w:pPr>
              <w:jc w:val="both"/>
              <w:rPr>
                <w:szCs w:val="20"/>
              </w:rPr>
            </w:pPr>
            <w:r>
              <w:rPr>
                <w:szCs w:val="20"/>
              </w:rPr>
              <w:t xml:space="preserve">Степень резервируемости</w:t>
            </w:r>
            <w:r>
              <w:rPr>
                <w:szCs w:val="20"/>
              </w:rPr>
            </w:r>
            <w:r>
              <w:rPr>
                <w:szCs w:val="20"/>
              </w:rPr>
            </w:r>
          </w:p>
        </w:tc>
        <w:tc>
          <w:tcPr>
            <w:tcW w:w="1805" w:type="pct"/>
            <w:textDirection w:val="lrTb"/>
            <w:noWrap w:val="false"/>
          </w:tcPr>
          <w:p>
            <w:pPr>
              <w:rPr>
                <w:szCs w:val="20"/>
              </w:rPr>
            </w:pPr>
            <w:r>
              <w:rPr>
                <w:szCs w:val="20"/>
              </w:rPr>
              <w:t xml:space="preserve">нерезервированная</w:t>
            </w:r>
            <w:r>
              <w:rPr>
                <w:szCs w:val="20"/>
              </w:rPr>
            </w:r>
            <w:r>
              <w:rPr>
                <w:szCs w:val="20"/>
              </w:rPr>
            </w:r>
          </w:p>
        </w:tc>
      </w:tr>
      <w:tr>
        <w:tblPrEx/>
        <w:trPr/>
        <w:tc>
          <w:tcPr>
            <w:tcW w:w="487" w:type="pct"/>
            <w:textDirection w:val="lrTb"/>
            <w:noWrap w:val="false"/>
          </w:tcPr>
          <w:p>
            <w:pPr>
              <w:pStyle w:val="1250"/>
              <w:numPr>
                <w:ilvl w:val="0"/>
                <w:numId w:val="41"/>
              </w:numPr>
              <w:contextualSpacing/>
              <w:ind w:left="0" w:firstLine="0"/>
              <w:rPr>
                <w:szCs w:val="20"/>
              </w:rPr>
            </w:pPr>
            <w:r>
              <w:rPr>
                <w:szCs w:val="20"/>
              </w:rPr>
            </w:r>
            <w:r>
              <w:rPr>
                <w:szCs w:val="20"/>
              </w:rPr>
            </w:r>
            <w:r>
              <w:rPr>
                <w:szCs w:val="20"/>
              </w:rPr>
            </w:r>
          </w:p>
        </w:tc>
        <w:tc>
          <w:tcPr>
            <w:tcW w:w="2708" w:type="pct"/>
            <w:textDirection w:val="lrTb"/>
            <w:noWrap w:val="false"/>
          </w:tcPr>
          <w:p>
            <w:pPr>
              <w:jc w:val="both"/>
              <w:rPr>
                <w:szCs w:val="20"/>
              </w:rPr>
            </w:pPr>
            <w:r>
              <w:rPr>
                <w:szCs w:val="20"/>
              </w:rPr>
              <w:t xml:space="preserve">Количество магистральных выводов</w:t>
            </w:r>
            <w:r>
              <w:rPr>
                <w:szCs w:val="20"/>
              </w:rPr>
            </w:r>
            <w:r>
              <w:rPr>
                <w:szCs w:val="20"/>
              </w:rPr>
            </w:r>
          </w:p>
        </w:tc>
        <w:tc>
          <w:tcPr>
            <w:tcW w:w="1805" w:type="pct"/>
            <w:textDirection w:val="lrTb"/>
            <w:noWrap w:val="false"/>
          </w:tcPr>
          <w:p>
            <w:pPr>
              <w:rPr>
                <w:szCs w:val="20"/>
              </w:rPr>
            </w:pPr>
            <w:r>
              <w:rPr>
                <w:szCs w:val="20"/>
              </w:rPr>
              <w:t xml:space="preserve">2</w:t>
            </w:r>
            <w:r>
              <w:rPr>
                <w:szCs w:val="20"/>
              </w:rPr>
            </w:r>
            <w:r>
              <w:rPr>
                <w:szCs w:val="20"/>
              </w:rPr>
            </w:r>
          </w:p>
        </w:tc>
      </w:tr>
      <w:tr>
        <w:tblPrEx/>
        <w:trPr/>
        <w:tc>
          <w:tcPr>
            <w:tcW w:w="487" w:type="pct"/>
            <w:textDirection w:val="lrTb"/>
            <w:noWrap w:val="false"/>
          </w:tcPr>
          <w:p>
            <w:pPr>
              <w:pStyle w:val="1250"/>
              <w:numPr>
                <w:ilvl w:val="0"/>
                <w:numId w:val="41"/>
              </w:numPr>
              <w:contextualSpacing/>
              <w:ind w:left="0" w:firstLine="0"/>
              <w:rPr>
                <w:szCs w:val="20"/>
              </w:rPr>
            </w:pPr>
            <w:r>
              <w:rPr>
                <w:szCs w:val="20"/>
              </w:rPr>
            </w:r>
            <w:r>
              <w:rPr>
                <w:szCs w:val="20"/>
              </w:rPr>
            </w:r>
            <w:r>
              <w:rPr>
                <w:szCs w:val="20"/>
              </w:rPr>
            </w:r>
          </w:p>
        </w:tc>
        <w:tc>
          <w:tcPr>
            <w:tcW w:w="2708" w:type="pct"/>
            <w:textDirection w:val="lrTb"/>
            <w:noWrap w:val="false"/>
          </w:tcPr>
          <w:p>
            <w:pPr>
              <w:jc w:val="both"/>
              <w:rPr>
                <w:szCs w:val="20"/>
              </w:rPr>
            </w:pPr>
            <w:r>
              <w:rPr>
                <w:szCs w:val="20"/>
              </w:rPr>
              <w:t xml:space="preserve">Общая протяженность сетей, п.м</w:t>
            </w:r>
            <w:r>
              <w:rPr>
                <w:szCs w:val="20"/>
              </w:rPr>
            </w:r>
            <w:r>
              <w:rPr>
                <w:szCs w:val="20"/>
              </w:rPr>
            </w:r>
          </w:p>
        </w:tc>
        <w:tc>
          <w:tcPr>
            <w:tcW w:w="1805" w:type="pct"/>
            <w:textDirection w:val="lrTb"/>
            <w:noWrap w:val="false"/>
          </w:tcPr>
          <w:p>
            <w:pPr>
              <w:rPr>
                <w:szCs w:val="20"/>
              </w:rPr>
            </w:pPr>
            <w:r>
              <w:rPr>
                <w:szCs w:val="20"/>
              </w:rPr>
              <w:t xml:space="preserve">12077</w:t>
            </w:r>
            <w:r>
              <w:rPr>
                <w:szCs w:val="20"/>
              </w:rPr>
            </w:r>
            <w:r>
              <w:rPr>
                <w:szCs w:val="20"/>
              </w:rPr>
            </w:r>
          </w:p>
        </w:tc>
      </w:tr>
      <w:tr>
        <w:tblPrEx/>
        <w:trPr/>
        <w:tc>
          <w:tcPr>
            <w:tcW w:w="487" w:type="pct"/>
            <w:textDirection w:val="lrTb"/>
            <w:noWrap w:val="false"/>
          </w:tcPr>
          <w:p>
            <w:pPr>
              <w:pStyle w:val="1250"/>
              <w:numPr>
                <w:ilvl w:val="0"/>
                <w:numId w:val="41"/>
              </w:numPr>
              <w:contextualSpacing/>
              <w:ind w:left="0" w:firstLine="0"/>
              <w:rPr>
                <w:szCs w:val="20"/>
              </w:rPr>
            </w:pPr>
            <w:r>
              <w:rPr>
                <w:szCs w:val="20"/>
              </w:rPr>
            </w:r>
            <w:r>
              <w:rPr>
                <w:szCs w:val="20"/>
              </w:rPr>
            </w:r>
            <w:r>
              <w:rPr>
                <w:szCs w:val="20"/>
              </w:rPr>
            </w:r>
          </w:p>
        </w:tc>
        <w:tc>
          <w:tcPr>
            <w:tcW w:w="2708" w:type="pct"/>
            <w:textDirection w:val="lrTb"/>
            <w:noWrap w:val="false"/>
          </w:tcPr>
          <w:p>
            <w:pPr>
              <w:jc w:val="both"/>
              <w:rPr>
                <w:szCs w:val="20"/>
              </w:rPr>
            </w:pPr>
            <w:r>
              <w:rPr>
                <w:szCs w:val="20"/>
              </w:rPr>
              <w:t xml:space="preserve">Высота расположения / глубина заложения тепловых сетей, м</w:t>
            </w:r>
            <w:r>
              <w:rPr>
                <w:szCs w:val="20"/>
              </w:rPr>
            </w:r>
            <w:r>
              <w:rPr>
                <w:szCs w:val="20"/>
              </w:rPr>
            </w:r>
          </w:p>
        </w:tc>
        <w:tc>
          <w:tcPr>
            <w:tcW w:w="1805" w:type="pct"/>
            <w:textDirection w:val="lrTb"/>
            <w:noWrap w:val="false"/>
          </w:tcPr>
          <w:p>
            <w:pPr>
              <w:rPr>
                <w:szCs w:val="20"/>
              </w:rPr>
            </w:pPr>
            <w:r>
              <w:rPr>
                <w:szCs w:val="20"/>
              </w:rPr>
              <w:t xml:space="preserve">0,5/1,5</w:t>
            </w:r>
            <w:r>
              <w:rPr>
                <w:szCs w:val="20"/>
              </w:rPr>
            </w:r>
            <w:r>
              <w:rPr>
                <w:szCs w:val="20"/>
              </w:rPr>
            </w:r>
          </w:p>
        </w:tc>
      </w:tr>
      <w:tr>
        <w:tblPrEx/>
        <w:trPr/>
        <w:tc>
          <w:tcPr>
            <w:tcW w:w="487" w:type="pct"/>
            <w:textDirection w:val="lrTb"/>
            <w:noWrap w:val="false"/>
          </w:tcPr>
          <w:p>
            <w:pPr>
              <w:pStyle w:val="1250"/>
              <w:numPr>
                <w:ilvl w:val="0"/>
                <w:numId w:val="41"/>
              </w:numPr>
              <w:contextualSpacing/>
              <w:ind w:left="0" w:firstLine="0"/>
              <w:rPr>
                <w:szCs w:val="20"/>
              </w:rPr>
            </w:pPr>
            <w:r>
              <w:rPr>
                <w:szCs w:val="20"/>
              </w:rPr>
            </w:r>
            <w:r>
              <w:rPr>
                <w:szCs w:val="20"/>
              </w:rPr>
            </w:r>
            <w:r>
              <w:rPr>
                <w:szCs w:val="20"/>
              </w:rPr>
            </w:r>
          </w:p>
        </w:tc>
        <w:tc>
          <w:tcPr>
            <w:tcW w:w="2708" w:type="pct"/>
            <w:textDirection w:val="lrTb"/>
            <w:noWrap w:val="false"/>
          </w:tcPr>
          <w:p>
            <w:pPr>
              <w:jc w:val="both"/>
              <w:rPr>
                <w:szCs w:val="20"/>
              </w:rPr>
            </w:pPr>
            <w:r>
              <w:rPr>
                <w:szCs w:val="20"/>
              </w:rPr>
              <w:t xml:space="preserve">Год начала эксплуатации</w:t>
            </w:r>
            <w:r>
              <w:rPr>
                <w:szCs w:val="20"/>
              </w:rPr>
            </w:r>
            <w:r>
              <w:rPr>
                <w:szCs w:val="20"/>
              </w:rPr>
            </w:r>
          </w:p>
        </w:tc>
        <w:tc>
          <w:tcPr>
            <w:tcW w:w="1805" w:type="pct"/>
            <w:textDirection w:val="lrTb"/>
            <w:noWrap w:val="false"/>
          </w:tcPr>
          <w:p>
            <w:pPr>
              <w:rPr>
                <w:szCs w:val="20"/>
              </w:rPr>
            </w:pPr>
            <w:r>
              <w:rPr>
                <w:szCs w:val="20"/>
              </w:rPr>
              <w:t xml:space="preserve">1982, 1987, 1992, 2006, 2016, 2017, 2018,2019</w:t>
            </w:r>
            <w:r>
              <w:rPr>
                <w:szCs w:val="20"/>
              </w:rPr>
            </w:r>
            <w:r>
              <w:rPr>
                <w:szCs w:val="20"/>
              </w:rPr>
            </w:r>
          </w:p>
        </w:tc>
      </w:tr>
      <w:tr>
        <w:tblPrEx/>
        <w:trPr/>
        <w:tc>
          <w:tcPr>
            <w:tcW w:w="487" w:type="pct"/>
            <w:textDirection w:val="lrTb"/>
            <w:noWrap w:val="false"/>
          </w:tcPr>
          <w:p>
            <w:pPr>
              <w:pStyle w:val="1250"/>
              <w:numPr>
                <w:ilvl w:val="0"/>
                <w:numId w:val="41"/>
              </w:numPr>
              <w:contextualSpacing/>
              <w:ind w:left="0" w:firstLine="0"/>
              <w:rPr>
                <w:szCs w:val="20"/>
              </w:rPr>
            </w:pPr>
            <w:r>
              <w:rPr>
                <w:szCs w:val="20"/>
              </w:rPr>
            </w:r>
            <w:r>
              <w:rPr>
                <w:szCs w:val="20"/>
              </w:rPr>
            </w:r>
            <w:r>
              <w:rPr>
                <w:szCs w:val="20"/>
              </w:rPr>
            </w:r>
          </w:p>
        </w:tc>
        <w:tc>
          <w:tcPr>
            <w:tcW w:w="2708" w:type="pct"/>
            <w:textDirection w:val="lrTb"/>
            <w:noWrap w:val="false"/>
          </w:tcPr>
          <w:p>
            <w:pPr>
              <w:jc w:val="both"/>
              <w:rPr>
                <w:szCs w:val="20"/>
              </w:rPr>
            </w:pPr>
            <w:r>
              <w:rPr>
                <w:szCs w:val="20"/>
              </w:rPr>
              <w:t xml:space="preserve">Тип изоляции</w:t>
            </w:r>
            <w:r>
              <w:rPr>
                <w:szCs w:val="20"/>
              </w:rPr>
            </w:r>
            <w:r>
              <w:rPr>
                <w:szCs w:val="20"/>
              </w:rPr>
            </w:r>
          </w:p>
        </w:tc>
        <w:tc>
          <w:tcPr>
            <w:tcW w:w="1805" w:type="pct"/>
            <w:textDirection w:val="lrTb"/>
            <w:noWrap w:val="false"/>
          </w:tcPr>
          <w:p>
            <w:pPr>
              <w:rPr>
                <w:szCs w:val="20"/>
              </w:rPr>
            </w:pPr>
            <w:r>
              <w:rPr>
                <w:szCs w:val="20"/>
              </w:rPr>
              <w:t xml:space="preserve">минеральная вата; </w:t>
            </w:r>
            <w:r>
              <w:rPr>
                <w:szCs w:val="20"/>
              </w:rPr>
              <w:t xml:space="preserve">гидроизоляция</w:t>
            </w:r>
            <w:r>
              <w:rPr>
                <w:szCs w:val="20"/>
              </w:rPr>
            </w:r>
            <w:r>
              <w:rPr>
                <w:szCs w:val="20"/>
              </w:rPr>
            </w:r>
          </w:p>
        </w:tc>
      </w:tr>
      <w:tr>
        <w:tblPrEx/>
        <w:trPr/>
        <w:tc>
          <w:tcPr>
            <w:tcW w:w="487" w:type="pct"/>
            <w:textDirection w:val="lrTb"/>
            <w:noWrap w:val="false"/>
          </w:tcPr>
          <w:p>
            <w:pPr>
              <w:pStyle w:val="1250"/>
              <w:numPr>
                <w:ilvl w:val="0"/>
                <w:numId w:val="41"/>
              </w:numPr>
              <w:contextualSpacing/>
              <w:ind w:left="0" w:firstLine="0"/>
              <w:rPr>
                <w:szCs w:val="20"/>
              </w:rPr>
            </w:pPr>
            <w:r>
              <w:rPr>
                <w:szCs w:val="20"/>
              </w:rPr>
            </w:r>
            <w:r>
              <w:rPr>
                <w:szCs w:val="20"/>
              </w:rPr>
            </w:r>
            <w:r>
              <w:rPr>
                <w:szCs w:val="20"/>
              </w:rPr>
            </w:r>
          </w:p>
        </w:tc>
        <w:tc>
          <w:tcPr>
            <w:tcW w:w="2708" w:type="pct"/>
            <w:textDirection w:val="lrTb"/>
            <w:noWrap w:val="false"/>
          </w:tcPr>
          <w:p>
            <w:pPr>
              <w:jc w:val="both"/>
              <w:rPr>
                <w:szCs w:val="20"/>
              </w:rPr>
            </w:pPr>
            <w:r>
              <w:rPr>
                <w:szCs w:val="20"/>
              </w:rPr>
              <w:t xml:space="preserve">Тип прокладки</w:t>
            </w:r>
            <w:r>
              <w:rPr>
                <w:szCs w:val="20"/>
              </w:rPr>
            </w:r>
            <w:r>
              <w:rPr>
                <w:szCs w:val="20"/>
              </w:rPr>
            </w:r>
          </w:p>
        </w:tc>
        <w:tc>
          <w:tcPr>
            <w:tcW w:w="1805" w:type="pct"/>
            <w:textDirection w:val="lrTb"/>
            <w:noWrap w:val="false"/>
          </w:tcPr>
          <w:p>
            <w:pPr>
              <w:rPr>
                <w:szCs w:val="20"/>
              </w:rPr>
            </w:pPr>
            <w:r>
              <w:rPr>
                <w:szCs w:val="20"/>
              </w:rPr>
              <w:t xml:space="preserve">надземная</w:t>
            </w:r>
            <w:r>
              <w:rPr>
                <w:szCs w:val="20"/>
              </w:rPr>
            </w:r>
            <w:r>
              <w:rPr>
                <w:szCs w:val="20"/>
              </w:rPr>
            </w:r>
          </w:p>
        </w:tc>
      </w:tr>
      <w:tr>
        <w:tblPrEx/>
        <w:trPr/>
        <w:tc>
          <w:tcPr>
            <w:tcW w:w="487" w:type="pct"/>
            <w:textDirection w:val="lrTb"/>
            <w:noWrap w:val="false"/>
          </w:tcPr>
          <w:p>
            <w:pPr>
              <w:pStyle w:val="1250"/>
              <w:numPr>
                <w:ilvl w:val="0"/>
                <w:numId w:val="41"/>
              </w:numPr>
              <w:contextualSpacing/>
              <w:ind w:left="0" w:firstLine="0"/>
              <w:rPr>
                <w:szCs w:val="20"/>
              </w:rPr>
            </w:pPr>
            <w:r>
              <w:rPr>
                <w:szCs w:val="20"/>
              </w:rPr>
            </w:r>
            <w:r>
              <w:rPr>
                <w:szCs w:val="20"/>
              </w:rPr>
            </w:r>
            <w:r>
              <w:rPr>
                <w:szCs w:val="20"/>
              </w:rPr>
            </w:r>
          </w:p>
        </w:tc>
        <w:tc>
          <w:tcPr>
            <w:tcW w:w="2708" w:type="pct"/>
            <w:textDirection w:val="lrTb"/>
            <w:noWrap w:val="false"/>
          </w:tcPr>
          <w:p>
            <w:pPr>
              <w:jc w:val="both"/>
              <w:rPr>
                <w:szCs w:val="20"/>
              </w:rPr>
            </w:pPr>
            <w:r>
              <w:rPr>
                <w:szCs w:val="20"/>
              </w:rPr>
              <w:t xml:space="preserve">Тип компенсирующих устройств</w:t>
            </w:r>
            <w:r>
              <w:rPr>
                <w:szCs w:val="20"/>
              </w:rPr>
            </w:r>
            <w:r>
              <w:rPr>
                <w:szCs w:val="20"/>
              </w:rPr>
            </w:r>
          </w:p>
        </w:tc>
        <w:tc>
          <w:tcPr>
            <w:tcW w:w="1805" w:type="pct"/>
            <w:textDirection w:val="lrTb"/>
            <w:noWrap w:val="false"/>
          </w:tcPr>
          <w:p>
            <w:pPr>
              <w:rPr>
                <w:szCs w:val="20"/>
              </w:rPr>
            </w:pPr>
            <w:r>
              <w:rPr>
                <w:szCs w:val="20"/>
              </w:rPr>
              <w:t xml:space="preserve">П-образные компенсаторы</w:t>
            </w:r>
            <w:r>
              <w:rPr>
                <w:szCs w:val="20"/>
              </w:rPr>
            </w:r>
            <w:r>
              <w:rPr>
                <w:szCs w:val="20"/>
              </w:rPr>
            </w:r>
          </w:p>
        </w:tc>
      </w:tr>
      <w:tr>
        <w:tblPrEx/>
        <w:trPr/>
        <w:tc>
          <w:tcPr>
            <w:tcW w:w="487" w:type="pct"/>
            <w:textDirection w:val="lrTb"/>
            <w:noWrap w:val="false"/>
          </w:tcPr>
          <w:p>
            <w:pPr>
              <w:pStyle w:val="1250"/>
              <w:numPr>
                <w:ilvl w:val="0"/>
                <w:numId w:val="41"/>
              </w:numPr>
              <w:contextualSpacing/>
              <w:ind w:left="0" w:firstLine="0"/>
              <w:rPr>
                <w:szCs w:val="20"/>
              </w:rPr>
            </w:pPr>
            <w:r>
              <w:rPr>
                <w:szCs w:val="20"/>
              </w:rPr>
            </w:r>
            <w:r>
              <w:rPr>
                <w:szCs w:val="20"/>
              </w:rPr>
            </w:r>
            <w:r>
              <w:rPr>
                <w:szCs w:val="20"/>
              </w:rPr>
            </w:r>
          </w:p>
        </w:tc>
        <w:tc>
          <w:tcPr>
            <w:tcW w:w="2708" w:type="pct"/>
            <w:textDirection w:val="lrTb"/>
            <w:noWrap w:val="false"/>
          </w:tcPr>
          <w:p>
            <w:pPr>
              <w:jc w:val="both"/>
              <w:rPr>
                <w:szCs w:val="20"/>
              </w:rPr>
            </w:pPr>
            <w:r>
              <w:rPr>
                <w:szCs w:val="20"/>
              </w:rPr>
              <w:t xml:space="preserve">Характеристика грунта</w:t>
            </w:r>
            <w:r>
              <w:rPr>
                <w:szCs w:val="20"/>
              </w:rPr>
            </w:r>
            <w:r>
              <w:rPr>
                <w:szCs w:val="20"/>
              </w:rPr>
            </w:r>
          </w:p>
        </w:tc>
        <w:tc>
          <w:tcPr>
            <w:tcW w:w="1805" w:type="pct"/>
            <w:textDirection w:val="lrTb"/>
            <w:noWrap w:val="false"/>
          </w:tcPr>
          <w:p>
            <w:pPr>
              <w:rPr>
                <w:szCs w:val="20"/>
              </w:rPr>
            </w:pPr>
            <w:r>
              <w:rPr>
                <w:szCs w:val="20"/>
              </w:rPr>
              <w:t xml:space="preserve">песчано-глинистый</w:t>
            </w:r>
            <w:r>
              <w:rPr>
                <w:szCs w:val="20"/>
              </w:rPr>
            </w:r>
            <w:r>
              <w:rPr>
                <w:szCs w:val="20"/>
              </w:rPr>
            </w:r>
          </w:p>
        </w:tc>
      </w:tr>
      <w:tr>
        <w:tblPrEx/>
        <w:trPr/>
        <w:tc>
          <w:tcPr>
            <w:tcW w:w="487" w:type="pct"/>
            <w:textDirection w:val="lrTb"/>
            <w:noWrap w:val="false"/>
          </w:tcPr>
          <w:p>
            <w:pPr>
              <w:pStyle w:val="1250"/>
              <w:numPr>
                <w:ilvl w:val="0"/>
                <w:numId w:val="41"/>
              </w:numPr>
              <w:contextualSpacing/>
              <w:ind w:left="0" w:firstLine="0"/>
              <w:rPr>
                <w:szCs w:val="20"/>
              </w:rPr>
            </w:pPr>
            <w:r>
              <w:rPr>
                <w:szCs w:val="20"/>
              </w:rPr>
            </w:r>
            <w:r>
              <w:rPr>
                <w:szCs w:val="20"/>
              </w:rPr>
            </w:r>
            <w:r>
              <w:rPr>
                <w:szCs w:val="20"/>
              </w:rPr>
            </w:r>
          </w:p>
        </w:tc>
        <w:tc>
          <w:tcPr>
            <w:tcW w:w="2708" w:type="pct"/>
            <w:textDirection w:val="lrTb"/>
            <w:noWrap w:val="false"/>
          </w:tcPr>
          <w:p>
            <w:pPr>
              <w:jc w:val="both"/>
              <w:rPr>
                <w:szCs w:val="20"/>
              </w:rPr>
            </w:pPr>
            <w:r>
              <w:rPr>
                <w:szCs w:val="20"/>
              </w:rPr>
              <w:t xml:space="preserve">Наименее надежный участок</w:t>
            </w:r>
            <w:r>
              <w:rPr>
                <w:szCs w:val="20"/>
              </w:rPr>
            </w:r>
            <w:r>
              <w:rPr>
                <w:szCs w:val="20"/>
              </w:rPr>
            </w:r>
          </w:p>
        </w:tc>
        <w:tc>
          <w:tcPr>
            <w:tcW w:w="1805" w:type="pct"/>
            <w:textDirection w:val="lrTb"/>
            <w:noWrap w:val="false"/>
          </w:tcPr>
          <w:p>
            <w:pPr>
              <w:rPr>
                <w:szCs w:val="20"/>
              </w:rPr>
            </w:pPr>
            <w:r>
              <w:rPr>
                <w:szCs w:val="20"/>
              </w:rPr>
              <w:t xml:space="preserve">магистральный</w:t>
            </w:r>
            <w:r>
              <w:rPr>
                <w:szCs w:val="20"/>
              </w:rPr>
            </w:r>
            <w:r>
              <w:rPr>
                <w:szCs w:val="20"/>
              </w:rPr>
            </w:r>
          </w:p>
        </w:tc>
      </w:tr>
      <w:tr>
        <w:tblPrEx/>
        <w:trPr/>
        <w:tc>
          <w:tcPr>
            <w:tcW w:w="487" w:type="pct"/>
            <w:textDirection w:val="lrTb"/>
            <w:noWrap w:val="false"/>
          </w:tcPr>
          <w:p>
            <w:pPr>
              <w:pStyle w:val="1250"/>
              <w:numPr>
                <w:ilvl w:val="0"/>
                <w:numId w:val="41"/>
              </w:numPr>
              <w:contextualSpacing/>
              <w:ind w:left="0" w:firstLine="0"/>
              <w:rPr>
                <w:szCs w:val="20"/>
              </w:rPr>
            </w:pPr>
            <w:r>
              <w:rPr>
                <w:szCs w:val="20"/>
              </w:rPr>
            </w:r>
            <w:r>
              <w:rPr>
                <w:szCs w:val="20"/>
              </w:rPr>
            </w:r>
            <w:r>
              <w:rPr>
                <w:szCs w:val="20"/>
              </w:rPr>
            </w:r>
          </w:p>
        </w:tc>
        <w:tc>
          <w:tcPr>
            <w:tcW w:w="2708" w:type="pct"/>
            <w:textDirection w:val="lrTb"/>
            <w:noWrap w:val="false"/>
          </w:tcPr>
          <w:p>
            <w:pPr>
              <w:jc w:val="both"/>
              <w:rPr>
                <w:szCs w:val="20"/>
              </w:rPr>
            </w:pPr>
            <w:r>
              <w:rPr>
                <w:szCs w:val="20"/>
              </w:rPr>
              <w:t xml:space="preserve">Материальная характеристика, м</w:t>
            </w:r>
            <w:r>
              <w:rPr>
                <w:szCs w:val="20"/>
                <w:vertAlign w:val="superscript"/>
              </w:rPr>
              <w:t xml:space="preserve">2</w:t>
            </w:r>
            <w:r>
              <w:rPr>
                <w:szCs w:val="20"/>
              </w:rPr>
            </w:r>
            <w:r>
              <w:rPr>
                <w:szCs w:val="20"/>
              </w:rPr>
            </w:r>
          </w:p>
        </w:tc>
        <w:tc>
          <w:tcPr>
            <w:tcW w:w="1805" w:type="pct"/>
            <w:textDirection w:val="lrTb"/>
            <w:noWrap w:val="false"/>
          </w:tcPr>
          <w:p>
            <w:pPr>
              <w:rPr>
                <w:szCs w:val="20"/>
              </w:rPr>
            </w:pPr>
            <w:r>
              <w:rPr>
                <w:szCs w:val="20"/>
              </w:rPr>
              <w:t xml:space="preserve">1411,037</w:t>
            </w:r>
            <w:r>
              <w:rPr>
                <w:szCs w:val="20"/>
              </w:rPr>
            </w:r>
            <w:r>
              <w:rPr>
                <w:szCs w:val="20"/>
              </w:rPr>
            </w:r>
          </w:p>
        </w:tc>
      </w:tr>
    </w:tbl>
    <w:p>
      <w:pPr>
        <w:rPr>
          <w:sz w:val="24"/>
          <w:szCs w:val="24"/>
        </w:rPr>
      </w:pPr>
      <w:r>
        <w:br w:type="page" w:clear="all"/>
      </w:r>
      <w:r>
        <w:rPr>
          <w:sz w:val="24"/>
          <w:szCs w:val="24"/>
        </w:rPr>
      </w:r>
      <w:r>
        <w:rPr>
          <w:sz w:val="24"/>
          <w:szCs w:val="24"/>
        </w:rPr>
      </w:r>
    </w:p>
    <w:p>
      <w:pPr>
        <w:pStyle w:val="1247"/>
        <w:ind w:left="118" w:right="111" w:firstLine="707"/>
        <w:jc w:val="right"/>
        <w:spacing w:before="115"/>
      </w:pPr>
      <w:r>
        <w:t xml:space="preserve">Таблица 1.3.3.2</w:t>
      </w:r>
      <w:r/>
    </w:p>
    <w:p>
      <w:pPr>
        <w:pStyle w:val="1247"/>
        <w:ind w:left="118" w:right="111" w:firstLine="707"/>
        <w:jc w:val="center"/>
        <w:spacing w:before="115"/>
      </w:pPr>
      <w:r>
        <w:t xml:space="preserve">Параметры тепловой сети от котельной р.п.  Юргамыш, ул. Железнодорожная, территория тягловой подстанции ОАО «РЖД»</w:t>
      </w:r>
      <w:r/>
    </w:p>
    <w:tbl>
      <w:tblPr>
        <w:tblStyle w:val="1257"/>
        <w:tblW w:w="4895" w:type="pct"/>
        <w:tblLook w:val="04A0" w:firstRow="1" w:lastRow="0" w:firstColumn="1" w:lastColumn="0" w:noHBand="0" w:noVBand="1"/>
      </w:tblPr>
      <w:tblGrid>
        <w:gridCol w:w="944"/>
        <w:gridCol w:w="5249"/>
        <w:gridCol w:w="3499"/>
      </w:tblGrid>
      <w:tr>
        <w:tblPrEx/>
        <w:trPr/>
        <w:tc>
          <w:tcPr>
            <w:tcW w:w="487" w:type="pct"/>
            <w:textDirection w:val="lrTb"/>
            <w:noWrap w:val="false"/>
          </w:tcPr>
          <w:p>
            <w:pPr>
              <w:jc w:val="both"/>
              <w:rPr>
                <w:szCs w:val="20"/>
              </w:rPr>
            </w:pPr>
            <w:r>
              <w:rPr>
                <w:szCs w:val="20"/>
              </w:rPr>
              <w:t xml:space="preserve">№ пп</w:t>
            </w:r>
            <w:r>
              <w:rPr>
                <w:szCs w:val="20"/>
              </w:rPr>
            </w:r>
            <w:r>
              <w:rPr>
                <w:szCs w:val="20"/>
              </w:rPr>
            </w:r>
          </w:p>
        </w:tc>
        <w:tc>
          <w:tcPr>
            <w:tcW w:w="2708" w:type="pct"/>
            <w:textDirection w:val="lrTb"/>
            <w:noWrap w:val="false"/>
          </w:tcPr>
          <w:p>
            <w:pPr>
              <w:rPr>
                <w:szCs w:val="20"/>
              </w:rPr>
            </w:pPr>
            <w:r>
              <w:rPr>
                <w:szCs w:val="20"/>
              </w:rPr>
              <w:t xml:space="preserve">Параметр</w:t>
            </w:r>
            <w:r>
              <w:rPr>
                <w:szCs w:val="20"/>
              </w:rPr>
            </w:r>
            <w:r>
              <w:rPr>
                <w:szCs w:val="20"/>
              </w:rPr>
            </w:r>
          </w:p>
        </w:tc>
        <w:tc>
          <w:tcPr>
            <w:tcW w:w="1805" w:type="pct"/>
            <w:textDirection w:val="lrTb"/>
            <w:noWrap w:val="false"/>
          </w:tcPr>
          <w:p>
            <w:pPr>
              <w:rPr>
                <w:szCs w:val="20"/>
              </w:rPr>
            </w:pPr>
            <w:r>
              <w:rPr>
                <w:szCs w:val="20"/>
              </w:rPr>
              <w:t xml:space="preserve">Характеристика, значение</w:t>
            </w:r>
            <w:r>
              <w:rPr>
                <w:szCs w:val="20"/>
              </w:rPr>
            </w:r>
            <w:r>
              <w:rPr>
                <w:szCs w:val="20"/>
              </w:rPr>
            </w:r>
          </w:p>
        </w:tc>
      </w:tr>
      <w:tr>
        <w:tblPrEx/>
        <w:trPr/>
        <w:tc>
          <w:tcPr>
            <w:tcW w:w="487" w:type="pct"/>
            <w:textDirection w:val="lrTb"/>
            <w:noWrap w:val="false"/>
          </w:tcPr>
          <w:p>
            <w:pPr>
              <w:pStyle w:val="1250"/>
              <w:numPr>
                <w:ilvl w:val="0"/>
                <w:numId w:val="42"/>
              </w:numPr>
              <w:contextualSpacing/>
              <w:ind w:left="0" w:firstLine="0"/>
              <w:rPr>
                <w:szCs w:val="20"/>
              </w:rPr>
            </w:pPr>
            <w:r>
              <w:rPr>
                <w:szCs w:val="20"/>
              </w:rPr>
            </w:r>
            <w:r>
              <w:rPr>
                <w:szCs w:val="20"/>
              </w:rPr>
            </w:r>
            <w:r>
              <w:rPr>
                <w:szCs w:val="20"/>
              </w:rPr>
            </w:r>
          </w:p>
        </w:tc>
        <w:tc>
          <w:tcPr>
            <w:tcW w:w="2708" w:type="pct"/>
            <w:textDirection w:val="lrTb"/>
            <w:noWrap w:val="false"/>
          </w:tcPr>
          <w:p>
            <w:pPr>
              <w:jc w:val="both"/>
              <w:rPr>
                <w:szCs w:val="20"/>
              </w:rPr>
            </w:pPr>
            <w:r>
              <w:rPr>
                <w:szCs w:val="20"/>
              </w:rPr>
              <w:t xml:space="preserve">Наружный диаметр, мм</w:t>
            </w:r>
            <w:r>
              <w:rPr>
                <w:szCs w:val="20"/>
              </w:rPr>
            </w:r>
            <w:r>
              <w:rPr>
                <w:szCs w:val="20"/>
              </w:rPr>
            </w:r>
          </w:p>
        </w:tc>
        <w:tc>
          <w:tcPr>
            <w:tcW w:w="1805" w:type="pct"/>
            <w:textDirection w:val="lrTb"/>
            <w:noWrap w:val="false"/>
          </w:tcPr>
          <w:p>
            <w:pPr>
              <w:rPr>
                <w:szCs w:val="20"/>
              </w:rPr>
            </w:pPr>
            <w:r>
              <w:rPr>
                <w:szCs w:val="20"/>
              </w:rPr>
              <w:t xml:space="preserve">89</w:t>
            </w:r>
            <w:r>
              <w:rPr>
                <w:szCs w:val="20"/>
              </w:rPr>
              <w:t xml:space="preserve">;</w:t>
            </w:r>
            <w:r>
              <w:rPr>
                <w:szCs w:val="20"/>
              </w:rPr>
              <w:t xml:space="preserve"> 76</w:t>
            </w:r>
            <w:r>
              <w:rPr>
                <w:szCs w:val="20"/>
              </w:rPr>
              <w:t xml:space="preserve">; </w:t>
            </w:r>
            <w:r>
              <w:rPr>
                <w:szCs w:val="20"/>
              </w:rPr>
              <w:t xml:space="preserve">57</w:t>
            </w:r>
            <w:r>
              <w:rPr>
                <w:szCs w:val="20"/>
              </w:rPr>
            </w:r>
            <w:r>
              <w:rPr>
                <w:szCs w:val="20"/>
              </w:rPr>
            </w:r>
          </w:p>
        </w:tc>
      </w:tr>
      <w:tr>
        <w:tblPrEx/>
        <w:trPr/>
        <w:tc>
          <w:tcPr>
            <w:tcW w:w="487" w:type="pct"/>
            <w:textDirection w:val="lrTb"/>
            <w:noWrap w:val="false"/>
          </w:tcPr>
          <w:p>
            <w:pPr>
              <w:pStyle w:val="1250"/>
              <w:numPr>
                <w:ilvl w:val="0"/>
                <w:numId w:val="42"/>
              </w:numPr>
              <w:contextualSpacing/>
              <w:ind w:left="0" w:firstLine="0"/>
              <w:rPr>
                <w:szCs w:val="20"/>
              </w:rPr>
            </w:pPr>
            <w:r>
              <w:rPr>
                <w:szCs w:val="20"/>
              </w:rPr>
            </w:r>
            <w:r>
              <w:rPr>
                <w:szCs w:val="20"/>
              </w:rPr>
            </w:r>
            <w:r>
              <w:rPr>
                <w:szCs w:val="20"/>
              </w:rPr>
            </w:r>
          </w:p>
        </w:tc>
        <w:tc>
          <w:tcPr>
            <w:tcW w:w="2708" w:type="pct"/>
            <w:textDirection w:val="lrTb"/>
            <w:noWrap w:val="false"/>
          </w:tcPr>
          <w:p>
            <w:pPr>
              <w:jc w:val="both"/>
              <w:rPr>
                <w:szCs w:val="20"/>
              </w:rPr>
            </w:pPr>
            <w:r>
              <w:rPr>
                <w:szCs w:val="20"/>
              </w:rPr>
              <w:t xml:space="preserve">Материал</w:t>
            </w:r>
            <w:r>
              <w:rPr>
                <w:szCs w:val="20"/>
              </w:rPr>
            </w:r>
            <w:r>
              <w:rPr>
                <w:szCs w:val="20"/>
              </w:rPr>
            </w:r>
          </w:p>
        </w:tc>
        <w:tc>
          <w:tcPr>
            <w:tcW w:w="1805" w:type="pct"/>
            <w:textDirection w:val="lrTb"/>
            <w:noWrap w:val="false"/>
          </w:tcPr>
          <w:p>
            <w:pPr>
              <w:rPr>
                <w:szCs w:val="20"/>
              </w:rPr>
            </w:pPr>
            <w:r>
              <w:rPr>
                <w:szCs w:val="20"/>
              </w:rPr>
              <w:t xml:space="preserve">сталь</w:t>
            </w:r>
            <w:r>
              <w:rPr>
                <w:szCs w:val="20"/>
              </w:rPr>
            </w:r>
            <w:r>
              <w:rPr>
                <w:szCs w:val="20"/>
              </w:rPr>
            </w:r>
          </w:p>
        </w:tc>
      </w:tr>
      <w:tr>
        <w:tblPrEx/>
        <w:trPr/>
        <w:tc>
          <w:tcPr>
            <w:tcW w:w="487" w:type="pct"/>
            <w:textDirection w:val="lrTb"/>
            <w:noWrap w:val="false"/>
          </w:tcPr>
          <w:p>
            <w:pPr>
              <w:pStyle w:val="1250"/>
              <w:numPr>
                <w:ilvl w:val="0"/>
                <w:numId w:val="42"/>
              </w:numPr>
              <w:contextualSpacing/>
              <w:ind w:left="0" w:firstLine="0"/>
              <w:rPr>
                <w:szCs w:val="20"/>
              </w:rPr>
            </w:pPr>
            <w:r>
              <w:rPr>
                <w:szCs w:val="20"/>
              </w:rPr>
            </w:r>
            <w:r>
              <w:rPr>
                <w:szCs w:val="20"/>
              </w:rPr>
            </w:r>
            <w:r>
              <w:rPr>
                <w:szCs w:val="20"/>
              </w:rPr>
            </w:r>
          </w:p>
        </w:tc>
        <w:tc>
          <w:tcPr>
            <w:tcW w:w="2708" w:type="pct"/>
            <w:textDirection w:val="lrTb"/>
            <w:noWrap w:val="false"/>
          </w:tcPr>
          <w:p>
            <w:pPr>
              <w:jc w:val="both"/>
              <w:rPr>
                <w:szCs w:val="20"/>
              </w:rPr>
            </w:pPr>
            <w:r>
              <w:rPr>
                <w:szCs w:val="20"/>
              </w:rPr>
              <w:t xml:space="preserve">Схема исполнения тепловой сети</w:t>
            </w:r>
            <w:r>
              <w:rPr>
                <w:szCs w:val="20"/>
              </w:rPr>
            </w:r>
            <w:r>
              <w:rPr>
                <w:szCs w:val="20"/>
              </w:rPr>
            </w:r>
          </w:p>
        </w:tc>
        <w:tc>
          <w:tcPr>
            <w:tcW w:w="1805" w:type="pct"/>
            <w:textDirection w:val="lrTb"/>
            <w:noWrap w:val="false"/>
          </w:tcPr>
          <w:p>
            <w:pPr>
              <w:ind w:left="-111" w:right="-105" w:firstLine="6"/>
              <w:rPr>
                <w:szCs w:val="20"/>
              </w:rPr>
            </w:pPr>
            <w:r>
              <w:rPr>
                <w:szCs w:val="20"/>
              </w:rPr>
              <w:t xml:space="preserve">двухтрубная</w:t>
            </w:r>
            <w:r>
              <w:rPr>
                <w:szCs w:val="20"/>
              </w:rPr>
            </w:r>
            <w:r>
              <w:rPr>
                <w:szCs w:val="20"/>
              </w:rPr>
            </w:r>
          </w:p>
        </w:tc>
      </w:tr>
      <w:tr>
        <w:tblPrEx/>
        <w:trPr/>
        <w:tc>
          <w:tcPr>
            <w:tcW w:w="487" w:type="pct"/>
            <w:textDirection w:val="lrTb"/>
            <w:noWrap w:val="false"/>
          </w:tcPr>
          <w:p>
            <w:pPr>
              <w:pStyle w:val="1250"/>
              <w:numPr>
                <w:ilvl w:val="0"/>
                <w:numId w:val="42"/>
              </w:numPr>
              <w:contextualSpacing/>
              <w:ind w:left="0" w:firstLine="0"/>
              <w:rPr>
                <w:szCs w:val="20"/>
              </w:rPr>
            </w:pPr>
            <w:r>
              <w:rPr>
                <w:szCs w:val="20"/>
              </w:rPr>
            </w:r>
            <w:r>
              <w:rPr>
                <w:szCs w:val="20"/>
              </w:rPr>
            </w:r>
            <w:r>
              <w:rPr>
                <w:szCs w:val="20"/>
              </w:rPr>
            </w:r>
          </w:p>
        </w:tc>
        <w:tc>
          <w:tcPr>
            <w:tcW w:w="2708" w:type="pct"/>
            <w:textDirection w:val="lrTb"/>
            <w:noWrap w:val="false"/>
          </w:tcPr>
          <w:p>
            <w:pPr>
              <w:jc w:val="both"/>
              <w:rPr>
                <w:szCs w:val="20"/>
              </w:rPr>
            </w:pPr>
            <w:r>
              <w:rPr>
                <w:szCs w:val="20"/>
              </w:rPr>
              <w:t xml:space="preserve">Конструкция</w:t>
            </w:r>
            <w:r>
              <w:rPr>
                <w:szCs w:val="20"/>
              </w:rPr>
            </w:r>
            <w:r>
              <w:rPr>
                <w:szCs w:val="20"/>
              </w:rPr>
            </w:r>
          </w:p>
        </w:tc>
        <w:tc>
          <w:tcPr>
            <w:tcW w:w="1805" w:type="pct"/>
            <w:textDirection w:val="lrTb"/>
            <w:noWrap w:val="false"/>
          </w:tcPr>
          <w:p>
            <w:pPr>
              <w:rPr>
                <w:szCs w:val="20"/>
              </w:rPr>
            </w:pPr>
            <w:r>
              <w:rPr>
                <w:szCs w:val="20"/>
              </w:rPr>
              <w:t xml:space="preserve">тупиковая</w:t>
            </w:r>
            <w:r>
              <w:rPr>
                <w:szCs w:val="20"/>
              </w:rPr>
            </w:r>
            <w:r>
              <w:rPr>
                <w:szCs w:val="20"/>
              </w:rPr>
            </w:r>
          </w:p>
        </w:tc>
      </w:tr>
      <w:tr>
        <w:tblPrEx/>
        <w:trPr/>
        <w:tc>
          <w:tcPr>
            <w:tcW w:w="487" w:type="pct"/>
            <w:textDirection w:val="lrTb"/>
            <w:noWrap w:val="false"/>
          </w:tcPr>
          <w:p>
            <w:pPr>
              <w:pStyle w:val="1250"/>
              <w:numPr>
                <w:ilvl w:val="0"/>
                <w:numId w:val="42"/>
              </w:numPr>
              <w:contextualSpacing/>
              <w:ind w:left="0" w:firstLine="0"/>
              <w:rPr>
                <w:szCs w:val="20"/>
              </w:rPr>
            </w:pPr>
            <w:r>
              <w:rPr>
                <w:szCs w:val="20"/>
              </w:rPr>
            </w:r>
            <w:r>
              <w:rPr>
                <w:szCs w:val="20"/>
              </w:rPr>
            </w:r>
            <w:r>
              <w:rPr>
                <w:szCs w:val="20"/>
              </w:rPr>
            </w:r>
          </w:p>
        </w:tc>
        <w:tc>
          <w:tcPr>
            <w:tcW w:w="2708" w:type="pct"/>
            <w:textDirection w:val="lrTb"/>
            <w:noWrap w:val="false"/>
          </w:tcPr>
          <w:p>
            <w:pPr>
              <w:jc w:val="both"/>
              <w:rPr>
                <w:szCs w:val="20"/>
              </w:rPr>
            </w:pPr>
            <w:r>
              <w:rPr>
                <w:szCs w:val="20"/>
              </w:rPr>
              <w:t xml:space="preserve">Степень резервируемости</w:t>
            </w:r>
            <w:r>
              <w:rPr>
                <w:szCs w:val="20"/>
              </w:rPr>
            </w:r>
            <w:r>
              <w:rPr>
                <w:szCs w:val="20"/>
              </w:rPr>
            </w:r>
          </w:p>
        </w:tc>
        <w:tc>
          <w:tcPr>
            <w:tcW w:w="1805" w:type="pct"/>
            <w:textDirection w:val="lrTb"/>
            <w:noWrap w:val="false"/>
          </w:tcPr>
          <w:p>
            <w:pPr>
              <w:rPr>
                <w:szCs w:val="20"/>
              </w:rPr>
            </w:pPr>
            <w:r>
              <w:rPr>
                <w:szCs w:val="20"/>
              </w:rPr>
              <w:t xml:space="preserve">нерезервированная</w:t>
            </w:r>
            <w:r>
              <w:rPr>
                <w:szCs w:val="20"/>
              </w:rPr>
            </w:r>
            <w:r>
              <w:rPr>
                <w:szCs w:val="20"/>
              </w:rPr>
            </w:r>
          </w:p>
        </w:tc>
      </w:tr>
      <w:tr>
        <w:tblPrEx/>
        <w:trPr/>
        <w:tc>
          <w:tcPr>
            <w:tcW w:w="487" w:type="pct"/>
            <w:textDirection w:val="lrTb"/>
            <w:noWrap w:val="false"/>
          </w:tcPr>
          <w:p>
            <w:pPr>
              <w:pStyle w:val="1250"/>
              <w:numPr>
                <w:ilvl w:val="0"/>
                <w:numId w:val="42"/>
              </w:numPr>
              <w:contextualSpacing/>
              <w:ind w:left="0" w:firstLine="0"/>
              <w:rPr>
                <w:szCs w:val="20"/>
              </w:rPr>
            </w:pPr>
            <w:r>
              <w:rPr>
                <w:szCs w:val="20"/>
              </w:rPr>
            </w:r>
            <w:r>
              <w:rPr>
                <w:szCs w:val="20"/>
              </w:rPr>
            </w:r>
            <w:r>
              <w:rPr>
                <w:szCs w:val="20"/>
              </w:rPr>
            </w:r>
          </w:p>
        </w:tc>
        <w:tc>
          <w:tcPr>
            <w:tcW w:w="2708" w:type="pct"/>
            <w:textDirection w:val="lrTb"/>
            <w:noWrap w:val="false"/>
          </w:tcPr>
          <w:p>
            <w:pPr>
              <w:jc w:val="both"/>
              <w:rPr>
                <w:szCs w:val="20"/>
              </w:rPr>
            </w:pPr>
            <w:r>
              <w:rPr>
                <w:szCs w:val="20"/>
              </w:rPr>
              <w:t xml:space="preserve">Количество магистральных выводов</w:t>
            </w:r>
            <w:r>
              <w:rPr>
                <w:szCs w:val="20"/>
              </w:rPr>
            </w:r>
            <w:r>
              <w:rPr>
                <w:szCs w:val="20"/>
              </w:rPr>
            </w:r>
          </w:p>
        </w:tc>
        <w:tc>
          <w:tcPr>
            <w:tcW w:w="1805" w:type="pct"/>
            <w:textDirection w:val="lrTb"/>
            <w:noWrap w:val="false"/>
          </w:tcPr>
          <w:p>
            <w:pPr>
              <w:rPr>
                <w:szCs w:val="20"/>
              </w:rPr>
            </w:pPr>
            <w:r>
              <w:rPr>
                <w:szCs w:val="20"/>
              </w:rPr>
              <w:t xml:space="preserve">2</w:t>
            </w:r>
            <w:r>
              <w:rPr>
                <w:szCs w:val="20"/>
              </w:rPr>
            </w:r>
            <w:r>
              <w:rPr>
                <w:szCs w:val="20"/>
              </w:rPr>
            </w:r>
          </w:p>
        </w:tc>
      </w:tr>
      <w:tr>
        <w:tblPrEx/>
        <w:trPr/>
        <w:tc>
          <w:tcPr>
            <w:tcW w:w="487" w:type="pct"/>
            <w:textDirection w:val="lrTb"/>
            <w:noWrap w:val="false"/>
          </w:tcPr>
          <w:p>
            <w:pPr>
              <w:pStyle w:val="1250"/>
              <w:numPr>
                <w:ilvl w:val="0"/>
                <w:numId w:val="42"/>
              </w:numPr>
              <w:contextualSpacing/>
              <w:ind w:left="0" w:firstLine="0"/>
              <w:rPr>
                <w:szCs w:val="20"/>
              </w:rPr>
            </w:pPr>
            <w:r>
              <w:rPr>
                <w:szCs w:val="20"/>
              </w:rPr>
            </w:r>
            <w:r>
              <w:rPr>
                <w:szCs w:val="20"/>
              </w:rPr>
            </w:r>
            <w:r>
              <w:rPr>
                <w:szCs w:val="20"/>
              </w:rPr>
            </w:r>
          </w:p>
        </w:tc>
        <w:tc>
          <w:tcPr>
            <w:tcW w:w="2708" w:type="pct"/>
            <w:textDirection w:val="lrTb"/>
            <w:noWrap w:val="false"/>
          </w:tcPr>
          <w:p>
            <w:pPr>
              <w:jc w:val="both"/>
              <w:rPr>
                <w:szCs w:val="20"/>
              </w:rPr>
            </w:pPr>
            <w:r>
              <w:rPr>
                <w:szCs w:val="20"/>
              </w:rPr>
              <w:t xml:space="preserve">Общая протяженность сетей, п.м</w:t>
            </w:r>
            <w:r>
              <w:rPr>
                <w:szCs w:val="20"/>
              </w:rPr>
            </w:r>
            <w:r>
              <w:rPr>
                <w:szCs w:val="20"/>
              </w:rPr>
            </w:r>
          </w:p>
        </w:tc>
        <w:tc>
          <w:tcPr>
            <w:tcW w:w="1805" w:type="pct"/>
            <w:textDirection w:val="lrTb"/>
            <w:noWrap w:val="false"/>
          </w:tcPr>
          <w:p>
            <w:pPr>
              <w:rPr>
                <w:szCs w:val="20"/>
              </w:rPr>
            </w:pPr>
            <w:r>
              <w:rPr>
                <w:szCs w:val="20"/>
              </w:rPr>
              <w:t xml:space="preserve">618</w:t>
            </w:r>
            <w:r>
              <w:rPr>
                <w:szCs w:val="20"/>
              </w:rPr>
            </w:r>
            <w:r>
              <w:rPr>
                <w:szCs w:val="20"/>
              </w:rPr>
            </w:r>
          </w:p>
        </w:tc>
      </w:tr>
      <w:tr>
        <w:tblPrEx/>
        <w:trPr/>
        <w:tc>
          <w:tcPr>
            <w:tcW w:w="487" w:type="pct"/>
            <w:textDirection w:val="lrTb"/>
            <w:noWrap w:val="false"/>
          </w:tcPr>
          <w:p>
            <w:pPr>
              <w:pStyle w:val="1250"/>
              <w:numPr>
                <w:ilvl w:val="0"/>
                <w:numId w:val="42"/>
              </w:numPr>
              <w:contextualSpacing/>
              <w:ind w:left="0" w:firstLine="0"/>
              <w:rPr>
                <w:szCs w:val="20"/>
              </w:rPr>
            </w:pPr>
            <w:r>
              <w:rPr>
                <w:szCs w:val="20"/>
              </w:rPr>
            </w:r>
            <w:r>
              <w:rPr>
                <w:szCs w:val="20"/>
              </w:rPr>
            </w:r>
            <w:r>
              <w:rPr>
                <w:szCs w:val="20"/>
              </w:rPr>
            </w:r>
          </w:p>
        </w:tc>
        <w:tc>
          <w:tcPr>
            <w:tcW w:w="2708" w:type="pct"/>
            <w:textDirection w:val="lrTb"/>
            <w:noWrap w:val="false"/>
          </w:tcPr>
          <w:p>
            <w:pPr>
              <w:jc w:val="both"/>
              <w:rPr>
                <w:szCs w:val="20"/>
              </w:rPr>
            </w:pPr>
            <w:r>
              <w:rPr>
                <w:szCs w:val="20"/>
              </w:rPr>
              <w:t xml:space="preserve">Высота расположения / глубина заложения тепловых сетей, м</w:t>
            </w:r>
            <w:r>
              <w:rPr>
                <w:szCs w:val="20"/>
              </w:rPr>
            </w:r>
            <w:r>
              <w:rPr>
                <w:szCs w:val="20"/>
              </w:rPr>
            </w:r>
          </w:p>
        </w:tc>
        <w:tc>
          <w:tcPr>
            <w:tcW w:w="1805" w:type="pct"/>
            <w:textDirection w:val="lrTb"/>
            <w:noWrap w:val="false"/>
          </w:tcPr>
          <w:p>
            <w:pPr>
              <w:rPr>
                <w:szCs w:val="20"/>
              </w:rPr>
            </w:pPr>
            <w:r>
              <w:rPr>
                <w:szCs w:val="20"/>
              </w:rPr>
              <w:t xml:space="preserve">1,5/0,5</w:t>
            </w:r>
            <w:r>
              <w:rPr>
                <w:szCs w:val="20"/>
              </w:rPr>
            </w:r>
            <w:r>
              <w:rPr>
                <w:szCs w:val="20"/>
              </w:rPr>
            </w:r>
          </w:p>
        </w:tc>
      </w:tr>
      <w:tr>
        <w:tblPrEx/>
        <w:trPr/>
        <w:tc>
          <w:tcPr>
            <w:tcW w:w="487" w:type="pct"/>
            <w:textDirection w:val="lrTb"/>
            <w:noWrap w:val="false"/>
          </w:tcPr>
          <w:p>
            <w:pPr>
              <w:pStyle w:val="1250"/>
              <w:numPr>
                <w:ilvl w:val="0"/>
                <w:numId w:val="42"/>
              </w:numPr>
              <w:contextualSpacing/>
              <w:ind w:left="0" w:firstLine="0"/>
              <w:rPr>
                <w:szCs w:val="20"/>
              </w:rPr>
            </w:pPr>
            <w:r>
              <w:rPr>
                <w:szCs w:val="20"/>
              </w:rPr>
            </w:r>
            <w:r>
              <w:rPr>
                <w:szCs w:val="20"/>
              </w:rPr>
            </w:r>
            <w:r>
              <w:rPr>
                <w:szCs w:val="20"/>
              </w:rPr>
            </w:r>
          </w:p>
        </w:tc>
        <w:tc>
          <w:tcPr>
            <w:tcW w:w="2708" w:type="pct"/>
            <w:textDirection w:val="lrTb"/>
            <w:noWrap w:val="false"/>
          </w:tcPr>
          <w:p>
            <w:pPr>
              <w:jc w:val="both"/>
              <w:rPr>
                <w:szCs w:val="20"/>
              </w:rPr>
            </w:pPr>
            <w:r>
              <w:rPr>
                <w:szCs w:val="20"/>
              </w:rPr>
              <w:t xml:space="preserve">Год начала эксплуатации</w:t>
            </w:r>
            <w:r>
              <w:rPr>
                <w:szCs w:val="20"/>
              </w:rPr>
            </w:r>
            <w:r>
              <w:rPr>
                <w:szCs w:val="20"/>
              </w:rPr>
            </w:r>
          </w:p>
        </w:tc>
        <w:tc>
          <w:tcPr>
            <w:tcW w:w="1805" w:type="pct"/>
            <w:textDirection w:val="lrTb"/>
            <w:noWrap w:val="false"/>
          </w:tcPr>
          <w:p>
            <w:pPr>
              <w:rPr>
                <w:szCs w:val="20"/>
              </w:rPr>
            </w:pPr>
            <w:r>
              <w:rPr>
                <w:szCs w:val="20"/>
              </w:rPr>
              <w:t xml:space="preserve">1967</w:t>
            </w:r>
            <w:r>
              <w:rPr>
                <w:szCs w:val="20"/>
              </w:rPr>
            </w:r>
            <w:r>
              <w:rPr>
                <w:szCs w:val="20"/>
              </w:rPr>
            </w:r>
          </w:p>
        </w:tc>
      </w:tr>
      <w:tr>
        <w:tblPrEx/>
        <w:trPr/>
        <w:tc>
          <w:tcPr>
            <w:tcW w:w="487" w:type="pct"/>
            <w:textDirection w:val="lrTb"/>
            <w:noWrap w:val="false"/>
          </w:tcPr>
          <w:p>
            <w:pPr>
              <w:pStyle w:val="1250"/>
              <w:numPr>
                <w:ilvl w:val="0"/>
                <w:numId w:val="42"/>
              </w:numPr>
              <w:contextualSpacing/>
              <w:ind w:left="0" w:firstLine="0"/>
              <w:rPr>
                <w:szCs w:val="20"/>
              </w:rPr>
            </w:pPr>
            <w:r>
              <w:rPr>
                <w:szCs w:val="20"/>
              </w:rPr>
            </w:r>
            <w:r>
              <w:rPr>
                <w:szCs w:val="20"/>
              </w:rPr>
            </w:r>
            <w:r>
              <w:rPr>
                <w:szCs w:val="20"/>
              </w:rPr>
            </w:r>
          </w:p>
        </w:tc>
        <w:tc>
          <w:tcPr>
            <w:tcW w:w="2708" w:type="pct"/>
            <w:textDirection w:val="lrTb"/>
            <w:noWrap w:val="false"/>
          </w:tcPr>
          <w:p>
            <w:pPr>
              <w:jc w:val="both"/>
              <w:rPr>
                <w:szCs w:val="20"/>
              </w:rPr>
            </w:pPr>
            <w:r>
              <w:rPr>
                <w:szCs w:val="20"/>
              </w:rPr>
              <w:t xml:space="preserve">Тип изоляции</w:t>
            </w:r>
            <w:r>
              <w:rPr>
                <w:szCs w:val="20"/>
              </w:rPr>
            </w:r>
            <w:r>
              <w:rPr>
                <w:szCs w:val="20"/>
              </w:rPr>
            </w:r>
          </w:p>
        </w:tc>
        <w:tc>
          <w:tcPr>
            <w:tcW w:w="1805" w:type="pct"/>
            <w:textDirection w:val="lrTb"/>
            <w:noWrap w:val="false"/>
          </w:tcPr>
          <w:p>
            <w:pPr>
              <w:rPr>
                <w:szCs w:val="20"/>
              </w:rPr>
            </w:pPr>
            <w:r>
              <w:rPr>
                <w:szCs w:val="20"/>
              </w:rPr>
              <w:t xml:space="preserve">минеральная вата; гидроизоляция</w:t>
            </w:r>
            <w:r>
              <w:rPr>
                <w:szCs w:val="20"/>
              </w:rPr>
            </w:r>
            <w:r>
              <w:rPr>
                <w:szCs w:val="20"/>
              </w:rPr>
            </w:r>
          </w:p>
        </w:tc>
      </w:tr>
      <w:tr>
        <w:tblPrEx/>
        <w:trPr/>
        <w:tc>
          <w:tcPr>
            <w:tcW w:w="487" w:type="pct"/>
            <w:textDirection w:val="lrTb"/>
            <w:noWrap w:val="false"/>
          </w:tcPr>
          <w:p>
            <w:pPr>
              <w:pStyle w:val="1250"/>
              <w:numPr>
                <w:ilvl w:val="0"/>
                <w:numId w:val="42"/>
              </w:numPr>
              <w:contextualSpacing/>
              <w:ind w:left="0" w:firstLine="0"/>
              <w:rPr>
                <w:szCs w:val="20"/>
              </w:rPr>
            </w:pPr>
            <w:r>
              <w:rPr>
                <w:szCs w:val="20"/>
              </w:rPr>
            </w:r>
            <w:r>
              <w:rPr>
                <w:szCs w:val="20"/>
              </w:rPr>
            </w:r>
            <w:r>
              <w:rPr>
                <w:szCs w:val="20"/>
              </w:rPr>
            </w:r>
          </w:p>
        </w:tc>
        <w:tc>
          <w:tcPr>
            <w:tcW w:w="2708" w:type="pct"/>
            <w:textDirection w:val="lrTb"/>
            <w:noWrap w:val="false"/>
          </w:tcPr>
          <w:p>
            <w:pPr>
              <w:jc w:val="both"/>
              <w:rPr>
                <w:szCs w:val="20"/>
              </w:rPr>
            </w:pPr>
            <w:r>
              <w:rPr>
                <w:szCs w:val="20"/>
              </w:rPr>
              <w:t xml:space="preserve">Тип прокладки</w:t>
            </w:r>
            <w:r>
              <w:rPr>
                <w:szCs w:val="20"/>
              </w:rPr>
            </w:r>
            <w:r>
              <w:rPr>
                <w:szCs w:val="20"/>
              </w:rPr>
            </w:r>
          </w:p>
        </w:tc>
        <w:tc>
          <w:tcPr>
            <w:tcW w:w="1805" w:type="pct"/>
            <w:textDirection w:val="lrTb"/>
            <w:noWrap w:val="false"/>
          </w:tcPr>
          <w:p>
            <w:pPr>
              <w:rPr>
                <w:szCs w:val="20"/>
              </w:rPr>
            </w:pPr>
            <w:r>
              <w:rPr>
                <w:szCs w:val="20"/>
              </w:rPr>
              <w:t xml:space="preserve">воздушная на низких опорах;</w:t>
            </w:r>
            <w:r>
              <w:rPr>
                <w:szCs w:val="20"/>
              </w:rPr>
            </w:r>
            <w:r>
              <w:rPr>
                <w:szCs w:val="20"/>
              </w:rPr>
            </w:r>
          </w:p>
          <w:p>
            <w:pPr>
              <w:rPr>
                <w:szCs w:val="20"/>
              </w:rPr>
            </w:pPr>
            <w:r>
              <w:rPr>
                <w:szCs w:val="20"/>
              </w:rPr>
              <w:t xml:space="preserve">подземная канальная</w:t>
            </w:r>
            <w:r>
              <w:rPr>
                <w:szCs w:val="20"/>
              </w:rPr>
            </w:r>
            <w:r>
              <w:rPr>
                <w:szCs w:val="20"/>
              </w:rPr>
            </w:r>
          </w:p>
        </w:tc>
      </w:tr>
      <w:tr>
        <w:tblPrEx/>
        <w:trPr/>
        <w:tc>
          <w:tcPr>
            <w:tcW w:w="487" w:type="pct"/>
            <w:textDirection w:val="lrTb"/>
            <w:noWrap w:val="false"/>
          </w:tcPr>
          <w:p>
            <w:pPr>
              <w:pStyle w:val="1250"/>
              <w:numPr>
                <w:ilvl w:val="0"/>
                <w:numId w:val="42"/>
              </w:numPr>
              <w:contextualSpacing/>
              <w:ind w:left="0" w:firstLine="0"/>
              <w:rPr>
                <w:szCs w:val="20"/>
              </w:rPr>
            </w:pPr>
            <w:r>
              <w:rPr>
                <w:szCs w:val="20"/>
              </w:rPr>
            </w:r>
            <w:r>
              <w:rPr>
                <w:szCs w:val="20"/>
              </w:rPr>
            </w:r>
            <w:r>
              <w:rPr>
                <w:szCs w:val="20"/>
              </w:rPr>
            </w:r>
          </w:p>
        </w:tc>
        <w:tc>
          <w:tcPr>
            <w:tcW w:w="2708" w:type="pct"/>
            <w:textDirection w:val="lrTb"/>
            <w:noWrap w:val="false"/>
          </w:tcPr>
          <w:p>
            <w:pPr>
              <w:jc w:val="both"/>
              <w:rPr>
                <w:szCs w:val="20"/>
              </w:rPr>
            </w:pPr>
            <w:r>
              <w:rPr>
                <w:szCs w:val="20"/>
              </w:rPr>
              <w:t xml:space="preserve">Тип компенсирующих устройств</w:t>
            </w:r>
            <w:r>
              <w:rPr>
                <w:szCs w:val="20"/>
              </w:rPr>
            </w:r>
            <w:r>
              <w:rPr>
                <w:szCs w:val="20"/>
              </w:rPr>
            </w:r>
          </w:p>
        </w:tc>
        <w:tc>
          <w:tcPr>
            <w:tcW w:w="1805" w:type="pct"/>
            <w:textDirection w:val="lrTb"/>
            <w:noWrap w:val="false"/>
          </w:tcPr>
          <w:p>
            <w:pPr>
              <w:rPr>
                <w:szCs w:val="20"/>
              </w:rPr>
            </w:pPr>
            <w:r>
              <w:rPr>
                <w:szCs w:val="20"/>
              </w:rPr>
              <w:t xml:space="preserve">П-образные компенсаторы</w:t>
            </w:r>
            <w:r>
              <w:rPr>
                <w:szCs w:val="20"/>
              </w:rPr>
            </w:r>
            <w:r>
              <w:rPr>
                <w:szCs w:val="20"/>
              </w:rPr>
            </w:r>
          </w:p>
        </w:tc>
      </w:tr>
      <w:tr>
        <w:tblPrEx/>
        <w:trPr/>
        <w:tc>
          <w:tcPr>
            <w:tcW w:w="487" w:type="pct"/>
            <w:textDirection w:val="lrTb"/>
            <w:noWrap w:val="false"/>
          </w:tcPr>
          <w:p>
            <w:pPr>
              <w:pStyle w:val="1250"/>
              <w:numPr>
                <w:ilvl w:val="0"/>
                <w:numId w:val="42"/>
              </w:numPr>
              <w:contextualSpacing/>
              <w:ind w:left="0" w:firstLine="0"/>
              <w:rPr>
                <w:szCs w:val="20"/>
              </w:rPr>
            </w:pPr>
            <w:r>
              <w:rPr>
                <w:szCs w:val="20"/>
              </w:rPr>
            </w:r>
            <w:r>
              <w:rPr>
                <w:szCs w:val="20"/>
              </w:rPr>
            </w:r>
            <w:r>
              <w:rPr>
                <w:szCs w:val="20"/>
              </w:rPr>
            </w:r>
          </w:p>
        </w:tc>
        <w:tc>
          <w:tcPr>
            <w:tcW w:w="2708" w:type="pct"/>
            <w:textDirection w:val="lrTb"/>
            <w:noWrap w:val="false"/>
          </w:tcPr>
          <w:p>
            <w:pPr>
              <w:jc w:val="both"/>
              <w:rPr>
                <w:szCs w:val="20"/>
              </w:rPr>
            </w:pPr>
            <w:r>
              <w:rPr>
                <w:szCs w:val="20"/>
              </w:rPr>
              <w:t xml:space="preserve">Характеристика грунта</w:t>
            </w:r>
            <w:r>
              <w:rPr>
                <w:szCs w:val="20"/>
              </w:rPr>
            </w:r>
            <w:r>
              <w:rPr>
                <w:szCs w:val="20"/>
              </w:rPr>
            </w:r>
          </w:p>
        </w:tc>
        <w:tc>
          <w:tcPr>
            <w:tcW w:w="1805" w:type="pct"/>
            <w:textDirection w:val="lrTb"/>
            <w:noWrap w:val="false"/>
          </w:tcPr>
          <w:p>
            <w:pPr>
              <w:rPr>
                <w:szCs w:val="20"/>
              </w:rPr>
            </w:pPr>
            <w:r>
              <w:rPr>
                <w:szCs w:val="20"/>
              </w:rPr>
              <w:t xml:space="preserve">песчано-глинистый</w:t>
            </w:r>
            <w:r>
              <w:rPr>
                <w:szCs w:val="20"/>
              </w:rPr>
            </w:r>
            <w:r>
              <w:rPr>
                <w:szCs w:val="20"/>
              </w:rPr>
            </w:r>
          </w:p>
        </w:tc>
      </w:tr>
      <w:tr>
        <w:tblPrEx/>
        <w:trPr/>
        <w:tc>
          <w:tcPr>
            <w:tcW w:w="487" w:type="pct"/>
            <w:textDirection w:val="lrTb"/>
            <w:noWrap w:val="false"/>
          </w:tcPr>
          <w:p>
            <w:pPr>
              <w:pStyle w:val="1250"/>
              <w:numPr>
                <w:ilvl w:val="0"/>
                <w:numId w:val="42"/>
              </w:numPr>
              <w:contextualSpacing/>
              <w:ind w:left="0" w:firstLine="0"/>
              <w:rPr>
                <w:szCs w:val="20"/>
              </w:rPr>
            </w:pPr>
            <w:r>
              <w:rPr>
                <w:szCs w:val="20"/>
              </w:rPr>
            </w:r>
            <w:r>
              <w:rPr>
                <w:szCs w:val="20"/>
              </w:rPr>
            </w:r>
            <w:r>
              <w:rPr>
                <w:szCs w:val="20"/>
              </w:rPr>
            </w:r>
          </w:p>
        </w:tc>
        <w:tc>
          <w:tcPr>
            <w:tcW w:w="2708" w:type="pct"/>
            <w:textDirection w:val="lrTb"/>
            <w:noWrap w:val="false"/>
          </w:tcPr>
          <w:p>
            <w:pPr>
              <w:jc w:val="both"/>
              <w:rPr>
                <w:szCs w:val="20"/>
              </w:rPr>
            </w:pPr>
            <w:r>
              <w:rPr>
                <w:szCs w:val="20"/>
              </w:rPr>
              <w:t xml:space="preserve">Наименее надежный участок</w:t>
            </w:r>
            <w:r>
              <w:rPr>
                <w:szCs w:val="20"/>
              </w:rPr>
            </w:r>
            <w:r>
              <w:rPr>
                <w:szCs w:val="20"/>
              </w:rPr>
            </w:r>
          </w:p>
        </w:tc>
        <w:tc>
          <w:tcPr>
            <w:tcW w:w="1805" w:type="pct"/>
            <w:textDirection w:val="lrTb"/>
            <w:noWrap w:val="false"/>
          </w:tcPr>
          <w:p>
            <w:pPr>
              <w:rPr>
                <w:szCs w:val="20"/>
              </w:rPr>
            </w:pPr>
            <w:r>
              <w:rPr>
                <w:szCs w:val="20"/>
              </w:rPr>
              <w:t xml:space="preserve">магистральный</w:t>
            </w:r>
            <w:r>
              <w:rPr>
                <w:szCs w:val="20"/>
              </w:rPr>
            </w:r>
            <w:r>
              <w:rPr>
                <w:szCs w:val="20"/>
              </w:rPr>
            </w:r>
          </w:p>
        </w:tc>
      </w:tr>
      <w:tr>
        <w:tblPrEx/>
        <w:trPr/>
        <w:tc>
          <w:tcPr>
            <w:tcW w:w="487" w:type="pct"/>
            <w:textDirection w:val="lrTb"/>
            <w:noWrap w:val="false"/>
          </w:tcPr>
          <w:p>
            <w:pPr>
              <w:pStyle w:val="1250"/>
              <w:numPr>
                <w:ilvl w:val="0"/>
                <w:numId w:val="42"/>
              </w:numPr>
              <w:contextualSpacing/>
              <w:ind w:left="0" w:firstLine="0"/>
              <w:rPr>
                <w:szCs w:val="20"/>
              </w:rPr>
            </w:pPr>
            <w:r>
              <w:rPr>
                <w:szCs w:val="20"/>
              </w:rPr>
            </w:r>
            <w:r>
              <w:rPr>
                <w:szCs w:val="20"/>
              </w:rPr>
            </w:r>
            <w:r>
              <w:rPr>
                <w:szCs w:val="20"/>
              </w:rPr>
            </w:r>
          </w:p>
        </w:tc>
        <w:tc>
          <w:tcPr>
            <w:tcW w:w="2708" w:type="pct"/>
            <w:textDirection w:val="lrTb"/>
            <w:noWrap w:val="false"/>
          </w:tcPr>
          <w:p>
            <w:pPr>
              <w:jc w:val="both"/>
              <w:rPr>
                <w:szCs w:val="20"/>
              </w:rPr>
            </w:pPr>
            <w:r>
              <w:rPr>
                <w:szCs w:val="20"/>
              </w:rPr>
              <w:t xml:space="preserve">Материальная характеристика, м</w:t>
            </w:r>
            <w:r>
              <w:rPr>
                <w:szCs w:val="20"/>
                <w:vertAlign w:val="superscript"/>
              </w:rPr>
              <w:t xml:space="preserve">2</w:t>
            </w:r>
            <w:r>
              <w:rPr>
                <w:szCs w:val="20"/>
              </w:rPr>
            </w:r>
            <w:r>
              <w:rPr>
                <w:szCs w:val="20"/>
              </w:rPr>
            </w:r>
          </w:p>
        </w:tc>
        <w:tc>
          <w:tcPr>
            <w:tcW w:w="1805" w:type="pct"/>
            <w:textDirection w:val="lrTb"/>
            <w:noWrap w:val="false"/>
          </w:tcPr>
          <w:p>
            <w:pPr>
              <w:rPr>
                <w:szCs w:val="20"/>
              </w:rPr>
            </w:pPr>
            <w:r>
              <w:rPr>
                <w:szCs w:val="20"/>
              </w:rPr>
              <w:t xml:space="preserve">69,12</w:t>
            </w:r>
            <w:r>
              <w:rPr>
                <w:szCs w:val="20"/>
              </w:rPr>
            </w:r>
            <w:r>
              <w:rPr>
                <w:szCs w:val="20"/>
              </w:rPr>
            </w:r>
          </w:p>
        </w:tc>
      </w:tr>
    </w:tbl>
    <w:p>
      <w:pPr>
        <w:pStyle w:val="1247"/>
        <w:ind w:left="118" w:right="111" w:firstLine="707"/>
        <w:jc w:val="right"/>
        <w:spacing w:before="115"/>
      </w:pPr>
      <w:r>
        <w:t xml:space="preserve">Таблица 1.3.3.3</w:t>
      </w:r>
      <w:r/>
    </w:p>
    <w:p>
      <w:pPr>
        <w:pStyle w:val="1247"/>
        <w:ind w:left="118" w:right="111" w:firstLine="707"/>
        <w:jc w:val="center"/>
        <w:spacing w:before="115"/>
      </w:pPr>
      <w:r>
        <w:t xml:space="preserve">Параметры тепловой сети от котельной ФКУ ИК №7 УФСИН России по Курганской области, Курганская область, р.п. Юргамыш, ул. Труда, 147</w:t>
      </w:r>
      <w:r/>
    </w:p>
    <w:tbl>
      <w:tblPr>
        <w:tblStyle w:val="1257"/>
        <w:tblW w:w="4895" w:type="pct"/>
        <w:tblLook w:val="04A0" w:firstRow="1" w:lastRow="0" w:firstColumn="1" w:lastColumn="0" w:noHBand="0" w:noVBand="1"/>
      </w:tblPr>
      <w:tblGrid>
        <w:gridCol w:w="944"/>
        <w:gridCol w:w="5249"/>
        <w:gridCol w:w="3499"/>
      </w:tblGrid>
      <w:tr>
        <w:tblPrEx/>
        <w:trPr/>
        <w:tc>
          <w:tcPr>
            <w:tcW w:w="487" w:type="pct"/>
            <w:textDirection w:val="lrTb"/>
            <w:noWrap w:val="false"/>
          </w:tcPr>
          <w:p>
            <w:pPr>
              <w:jc w:val="both"/>
              <w:rPr>
                <w:szCs w:val="20"/>
              </w:rPr>
            </w:pPr>
            <w:r>
              <w:rPr>
                <w:szCs w:val="20"/>
              </w:rPr>
              <w:t xml:space="preserve">№ пп</w:t>
            </w:r>
            <w:r>
              <w:rPr>
                <w:szCs w:val="20"/>
              </w:rPr>
            </w:r>
            <w:r>
              <w:rPr>
                <w:szCs w:val="20"/>
              </w:rPr>
            </w:r>
          </w:p>
        </w:tc>
        <w:tc>
          <w:tcPr>
            <w:tcW w:w="2708" w:type="pct"/>
            <w:textDirection w:val="lrTb"/>
            <w:noWrap w:val="false"/>
          </w:tcPr>
          <w:p>
            <w:pPr>
              <w:rPr>
                <w:szCs w:val="20"/>
              </w:rPr>
            </w:pPr>
            <w:r>
              <w:rPr>
                <w:szCs w:val="20"/>
              </w:rPr>
              <w:t xml:space="preserve">Параметр</w:t>
            </w:r>
            <w:r>
              <w:rPr>
                <w:szCs w:val="20"/>
              </w:rPr>
            </w:r>
            <w:r>
              <w:rPr>
                <w:szCs w:val="20"/>
              </w:rPr>
            </w:r>
          </w:p>
        </w:tc>
        <w:tc>
          <w:tcPr>
            <w:tcW w:w="1805" w:type="pct"/>
            <w:textDirection w:val="lrTb"/>
            <w:noWrap w:val="false"/>
          </w:tcPr>
          <w:p>
            <w:pPr>
              <w:rPr>
                <w:szCs w:val="20"/>
              </w:rPr>
            </w:pPr>
            <w:r>
              <w:rPr>
                <w:szCs w:val="20"/>
              </w:rPr>
              <w:t xml:space="preserve">Характеристика, значение</w:t>
            </w:r>
            <w:r>
              <w:rPr>
                <w:szCs w:val="20"/>
              </w:rPr>
            </w:r>
            <w:r>
              <w:rPr>
                <w:szCs w:val="20"/>
              </w:rPr>
            </w:r>
          </w:p>
        </w:tc>
      </w:tr>
      <w:tr>
        <w:tblPrEx/>
        <w:trPr/>
        <w:tc>
          <w:tcPr>
            <w:tcW w:w="487" w:type="pct"/>
            <w:textDirection w:val="lrTb"/>
            <w:noWrap w:val="false"/>
          </w:tcPr>
          <w:p>
            <w:pPr>
              <w:pStyle w:val="1250"/>
              <w:numPr>
                <w:ilvl w:val="0"/>
                <w:numId w:val="43"/>
              </w:numPr>
              <w:contextualSpacing/>
              <w:ind w:hanging="747"/>
              <w:jc w:val="left"/>
              <w:rPr>
                <w:szCs w:val="20"/>
              </w:rPr>
            </w:pPr>
            <w:r>
              <w:rPr>
                <w:szCs w:val="20"/>
              </w:rPr>
            </w:r>
            <w:r>
              <w:rPr>
                <w:szCs w:val="20"/>
              </w:rPr>
            </w:r>
            <w:r>
              <w:rPr>
                <w:szCs w:val="20"/>
              </w:rPr>
            </w:r>
          </w:p>
        </w:tc>
        <w:tc>
          <w:tcPr>
            <w:tcW w:w="2708" w:type="pct"/>
            <w:textDirection w:val="lrTb"/>
            <w:noWrap w:val="false"/>
          </w:tcPr>
          <w:p>
            <w:pPr>
              <w:jc w:val="both"/>
              <w:rPr>
                <w:szCs w:val="20"/>
              </w:rPr>
            </w:pPr>
            <w:r>
              <w:rPr>
                <w:szCs w:val="20"/>
              </w:rPr>
              <w:t xml:space="preserve">Наружный диаметр, мм</w:t>
            </w:r>
            <w:r>
              <w:rPr>
                <w:szCs w:val="20"/>
              </w:rPr>
            </w:r>
            <w:r>
              <w:rPr>
                <w:szCs w:val="20"/>
              </w:rPr>
            </w:r>
          </w:p>
        </w:tc>
        <w:tc>
          <w:tcPr>
            <w:tcW w:w="1805" w:type="pct"/>
            <w:textDirection w:val="lrTb"/>
            <w:noWrap w:val="false"/>
          </w:tcPr>
          <w:p>
            <w:pPr>
              <w:rPr>
                <w:szCs w:val="20"/>
              </w:rPr>
            </w:pPr>
            <w:r>
              <w:rPr>
                <w:szCs w:val="20"/>
              </w:rPr>
              <w:t xml:space="preserve">109</w:t>
            </w:r>
            <w:r>
              <w:rPr>
                <w:szCs w:val="20"/>
              </w:rPr>
              <w:t xml:space="preserve">;</w:t>
            </w:r>
            <w:r>
              <w:rPr>
                <w:szCs w:val="20"/>
              </w:rPr>
              <w:t xml:space="preserve"> 200</w:t>
            </w:r>
            <w:r>
              <w:rPr>
                <w:szCs w:val="20"/>
              </w:rPr>
            </w:r>
            <w:r>
              <w:rPr>
                <w:szCs w:val="20"/>
              </w:rPr>
            </w:r>
          </w:p>
        </w:tc>
      </w:tr>
      <w:tr>
        <w:tblPrEx/>
        <w:trPr/>
        <w:tc>
          <w:tcPr>
            <w:tcW w:w="487" w:type="pct"/>
            <w:textDirection w:val="lrTb"/>
            <w:noWrap w:val="false"/>
          </w:tcPr>
          <w:p>
            <w:pPr>
              <w:pStyle w:val="1250"/>
              <w:numPr>
                <w:ilvl w:val="0"/>
                <w:numId w:val="43"/>
              </w:numPr>
              <w:contextualSpacing/>
              <w:ind w:left="0" w:firstLine="0"/>
              <w:rPr>
                <w:szCs w:val="20"/>
              </w:rPr>
            </w:pPr>
            <w:r>
              <w:rPr>
                <w:szCs w:val="20"/>
              </w:rPr>
            </w:r>
            <w:r>
              <w:rPr>
                <w:szCs w:val="20"/>
              </w:rPr>
            </w:r>
            <w:r>
              <w:rPr>
                <w:szCs w:val="20"/>
              </w:rPr>
            </w:r>
          </w:p>
        </w:tc>
        <w:tc>
          <w:tcPr>
            <w:tcW w:w="2708" w:type="pct"/>
            <w:textDirection w:val="lrTb"/>
            <w:noWrap w:val="false"/>
          </w:tcPr>
          <w:p>
            <w:pPr>
              <w:jc w:val="both"/>
              <w:rPr>
                <w:szCs w:val="20"/>
              </w:rPr>
            </w:pPr>
            <w:r>
              <w:rPr>
                <w:szCs w:val="20"/>
              </w:rPr>
              <w:t xml:space="preserve">Материал</w:t>
            </w:r>
            <w:r>
              <w:rPr>
                <w:szCs w:val="20"/>
              </w:rPr>
            </w:r>
            <w:r>
              <w:rPr>
                <w:szCs w:val="20"/>
              </w:rPr>
            </w:r>
          </w:p>
        </w:tc>
        <w:tc>
          <w:tcPr>
            <w:tcW w:w="1805" w:type="pct"/>
            <w:textDirection w:val="lrTb"/>
            <w:noWrap w:val="false"/>
          </w:tcPr>
          <w:p>
            <w:pPr>
              <w:rPr>
                <w:szCs w:val="20"/>
              </w:rPr>
            </w:pPr>
            <w:r>
              <w:rPr>
                <w:szCs w:val="20"/>
              </w:rPr>
              <w:t xml:space="preserve">сталь</w:t>
            </w:r>
            <w:r>
              <w:rPr>
                <w:szCs w:val="20"/>
              </w:rPr>
            </w:r>
            <w:r>
              <w:rPr>
                <w:szCs w:val="20"/>
              </w:rPr>
            </w:r>
          </w:p>
        </w:tc>
      </w:tr>
      <w:tr>
        <w:tblPrEx/>
        <w:trPr/>
        <w:tc>
          <w:tcPr>
            <w:tcW w:w="487" w:type="pct"/>
            <w:textDirection w:val="lrTb"/>
            <w:noWrap w:val="false"/>
          </w:tcPr>
          <w:p>
            <w:pPr>
              <w:pStyle w:val="1250"/>
              <w:numPr>
                <w:ilvl w:val="0"/>
                <w:numId w:val="43"/>
              </w:numPr>
              <w:contextualSpacing/>
              <w:ind w:left="0" w:firstLine="0"/>
              <w:rPr>
                <w:szCs w:val="20"/>
              </w:rPr>
            </w:pPr>
            <w:r>
              <w:rPr>
                <w:szCs w:val="20"/>
              </w:rPr>
            </w:r>
            <w:r>
              <w:rPr>
                <w:szCs w:val="20"/>
              </w:rPr>
            </w:r>
            <w:r>
              <w:rPr>
                <w:szCs w:val="20"/>
              </w:rPr>
            </w:r>
          </w:p>
        </w:tc>
        <w:tc>
          <w:tcPr>
            <w:tcW w:w="2708" w:type="pct"/>
            <w:textDirection w:val="lrTb"/>
            <w:noWrap w:val="false"/>
          </w:tcPr>
          <w:p>
            <w:pPr>
              <w:jc w:val="both"/>
              <w:rPr>
                <w:szCs w:val="20"/>
              </w:rPr>
            </w:pPr>
            <w:r>
              <w:rPr>
                <w:szCs w:val="20"/>
              </w:rPr>
              <w:t xml:space="preserve">Схема исполнения тепловой сети</w:t>
            </w:r>
            <w:r>
              <w:rPr>
                <w:szCs w:val="20"/>
              </w:rPr>
            </w:r>
            <w:r>
              <w:rPr>
                <w:szCs w:val="20"/>
              </w:rPr>
            </w:r>
          </w:p>
        </w:tc>
        <w:tc>
          <w:tcPr>
            <w:tcW w:w="1805" w:type="pct"/>
            <w:textDirection w:val="lrTb"/>
            <w:noWrap w:val="false"/>
          </w:tcPr>
          <w:p>
            <w:pPr>
              <w:ind w:left="-111" w:right="-105" w:firstLine="6"/>
              <w:rPr>
                <w:szCs w:val="20"/>
              </w:rPr>
            </w:pPr>
            <w:r>
              <w:rPr>
                <w:szCs w:val="20"/>
              </w:rPr>
              <w:t xml:space="preserve">двухтрубная</w:t>
            </w:r>
            <w:r>
              <w:rPr>
                <w:szCs w:val="20"/>
              </w:rPr>
            </w:r>
            <w:r>
              <w:rPr>
                <w:szCs w:val="20"/>
              </w:rPr>
            </w:r>
          </w:p>
        </w:tc>
      </w:tr>
      <w:tr>
        <w:tblPrEx/>
        <w:trPr/>
        <w:tc>
          <w:tcPr>
            <w:tcW w:w="487" w:type="pct"/>
            <w:textDirection w:val="lrTb"/>
            <w:noWrap w:val="false"/>
          </w:tcPr>
          <w:p>
            <w:pPr>
              <w:pStyle w:val="1250"/>
              <w:numPr>
                <w:ilvl w:val="0"/>
                <w:numId w:val="43"/>
              </w:numPr>
              <w:contextualSpacing/>
              <w:ind w:left="0" w:firstLine="0"/>
              <w:rPr>
                <w:szCs w:val="20"/>
              </w:rPr>
            </w:pPr>
            <w:r>
              <w:rPr>
                <w:szCs w:val="20"/>
              </w:rPr>
            </w:r>
            <w:r>
              <w:rPr>
                <w:szCs w:val="20"/>
              </w:rPr>
            </w:r>
            <w:r>
              <w:rPr>
                <w:szCs w:val="20"/>
              </w:rPr>
            </w:r>
          </w:p>
        </w:tc>
        <w:tc>
          <w:tcPr>
            <w:tcW w:w="2708" w:type="pct"/>
            <w:textDirection w:val="lrTb"/>
            <w:noWrap w:val="false"/>
          </w:tcPr>
          <w:p>
            <w:pPr>
              <w:jc w:val="both"/>
              <w:rPr>
                <w:szCs w:val="20"/>
              </w:rPr>
            </w:pPr>
            <w:r>
              <w:rPr>
                <w:szCs w:val="20"/>
              </w:rPr>
              <w:t xml:space="preserve">Конструкция</w:t>
            </w:r>
            <w:r>
              <w:rPr>
                <w:szCs w:val="20"/>
              </w:rPr>
            </w:r>
            <w:r>
              <w:rPr>
                <w:szCs w:val="20"/>
              </w:rPr>
            </w:r>
          </w:p>
        </w:tc>
        <w:tc>
          <w:tcPr>
            <w:tcW w:w="1805" w:type="pct"/>
            <w:textDirection w:val="lrTb"/>
            <w:noWrap w:val="false"/>
          </w:tcPr>
          <w:p>
            <w:pPr>
              <w:rPr>
                <w:szCs w:val="20"/>
              </w:rPr>
            </w:pPr>
            <w:r>
              <w:rPr>
                <w:szCs w:val="20"/>
              </w:rPr>
              <w:t xml:space="preserve">тупиковая</w:t>
            </w:r>
            <w:r>
              <w:rPr>
                <w:szCs w:val="20"/>
              </w:rPr>
            </w:r>
            <w:r>
              <w:rPr>
                <w:szCs w:val="20"/>
              </w:rPr>
            </w:r>
          </w:p>
        </w:tc>
      </w:tr>
      <w:tr>
        <w:tblPrEx/>
        <w:trPr/>
        <w:tc>
          <w:tcPr>
            <w:tcW w:w="487" w:type="pct"/>
            <w:textDirection w:val="lrTb"/>
            <w:noWrap w:val="false"/>
          </w:tcPr>
          <w:p>
            <w:pPr>
              <w:pStyle w:val="1250"/>
              <w:numPr>
                <w:ilvl w:val="0"/>
                <w:numId w:val="43"/>
              </w:numPr>
              <w:contextualSpacing/>
              <w:ind w:left="0" w:firstLine="0"/>
              <w:rPr>
                <w:szCs w:val="20"/>
              </w:rPr>
            </w:pPr>
            <w:r>
              <w:rPr>
                <w:szCs w:val="20"/>
              </w:rPr>
            </w:r>
            <w:r>
              <w:rPr>
                <w:szCs w:val="20"/>
              </w:rPr>
            </w:r>
            <w:r>
              <w:rPr>
                <w:szCs w:val="20"/>
              </w:rPr>
            </w:r>
          </w:p>
        </w:tc>
        <w:tc>
          <w:tcPr>
            <w:tcW w:w="2708" w:type="pct"/>
            <w:textDirection w:val="lrTb"/>
            <w:noWrap w:val="false"/>
          </w:tcPr>
          <w:p>
            <w:pPr>
              <w:jc w:val="both"/>
              <w:rPr>
                <w:szCs w:val="20"/>
              </w:rPr>
            </w:pPr>
            <w:r>
              <w:rPr>
                <w:szCs w:val="20"/>
              </w:rPr>
              <w:t xml:space="preserve">Степень резервируемости</w:t>
            </w:r>
            <w:r>
              <w:rPr>
                <w:szCs w:val="20"/>
              </w:rPr>
            </w:r>
            <w:r>
              <w:rPr>
                <w:szCs w:val="20"/>
              </w:rPr>
            </w:r>
          </w:p>
        </w:tc>
        <w:tc>
          <w:tcPr>
            <w:tcW w:w="1805" w:type="pct"/>
            <w:textDirection w:val="lrTb"/>
            <w:noWrap w:val="false"/>
          </w:tcPr>
          <w:p>
            <w:pPr>
              <w:rPr>
                <w:szCs w:val="20"/>
              </w:rPr>
            </w:pPr>
            <w:r>
              <w:rPr>
                <w:szCs w:val="20"/>
              </w:rPr>
              <w:t xml:space="preserve">нерезервированная</w:t>
            </w:r>
            <w:r>
              <w:rPr>
                <w:szCs w:val="20"/>
              </w:rPr>
            </w:r>
            <w:r>
              <w:rPr>
                <w:szCs w:val="20"/>
              </w:rPr>
            </w:r>
          </w:p>
        </w:tc>
      </w:tr>
      <w:tr>
        <w:tblPrEx/>
        <w:trPr/>
        <w:tc>
          <w:tcPr>
            <w:tcW w:w="487" w:type="pct"/>
            <w:textDirection w:val="lrTb"/>
            <w:noWrap w:val="false"/>
          </w:tcPr>
          <w:p>
            <w:pPr>
              <w:pStyle w:val="1250"/>
              <w:numPr>
                <w:ilvl w:val="0"/>
                <w:numId w:val="43"/>
              </w:numPr>
              <w:contextualSpacing/>
              <w:ind w:left="0" w:firstLine="0"/>
              <w:rPr>
                <w:szCs w:val="20"/>
              </w:rPr>
            </w:pPr>
            <w:r>
              <w:rPr>
                <w:szCs w:val="20"/>
              </w:rPr>
            </w:r>
            <w:r>
              <w:rPr>
                <w:szCs w:val="20"/>
              </w:rPr>
            </w:r>
            <w:r>
              <w:rPr>
                <w:szCs w:val="20"/>
              </w:rPr>
            </w:r>
          </w:p>
        </w:tc>
        <w:tc>
          <w:tcPr>
            <w:tcW w:w="2708" w:type="pct"/>
            <w:textDirection w:val="lrTb"/>
            <w:noWrap w:val="false"/>
          </w:tcPr>
          <w:p>
            <w:pPr>
              <w:jc w:val="both"/>
              <w:rPr>
                <w:szCs w:val="20"/>
              </w:rPr>
            </w:pPr>
            <w:r>
              <w:rPr>
                <w:szCs w:val="20"/>
              </w:rPr>
              <w:t xml:space="preserve">Количество магистральных выводов</w:t>
            </w:r>
            <w:r>
              <w:rPr>
                <w:szCs w:val="20"/>
              </w:rPr>
            </w:r>
            <w:r>
              <w:rPr>
                <w:szCs w:val="20"/>
              </w:rPr>
            </w:r>
          </w:p>
        </w:tc>
        <w:tc>
          <w:tcPr>
            <w:tcW w:w="1805" w:type="pct"/>
            <w:textDirection w:val="lrTb"/>
            <w:noWrap w:val="false"/>
          </w:tcPr>
          <w:p>
            <w:pPr>
              <w:rPr>
                <w:szCs w:val="20"/>
              </w:rPr>
            </w:pPr>
            <w:r>
              <w:rPr>
                <w:szCs w:val="20"/>
              </w:rPr>
              <w:t xml:space="preserve">1</w:t>
            </w:r>
            <w:r>
              <w:rPr>
                <w:szCs w:val="20"/>
              </w:rPr>
            </w:r>
            <w:r>
              <w:rPr>
                <w:szCs w:val="20"/>
              </w:rPr>
            </w:r>
          </w:p>
        </w:tc>
      </w:tr>
      <w:tr>
        <w:tblPrEx/>
        <w:trPr/>
        <w:tc>
          <w:tcPr>
            <w:tcW w:w="487" w:type="pct"/>
            <w:textDirection w:val="lrTb"/>
            <w:noWrap w:val="false"/>
          </w:tcPr>
          <w:p>
            <w:pPr>
              <w:pStyle w:val="1250"/>
              <w:numPr>
                <w:ilvl w:val="0"/>
                <w:numId w:val="43"/>
              </w:numPr>
              <w:contextualSpacing/>
              <w:ind w:left="0" w:firstLine="0"/>
              <w:rPr>
                <w:szCs w:val="20"/>
              </w:rPr>
            </w:pPr>
            <w:r>
              <w:rPr>
                <w:szCs w:val="20"/>
              </w:rPr>
            </w:r>
            <w:r>
              <w:rPr>
                <w:szCs w:val="20"/>
              </w:rPr>
            </w:r>
            <w:r>
              <w:rPr>
                <w:szCs w:val="20"/>
              </w:rPr>
            </w:r>
          </w:p>
        </w:tc>
        <w:tc>
          <w:tcPr>
            <w:tcW w:w="2708" w:type="pct"/>
            <w:textDirection w:val="lrTb"/>
            <w:noWrap w:val="false"/>
          </w:tcPr>
          <w:p>
            <w:pPr>
              <w:jc w:val="both"/>
              <w:rPr>
                <w:szCs w:val="20"/>
              </w:rPr>
            </w:pPr>
            <w:r>
              <w:rPr>
                <w:szCs w:val="20"/>
              </w:rPr>
              <w:t xml:space="preserve">Общая протяженность сетей, п.м</w:t>
            </w:r>
            <w:r>
              <w:rPr>
                <w:szCs w:val="20"/>
              </w:rPr>
            </w:r>
            <w:r>
              <w:rPr>
                <w:szCs w:val="20"/>
              </w:rPr>
            </w:r>
          </w:p>
        </w:tc>
        <w:tc>
          <w:tcPr>
            <w:tcW w:w="1805" w:type="pct"/>
            <w:textDirection w:val="lrTb"/>
            <w:noWrap w:val="false"/>
          </w:tcPr>
          <w:p>
            <w:pPr>
              <w:rPr>
                <w:szCs w:val="20"/>
              </w:rPr>
            </w:pPr>
            <w:r>
              <w:rPr>
                <w:szCs w:val="20"/>
              </w:rPr>
              <w:t xml:space="preserve">2300</w:t>
            </w:r>
            <w:r>
              <w:rPr>
                <w:szCs w:val="20"/>
              </w:rPr>
            </w:r>
            <w:r>
              <w:rPr>
                <w:szCs w:val="20"/>
              </w:rPr>
            </w:r>
          </w:p>
        </w:tc>
      </w:tr>
      <w:tr>
        <w:tblPrEx/>
        <w:trPr/>
        <w:tc>
          <w:tcPr>
            <w:tcW w:w="487" w:type="pct"/>
            <w:textDirection w:val="lrTb"/>
            <w:noWrap w:val="false"/>
          </w:tcPr>
          <w:p>
            <w:pPr>
              <w:pStyle w:val="1250"/>
              <w:numPr>
                <w:ilvl w:val="0"/>
                <w:numId w:val="43"/>
              </w:numPr>
              <w:contextualSpacing/>
              <w:ind w:left="0" w:firstLine="0"/>
              <w:rPr>
                <w:szCs w:val="20"/>
              </w:rPr>
            </w:pPr>
            <w:r>
              <w:rPr>
                <w:szCs w:val="20"/>
              </w:rPr>
            </w:r>
            <w:r>
              <w:rPr>
                <w:szCs w:val="20"/>
              </w:rPr>
            </w:r>
            <w:r>
              <w:rPr>
                <w:szCs w:val="20"/>
              </w:rPr>
            </w:r>
          </w:p>
        </w:tc>
        <w:tc>
          <w:tcPr>
            <w:tcW w:w="2708" w:type="pct"/>
            <w:textDirection w:val="lrTb"/>
            <w:noWrap w:val="false"/>
          </w:tcPr>
          <w:p>
            <w:pPr>
              <w:jc w:val="both"/>
              <w:rPr>
                <w:szCs w:val="20"/>
              </w:rPr>
            </w:pPr>
            <w:r>
              <w:rPr>
                <w:szCs w:val="20"/>
              </w:rPr>
              <w:t xml:space="preserve">Высота расположения / глубина заложения тепловых сетей, м</w:t>
            </w:r>
            <w:r>
              <w:rPr>
                <w:szCs w:val="20"/>
              </w:rPr>
            </w:r>
            <w:r>
              <w:rPr>
                <w:szCs w:val="20"/>
              </w:rPr>
            </w:r>
          </w:p>
        </w:tc>
        <w:tc>
          <w:tcPr>
            <w:tcW w:w="1805" w:type="pct"/>
            <w:textDirection w:val="lrTb"/>
            <w:noWrap w:val="false"/>
          </w:tcPr>
          <w:p>
            <w:pPr>
              <w:rPr>
                <w:szCs w:val="20"/>
              </w:rPr>
            </w:pPr>
            <w:r>
              <w:rPr>
                <w:szCs w:val="20"/>
              </w:rPr>
              <w:t xml:space="preserve">0,5/1,5</w:t>
            </w:r>
            <w:r>
              <w:rPr>
                <w:szCs w:val="20"/>
              </w:rPr>
            </w:r>
            <w:r>
              <w:rPr>
                <w:szCs w:val="20"/>
              </w:rPr>
            </w:r>
          </w:p>
        </w:tc>
      </w:tr>
      <w:tr>
        <w:tblPrEx/>
        <w:trPr/>
        <w:tc>
          <w:tcPr>
            <w:tcW w:w="487" w:type="pct"/>
            <w:textDirection w:val="lrTb"/>
            <w:noWrap w:val="false"/>
          </w:tcPr>
          <w:p>
            <w:pPr>
              <w:pStyle w:val="1250"/>
              <w:numPr>
                <w:ilvl w:val="0"/>
                <w:numId w:val="43"/>
              </w:numPr>
              <w:contextualSpacing/>
              <w:ind w:left="0" w:firstLine="0"/>
              <w:rPr>
                <w:szCs w:val="20"/>
              </w:rPr>
            </w:pPr>
            <w:r>
              <w:rPr>
                <w:szCs w:val="20"/>
              </w:rPr>
            </w:r>
            <w:r>
              <w:rPr>
                <w:szCs w:val="20"/>
              </w:rPr>
            </w:r>
            <w:r>
              <w:rPr>
                <w:szCs w:val="20"/>
              </w:rPr>
            </w:r>
          </w:p>
        </w:tc>
        <w:tc>
          <w:tcPr>
            <w:tcW w:w="2708" w:type="pct"/>
            <w:textDirection w:val="lrTb"/>
            <w:noWrap w:val="false"/>
          </w:tcPr>
          <w:p>
            <w:pPr>
              <w:jc w:val="both"/>
              <w:rPr>
                <w:szCs w:val="20"/>
              </w:rPr>
            </w:pPr>
            <w:r>
              <w:rPr>
                <w:szCs w:val="20"/>
              </w:rPr>
              <w:t xml:space="preserve">Год начала эксплуатации</w:t>
            </w:r>
            <w:r>
              <w:rPr>
                <w:szCs w:val="20"/>
              </w:rPr>
            </w:r>
            <w:r>
              <w:rPr>
                <w:szCs w:val="20"/>
              </w:rPr>
            </w:r>
          </w:p>
        </w:tc>
        <w:tc>
          <w:tcPr>
            <w:tcW w:w="1805" w:type="pct"/>
            <w:textDirection w:val="lrTb"/>
            <w:noWrap w:val="false"/>
          </w:tcPr>
          <w:p>
            <w:pPr>
              <w:rPr>
                <w:szCs w:val="20"/>
              </w:rPr>
            </w:pPr>
            <w:r>
              <w:rPr>
                <w:szCs w:val="20"/>
              </w:rPr>
              <w:t xml:space="preserve">Нет данных</w:t>
            </w:r>
            <w:r>
              <w:rPr>
                <w:szCs w:val="20"/>
              </w:rPr>
            </w:r>
            <w:r>
              <w:rPr>
                <w:szCs w:val="20"/>
              </w:rPr>
            </w:r>
          </w:p>
        </w:tc>
      </w:tr>
      <w:tr>
        <w:tblPrEx/>
        <w:trPr/>
        <w:tc>
          <w:tcPr>
            <w:tcW w:w="487" w:type="pct"/>
            <w:textDirection w:val="lrTb"/>
            <w:noWrap w:val="false"/>
          </w:tcPr>
          <w:p>
            <w:pPr>
              <w:pStyle w:val="1250"/>
              <w:numPr>
                <w:ilvl w:val="0"/>
                <w:numId w:val="43"/>
              </w:numPr>
              <w:contextualSpacing/>
              <w:ind w:left="0" w:firstLine="0"/>
              <w:rPr>
                <w:szCs w:val="20"/>
              </w:rPr>
            </w:pPr>
            <w:r>
              <w:rPr>
                <w:szCs w:val="20"/>
              </w:rPr>
            </w:r>
            <w:r>
              <w:rPr>
                <w:szCs w:val="20"/>
              </w:rPr>
            </w:r>
            <w:r>
              <w:rPr>
                <w:szCs w:val="20"/>
              </w:rPr>
            </w:r>
          </w:p>
        </w:tc>
        <w:tc>
          <w:tcPr>
            <w:tcW w:w="2708" w:type="pct"/>
            <w:textDirection w:val="lrTb"/>
            <w:noWrap w:val="false"/>
          </w:tcPr>
          <w:p>
            <w:pPr>
              <w:jc w:val="both"/>
              <w:rPr>
                <w:szCs w:val="20"/>
              </w:rPr>
            </w:pPr>
            <w:r>
              <w:rPr>
                <w:szCs w:val="20"/>
              </w:rPr>
              <w:t xml:space="preserve">Тип изоляции</w:t>
            </w:r>
            <w:r>
              <w:rPr>
                <w:szCs w:val="20"/>
              </w:rPr>
            </w:r>
            <w:r>
              <w:rPr>
                <w:szCs w:val="20"/>
              </w:rPr>
            </w:r>
          </w:p>
        </w:tc>
        <w:tc>
          <w:tcPr>
            <w:tcW w:w="1805" w:type="pct"/>
            <w:textDirection w:val="lrTb"/>
            <w:noWrap w:val="false"/>
          </w:tcPr>
          <w:p>
            <w:pPr>
              <w:rPr>
                <w:szCs w:val="20"/>
              </w:rPr>
            </w:pPr>
            <w:r>
              <w:rPr>
                <w:szCs w:val="20"/>
              </w:rPr>
              <w:t xml:space="preserve">минеральная вата; гидроизоляция</w:t>
            </w:r>
            <w:r>
              <w:rPr>
                <w:szCs w:val="20"/>
              </w:rPr>
            </w:r>
            <w:r>
              <w:rPr>
                <w:szCs w:val="20"/>
              </w:rPr>
            </w:r>
          </w:p>
        </w:tc>
      </w:tr>
      <w:tr>
        <w:tblPrEx/>
        <w:trPr/>
        <w:tc>
          <w:tcPr>
            <w:tcW w:w="487" w:type="pct"/>
            <w:textDirection w:val="lrTb"/>
            <w:noWrap w:val="false"/>
          </w:tcPr>
          <w:p>
            <w:pPr>
              <w:pStyle w:val="1250"/>
              <w:numPr>
                <w:ilvl w:val="0"/>
                <w:numId w:val="43"/>
              </w:numPr>
              <w:contextualSpacing/>
              <w:ind w:left="0" w:firstLine="0"/>
              <w:rPr>
                <w:szCs w:val="20"/>
              </w:rPr>
            </w:pPr>
            <w:r>
              <w:rPr>
                <w:szCs w:val="20"/>
              </w:rPr>
            </w:r>
            <w:r>
              <w:rPr>
                <w:szCs w:val="20"/>
              </w:rPr>
            </w:r>
            <w:r>
              <w:rPr>
                <w:szCs w:val="20"/>
              </w:rPr>
            </w:r>
          </w:p>
        </w:tc>
        <w:tc>
          <w:tcPr>
            <w:tcW w:w="2708" w:type="pct"/>
            <w:textDirection w:val="lrTb"/>
            <w:noWrap w:val="false"/>
          </w:tcPr>
          <w:p>
            <w:pPr>
              <w:jc w:val="both"/>
              <w:rPr>
                <w:szCs w:val="20"/>
              </w:rPr>
            </w:pPr>
            <w:r>
              <w:rPr>
                <w:szCs w:val="20"/>
              </w:rPr>
              <w:t xml:space="preserve">Тип прокладки</w:t>
            </w:r>
            <w:r>
              <w:rPr>
                <w:szCs w:val="20"/>
              </w:rPr>
            </w:r>
            <w:r>
              <w:rPr>
                <w:szCs w:val="20"/>
              </w:rPr>
            </w:r>
          </w:p>
        </w:tc>
        <w:tc>
          <w:tcPr>
            <w:tcW w:w="1805" w:type="pct"/>
            <w:textDirection w:val="lrTb"/>
            <w:noWrap w:val="false"/>
          </w:tcPr>
          <w:p>
            <w:pPr>
              <w:rPr>
                <w:szCs w:val="20"/>
              </w:rPr>
            </w:pPr>
            <w:r>
              <w:rPr>
                <w:szCs w:val="20"/>
              </w:rPr>
              <w:t xml:space="preserve">Нет данных</w:t>
            </w:r>
            <w:r>
              <w:rPr>
                <w:szCs w:val="20"/>
              </w:rPr>
            </w:r>
            <w:r>
              <w:rPr>
                <w:szCs w:val="20"/>
              </w:rPr>
            </w:r>
          </w:p>
        </w:tc>
      </w:tr>
      <w:tr>
        <w:tblPrEx/>
        <w:trPr/>
        <w:tc>
          <w:tcPr>
            <w:tcW w:w="487" w:type="pct"/>
            <w:textDirection w:val="lrTb"/>
            <w:noWrap w:val="false"/>
          </w:tcPr>
          <w:p>
            <w:pPr>
              <w:pStyle w:val="1250"/>
              <w:numPr>
                <w:ilvl w:val="0"/>
                <w:numId w:val="43"/>
              </w:numPr>
              <w:contextualSpacing/>
              <w:ind w:left="0" w:firstLine="0"/>
              <w:rPr>
                <w:szCs w:val="20"/>
              </w:rPr>
            </w:pPr>
            <w:r>
              <w:rPr>
                <w:szCs w:val="20"/>
              </w:rPr>
            </w:r>
            <w:r>
              <w:rPr>
                <w:szCs w:val="20"/>
              </w:rPr>
            </w:r>
            <w:r>
              <w:rPr>
                <w:szCs w:val="20"/>
              </w:rPr>
            </w:r>
          </w:p>
        </w:tc>
        <w:tc>
          <w:tcPr>
            <w:tcW w:w="2708" w:type="pct"/>
            <w:textDirection w:val="lrTb"/>
            <w:noWrap w:val="false"/>
          </w:tcPr>
          <w:p>
            <w:pPr>
              <w:jc w:val="both"/>
              <w:rPr>
                <w:szCs w:val="20"/>
              </w:rPr>
            </w:pPr>
            <w:r>
              <w:rPr>
                <w:szCs w:val="20"/>
              </w:rPr>
              <w:t xml:space="preserve">Тип компенсирующих устройств</w:t>
            </w:r>
            <w:r>
              <w:rPr>
                <w:szCs w:val="20"/>
              </w:rPr>
            </w:r>
            <w:r>
              <w:rPr>
                <w:szCs w:val="20"/>
              </w:rPr>
            </w:r>
          </w:p>
        </w:tc>
        <w:tc>
          <w:tcPr>
            <w:tcW w:w="1805" w:type="pct"/>
            <w:textDirection w:val="lrTb"/>
            <w:noWrap w:val="false"/>
          </w:tcPr>
          <w:p>
            <w:pPr>
              <w:rPr>
                <w:szCs w:val="20"/>
              </w:rPr>
            </w:pPr>
            <w:r>
              <w:rPr>
                <w:szCs w:val="20"/>
              </w:rPr>
              <w:t xml:space="preserve">П-образные компенсаторы</w:t>
            </w:r>
            <w:r>
              <w:rPr>
                <w:szCs w:val="20"/>
              </w:rPr>
            </w:r>
            <w:r>
              <w:rPr>
                <w:szCs w:val="20"/>
              </w:rPr>
            </w:r>
          </w:p>
        </w:tc>
      </w:tr>
      <w:tr>
        <w:tblPrEx/>
        <w:trPr/>
        <w:tc>
          <w:tcPr>
            <w:tcW w:w="487" w:type="pct"/>
            <w:textDirection w:val="lrTb"/>
            <w:noWrap w:val="false"/>
          </w:tcPr>
          <w:p>
            <w:pPr>
              <w:pStyle w:val="1250"/>
              <w:numPr>
                <w:ilvl w:val="0"/>
                <w:numId w:val="43"/>
              </w:numPr>
              <w:contextualSpacing/>
              <w:ind w:left="0" w:firstLine="0"/>
              <w:rPr>
                <w:szCs w:val="20"/>
              </w:rPr>
            </w:pPr>
            <w:r>
              <w:rPr>
                <w:szCs w:val="20"/>
              </w:rPr>
            </w:r>
            <w:r>
              <w:rPr>
                <w:szCs w:val="20"/>
              </w:rPr>
            </w:r>
            <w:r>
              <w:rPr>
                <w:szCs w:val="20"/>
              </w:rPr>
            </w:r>
          </w:p>
        </w:tc>
        <w:tc>
          <w:tcPr>
            <w:tcW w:w="2708" w:type="pct"/>
            <w:textDirection w:val="lrTb"/>
            <w:noWrap w:val="false"/>
          </w:tcPr>
          <w:p>
            <w:pPr>
              <w:jc w:val="both"/>
              <w:rPr>
                <w:szCs w:val="20"/>
              </w:rPr>
            </w:pPr>
            <w:r>
              <w:rPr>
                <w:szCs w:val="20"/>
              </w:rPr>
              <w:t xml:space="preserve">Характеристика грунта</w:t>
            </w:r>
            <w:r>
              <w:rPr>
                <w:szCs w:val="20"/>
              </w:rPr>
            </w:r>
            <w:r>
              <w:rPr>
                <w:szCs w:val="20"/>
              </w:rPr>
            </w:r>
          </w:p>
        </w:tc>
        <w:tc>
          <w:tcPr>
            <w:tcW w:w="1805" w:type="pct"/>
            <w:textDirection w:val="lrTb"/>
            <w:noWrap w:val="false"/>
          </w:tcPr>
          <w:p>
            <w:pPr>
              <w:rPr>
                <w:szCs w:val="20"/>
              </w:rPr>
            </w:pPr>
            <w:r>
              <w:rPr>
                <w:szCs w:val="20"/>
              </w:rPr>
              <w:t xml:space="preserve">песчано-глинистый</w:t>
            </w:r>
            <w:r>
              <w:rPr>
                <w:szCs w:val="20"/>
              </w:rPr>
            </w:r>
            <w:r>
              <w:rPr>
                <w:szCs w:val="20"/>
              </w:rPr>
            </w:r>
          </w:p>
        </w:tc>
      </w:tr>
      <w:tr>
        <w:tblPrEx/>
        <w:trPr/>
        <w:tc>
          <w:tcPr>
            <w:tcW w:w="487" w:type="pct"/>
            <w:textDirection w:val="lrTb"/>
            <w:noWrap w:val="false"/>
          </w:tcPr>
          <w:p>
            <w:pPr>
              <w:pStyle w:val="1250"/>
              <w:numPr>
                <w:ilvl w:val="0"/>
                <w:numId w:val="43"/>
              </w:numPr>
              <w:contextualSpacing/>
              <w:ind w:left="0" w:firstLine="0"/>
              <w:rPr>
                <w:szCs w:val="20"/>
              </w:rPr>
            </w:pPr>
            <w:r>
              <w:rPr>
                <w:szCs w:val="20"/>
              </w:rPr>
            </w:r>
            <w:r>
              <w:rPr>
                <w:szCs w:val="20"/>
              </w:rPr>
            </w:r>
            <w:r>
              <w:rPr>
                <w:szCs w:val="20"/>
              </w:rPr>
            </w:r>
          </w:p>
        </w:tc>
        <w:tc>
          <w:tcPr>
            <w:tcW w:w="2708" w:type="pct"/>
            <w:textDirection w:val="lrTb"/>
            <w:noWrap w:val="false"/>
          </w:tcPr>
          <w:p>
            <w:pPr>
              <w:jc w:val="both"/>
              <w:rPr>
                <w:szCs w:val="20"/>
              </w:rPr>
            </w:pPr>
            <w:r>
              <w:rPr>
                <w:szCs w:val="20"/>
              </w:rPr>
              <w:t xml:space="preserve">Наименее надежный участок</w:t>
            </w:r>
            <w:r>
              <w:rPr>
                <w:szCs w:val="20"/>
              </w:rPr>
            </w:r>
            <w:r>
              <w:rPr>
                <w:szCs w:val="20"/>
              </w:rPr>
            </w:r>
          </w:p>
        </w:tc>
        <w:tc>
          <w:tcPr>
            <w:tcW w:w="1805" w:type="pct"/>
            <w:textDirection w:val="lrTb"/>
            <w:noWrap w:val="false"/>
          </w:tcPr>
          <w:p>
            <w:pPr>
              <w:rPr>
                <w:szCs w:val="20"/>
              </w:rPr>
            </w:pPr>
            <w:r>
              <w:rPr>
                <w:szCs w:val="20"/>
              </w:rPr>
              <w:t xml:space="preserve">магистральный</w:t>
            </w:r>
            <w:r>
              <w:rPr>
                <w:szCs w:val="20"/>
              </w:rPr>
            </w:r>
            <w:r>
              <w:rPr>
                <w:szCs w:val="20"/>
              </w:rPr>
            </w:r>
          </w:p>
        </w:tc>
      </w:tr>
      <w:tr>
        <w:tblPrEx/>
        <w:trPr/>
        <w:tc>
          <w:tcPr>
            <w:tcW w:w="487" w:type="pct"/>
            <w:textDirection w:val="lrTb"/>
            <w:noWrap w:val="false"/>
          </w:tcPr>
          <w:p>
            <w:pPr>
              <w:pStyle w:val="1250"/>
              <w:numPr>
                <w:ilvl w:val="0"/>
                <w:numId w:val="43"/>
              </w:numPr>
              <w:contextualSpacing/>
              <w:ind w:left="0" w:firstLine="0"/>
              <w:rPr>
                <w:szCs w:val="20"/>
              </w:rPr>
            </w:pPr>
            <w:r>
              <w:rPr>
                <w:szCs w:val="20"/>
              </w:rPr>
            </w:r>
            <w:r>
              <w:rPr>
                <w:szCs w:val="20"/>
              </w:rPr>
            </w:r>
            <w:r>
              <w:rPr>
                <w:szCs w:val="20"/>
              </w:rPr>
            </w:r>
          </w:p>
        </w:tc>
        <w:tc>
          <w:tcPr>
            <w:tcW w:w="2708" w:type="pct"/>
            <w:textDirection w:val="lrTb"/>
            <w:noWrap w:val="false"/>
          </w:tcPr>
          <w:p>
            <w:pPr>
              <w:jc w:val="both"/>
              <w:rPr>
                <w:szCs w:val="20"/>
              </w:rPr>
            </w:pPr>
            <w:r>
              <w:rPr>
                <w:szCs w:val="20"/>
              </w:rPr>
              <w:t xml:space="preserve">Материальная характеристика, м</w:t>
            </w:r>
            <w:r>
              <w:rPr>
                <w:szCs w:val="20"/>
                <w:vertAlign w:val="superscript"/>
              </w:rPr>
              <w:t xml:space="preserve">2</w:t>
            </w:r>
            <w:r>
              <w:rPr>
                <w:szCs w:val="20"/>
              </w:rPr>
            </w:r>
            <w:r>
              <w:rPr>
                <w:szCs w:val="20"/>
              </w:rPr>
            </w:r>
          </w:p>
        </w:tc>
        <w:tc>
          <w:tcPr>
            <w:tcW w:w="1805" w:type="pct"/>
            <w:textDirection w:val="lrTb"/>
            <w:noWrap w:val="false"/>
          </w:tcPr>
          <w:p>
            <w:pPr>
              <w:rPr>
                <w:szCs w:val="20"/>
              </w:rPr>
            </w:pPr>
            <w:r>
              <w:rPr>
                <w:szCs w:val="20"/>
              </w:rPr>
              <w:t xml:space="preserve">731,40</w:t>
            </w:r>
            <w:r>
              <w:rPr>
                <w:szCs w:val="20"/>
              </w:rPr>
            </w:r>
            <w:r>
              <w:rPr>
                <w:szCs w:val="20"/>
              </w:rPr>
            </w:r>
          </w:p>
        </w:tc>
      </w:tr>
    </w:tbl>
    <w:p>
      <w:pPr>
        <w:pStyle w:val="1247"/>
        <w:ind w:left="118" w:right="111" w:firstLine="707"/>
        <w:jc w:val="right"/>
        <w:spacing w:before="115"/>
      </w:pPr>
      <w:r>
        <w:t xml:space="preserve">Таблица 1.3.3.4</w:t>
      </w:r>
      <w:r/>
    </w:p>
    <w:p>
      <w:pPr>
        <w:pStyle w:val="1247"/>
        <w:ind w:left="118" w:right="111" w:firstLine="707"/>
        <w:jc w:val="center"/>
        <w:spacing w:before="115"/>
      </w:pPr>
      <w:r>
        <w:t xml:space="preserve">Параметры тепловой сети от котельной Котельная р.п. Юргамыш, ул. Ленина, 47а</w:t>
      </w:r>
      <w:r/>
    </w:p>
    <w:tbl>
      <w:tblPr>
        <w:tblStyle w:val="1257"/>
        <w:tblW w:w="4895" w:type="pct"/>
        <w:tblLook w:val="04A0" w:firstRow="1" w:lastRow="0" w:firstColumn="1" w:lastColumn="0" w:noHBand="0" w:noVBand="1"/>
      </w:tblPr>
      <w:tblGrid>
        <w:gridCol w:w="944"/>
        <w:gridCol w:w="5249"/>
        <w:gridCol w:w="3499"/>
      </w:tblGrid>
      <w:tr>
        <w:tblPrEx/>
        <w:trPr/>
        <w:tc>
          <w:tcPr>
            <w:tcW w:w="487" w:type="pct"/>
            <w:textDirection w:val="lrTb"/>
            <w:noWrap w:val="false"/>
          </w:tcPr>
          <w:p>
            <w:pPr>
              <w:jc w:val="both"/>
              <w:rPr>
                <w:szCs w:val="20"/>
              </w:rPr>
            </w:pPr>
            <w:r>
              <w:rPr>
                <w:szCs w:val="20"/>
              </w:rPr>
              <w:t xml:space="preserve">№ пп</w:t>
            </w:r>
            <w:r>
              <w:rPr>
                <w:szCs w:val="20"/>
              </w:rPr>
            </w:r>
            <w:r>
              <w:rPr>
                <w:szCs w:val="20"/>
              </w:rPr>
            </w:r>
          </w:p>
        </w:tc>
        <w:tc>
          <w:tcPr>
            <w:tcW w:w="2708" w:type="pct"/>
            <w:textDirection w:val="lrTb"/>
            <w:noWrap w:val="false"/>
          </w:tcPr>
          <w:p>
            <w:pPr>
              <w:rPr>
                <w:szCs w:val="20"/>
              </w:rPr>
            </w:pPr>
            <w:r>
              <w:rPr>
                <w:szCs w:val="20"/>
              </w:rPr>
              <w:t xml:space="preserve">Параметр</w:t>
            </w:r>
            <w:r>
              <w:rPr>
                <w:szCs w:val="20"/>
              </w:rPr>
            </w:r>
            <w:r>
              <w:rPr>
                <w:szCs w:val="20"/>
              </w:rPr>
            </w:r>
          </w:p>
        </w:tc>
        <w:tc>
          <w:tcPr>
            <w:tcW w:w="1805" w:type="pct"/>
            <w:textDirection w:val="lrTb"/>
            <w:noWrap w:val="false"/>
          </w:tcPr>
          <w:p>
            <w:pPr>
              <w:rPr>
                <w:szCs w:val="20"/>
              </w:rPr>
            </w:pPr>
            <w:r>
              <w:rPr>
                <w:szCs w:val="20"/>
              </w:rPr>
              <w:t xml:space="preserve">Характеристика, значение</w:t>
            </w:r>
            <w:r>
              <w:rPr>
                <w:szCs w:val="20"/>
              </w:rPr>
            </w:r>
            <w:r>
              <w:rPr>
                <w:szCs w:val="20"/>
              </w:rPr>
            </w:r>
          </w:p>
        </w:tc>
      </w:tr>
      <w:tr>
        <w:tblPrEx/>
        <w:trPr/>
        <w:tc>
          <w:tcPr>
            <w:tcW w:w="487" w:type="pct"/>
            <w:vAlign w:val="top"/>
            <w:textDirection w:val="lrTb"/>
            <w:noWrap w:val="false"/>
          </w:tcPr>
          <w:p>
            <w:pPr>
              <w:pStyle w:val="1250"/>
              <w:numPr>
                <w:ilvl w:val="0"/>
                <w:numId w:val="45"/>
              </w:numPr>
              <w:contextualSpacing/>
              <w:ind w:left="0" w:firstLine="0"/>
              <w:rPr>
                <w:szCs w:val="20"/>
              </w:rPr>
            </w:pPr>
            <w:r>
              <w:rPr>
                <w:szCs w:val="20"/>
              </w:rPr>
            </w:r>
            <w:r>
              <w:rPr>
                <w:szCs w:val="20"/>
              </w:rPr>
            </w:r>
            <w:r>
              <w:rPr>
                <w:szCs w:val="20"/>
              </w:rPr>
            </w:r>
          </w:p>
        </w:tc>
        <w:tc>
          <w:tcPr>
            <w:tcW w:w="2708" w:type="pct"/>
            <w:textDirection w:val="lrTb"/>
            <w:noWrap w:val="false"/>
          </w:tcPr>
          <w:p>
            <w:pPr>
              <w:jc w:val="both"/>
              <w:rPr>
                <w:szCs w:val="20"/>
              </w:rPr>
            </w:pPr>
            <w:r>
              <w:rPr>
                <w:szCs w:val="20"/>
              </w:rPr>
              <w:t xml:space="preserve">Наружный диаметр, мм</w:t>
            </w:r>
            <w:r>
              <w:rPr>
                <w:szCs w:val="20"/>
              </w:rPr>
            </w:r>
            <w:r>
              <w:rPr>
                <w:szCs w:val="20"/>
              </w:rPr>
            </w:r>
          </w:p>
        </w:tc>
        <w:tc>
          <w:tcPr>
            <w:tcW w:w="1805" w:type="pct"/>
            <w:textDirection w:val="lrTb"/>
            <w:noWrap w:val="false"/>
          </w:tcPr>
          <w:p>
            <w:pPr>
              <w:rPr>
                <w:szCs w:val="20"/>
              </w:rPr>
            </w:pPr>
            <w:r>
              <w:rPr>
                <w:szCs w:val="20"/>
              </w:rPr>
              <w:t xml:space="preserve">219; 159; 100; 89; 76; 50; 40; 32; 25</w:t>
            </w:r>
            <w:r>
              <w:rPr>
                <w:szCs w:val="20"/>
              </w:rPr>
            </w:r>
            <w:r>
              <w:rPr>
                <w:szCs w:val="20"/>
              </w:rPr>
            </w:r>
          </w:p>
        </w:tc>
      </w:tr>
      <w:tr>
        <w:tblPrEx/>
        <w:trPr/>
        <w:tc>
          <w:tcPr>
            <w:tcW w:w="487" w:type="pct"/>
            <w:vAlign w:val="top"/>
            <w:textDirection w:val="lrTb"/>
            <w:noWrap w:val="false"/>
          </w:tcPr>
          <w:p>
            <w:pPr>
              <w:pStyle w:val="1250"/>
              <w:numPr>
                <w:ilvl w:val="0"/>
                <w:numId w:val="45"/>
              </w:numPr>
              <w:contextualSpacing/>
              <w:ind w:left="0" w:firstLine="0"/>
              <w:rPr>
                <w:szCs w:val="20"/>
              </w:rPr>
            </w:pPr>
            <w:r>
              <w:rPr>
                <w:szCs w:val="20"/>
              </w:rPr>
            </w:r>
            <w:r>
              <w:rPr>
                <w:szCs w:val="20"/>
              </w:rPr>
            </w:r>
            <w:r>
              <w:rPr>
                <w:szCs w:val="20"/>
              </w:rPr>
            </w:r>
          </w:p>
        </w:tc>
        <w:tc>
          <w:tcPr>
            <w:tcW w:w="2708" w:type="pct"/>
            <w:textDirection w:val="lrTb"/>
            <w:noWrap w:val="false"/>
          </w:tcPr>
          <w:p>
            <w:pPr>
              <w:jc w:val="both"/>
              <w:rPr>
                <w:szCs w:val="20"/>
              </w:rPr>
            </w:pPr>
            <w:r>
              <w:rPr>
                <w:szCs w:val="20"/>
              </w:rPr>
              <w:t xml:space="preserve">Материал</w:t>
            </w:r>
            <w:r>
              <w:rPr>
                <w:szCs w:val="20"/>
              </w:rPr>
            </w:r>
            <w:r>
              <w:rPr>
                <w:szCs w:val="20"/>
              </w:rPr>
            </w:r>
          </w:p>
        </w:tc>
        <w:tc>
          <w:tcPr>
            <w:tcW w:w="1805" w:type="pct"/>
            <w:textDirection w:val="lrTb"/>
            <w:noWrap w:val="false"/>
          </w:tcPr>
          <w:p>
            <w:pPr>
              <w:rPr>
                <w:szCs w:val="20"/>
              </w:rPr>
            </w:pPr>
            <w:r>
              <w:rPr>
                <w:szCs w:val="20"/>
              </w:rPr>
              <w:t xml:space="preserve">сталь</w:t>
            </w:r>
            <w:r>
              <w:rPr>
                <w:szCs w:val="20"/>
              </w:rPr>
            </w:r>
            <w:r>
              <w:rPr>
                <w:szCs w:val="20"/>
              </w:rPr>
            </w:r>
          </w:p>
        </w:tc>
      </w:tr>
      <w:tr>
        <w:tblPrEx/>
        <w:trPr/>
        <w:tc>
          <w:tcPr>
            <w:tcW w:w="487" w:type="pct"/>
            <w:vAlign w:val="top"/>
            <w:textDirection w:val="lrTb"/>
            <w:noWrap w:val="false"/>
          </w:tcPr>
          <w:p>
            <w:pPr>
              <w:pStyle w:val="1250"/>
              <w:numPr>
                <w:ilvl w:val="0"/>
                <w:numId w:val="45"/>
              </w:numPr>
              <w:contextualSpacing/>
              <w:ind w:left="0" w:firstLine="0"/>
              <w:rPr>
                <w:szCs w:val="20"/>
              </w:rPr>
            </w:pPr>
            <w:r>
              <w:rPr>
                <w:szCs w:val="20"/>
              </w:rPr>
            </w:r>
            <w:r>
              <w:rPr>
                <w:szCs w:val="20"/>
              </w:rPr>
            </w:r>
            <w:r>
              <w:rPr>
                <w:szCs w:val="20"/>
              </w:rPr>
            </w:r>
          </w:p>
        </w:tc>
        <w:tc>
          <w:tcPr>
            <w:tcW w:w="2708" w:type="pct"/>
            <w:textDirection w:val="lrTb"/>
            <w:noWrap w:val="false"/>
          </w:tcPr>
          <w:p>
            <w:pPr>
              <w:jc w:val="both"/>
              <w:rPr>
                <w:szCs w:val="20"/>
              </w:rPr>
            </w:pPr>
            <w:r>
              <w:rPr>
                <w:szCs w:val="20"/>
              </w:rPr>
              <w:t xml:space="preserve">Схема исполнения тепловой сети</w:t>
            </w:r>
            <w:r>
              <w:rPr>
                <w:szCs w:val="20"/>
              </w:rPr>
            </w:r>
            <w:r>
              <w:rPr>
                <w:szCs w:val="20"/>
              </w:rPr>
            </w:r>
          </w:p>
        </w:tc>
        <w:tc>
          <w:tcPr>
            <w:tcW w:w="1805" w:type="pct"/>
            <w:textDirection w:val="lrTb"/>
            <w:noWrap w:val="false"/>
          </w:tcPr>
          <w:p>
            <w:pPr>
              <w:rPr>
                <w:szCs w:val="20"/>
              </w:rPr>
            </w:pPr>
            <w:r>
              <w:rPr>
                <w:szCs w:val="20"/>
              </w:rPr>
              <w:t xml:space="preserve">двухтрубная</w:t>
            </w:r>
            <w:r>
              <w:rPr>
                <w:szCs w:val="20"/>
              </w:rPr>
            </w:r>
            <w:r>
              <w:rPr>
                <w:szCs w:val="20"/>
              </w:rPr>
            </w:r>
          </w:p>
        </w:tc>
      </w:tr>
      <w:tr>
        <w:tblPrEx/>
        <w:trPr/>
        <w:tc>
          <w:tcPr>
            <w:tcW w:w="487" w:type="pct"/>
            <w:vAlign w:val="top"/>
            <w:textDirection w:val="lrTb"/>
            <w:noWrap w:val="false"/>
          </w:tcPr>
          <w:p>
            <w:pPr>
              <w:pStyle w:val="1250"/>
              <w:numPr>
                <w:ilvl w:val="0"/>
                <w:numId w:val="45"/>
              </w:numPr>
              <w:contextualSpacing/>
              <w:ind w:left="0" w:firstLine="0"/>
              <w:rPr>
                <w:szCs w:val="20"/>
              </w:rPr>
            </w:pPr>
            <w:r>
              <w:rPr>
                <w:szCs w:val="20"/>
              </w:rPr>
            </w:r>
            <w:r>
              <w:rPr>
                <w:szCs w:val="20"/>
              </w:rPr>
            </w:r>
            <w:r>
              <w:rPr>
                <w:szCs w:val="20"/>
              </w:rPr>
            </w:r>
          </w:p>
        </w:tc>
        <w:tc>
          <w:tcPr>
            <w:tcW w:w="2708" w:type="pct"/>
            <w:textDirection w:val="lrTb"/>
            <w:noWrap w:val="false"/>
          </w:tcPr>
          <w:p>
            <w:pPr>
              <w:jc w:val="both"/>
              <w:rPr>
                <w:szCs w:val="20"/>
              </w:rPr>
            </w:pPr>
            <w:r>
              <w:rPr>
                <w:szCs w:val="20"/>
              </w:rPr>
              <w:t xml:space="preserve">Конструкция</w:t>
            </w:r>
            <w:r>
              <w:rPr>
                <w:szCs w:val="20"/>
              </w:rPr>
            </w:r>
            <w:r>
              <w:rPr>
                <w:szCs w:val="20"/>
              </w:rPr>
            </w:r>
          </w:p>
        </w:tc>
        <w:tc>
          <w:tcPr>
            <w:tcW w:w="1805" w:type="pct"/>
            <w:textDirection w:val="lrTb"/>
            <w:noWrap w:val="false"/>
          </w:tcPr>
          <w:p>
            <w:pPr>
              <w:rPr>
                <w:szCs w:val="20"/>
              </w:rPr>
            </w:pPr>
            <w:r>
              <w:rPr>
                <w:szCs w:val="20"/>
              </w:rPr>
              <w:t xml:space="preserve">тупиковая</w:t>
            </w:r>
            <w:r>
              <w:rPr>
                <w:szCs w:val="20"/>
              </w:rPr>
            </w:r>
            <w:r>
              <w:rPr>
                <w:szCs w:val="20"/>
              </w:rPr>
            </w:r>
          </w:p>
        </w:tc>
      </w:tr>
      <w:tr>
        <w:tblPrEx/>
        <w:trPr/>
        <w:tc>
          <w:tcPr>
            <w:tcW w:w="487" w:type="pct"/>
            <w:vAlign w:val="top"/>
            <w:textDirection w:val="lrTb"/>
            <w:noWrap w:val="false"/>
          </w:tcPr>
          <w:p>
            <w:pPr>
              <w:pStyle w:val="1250"/>
              <w:numPr>
                <w:ilvl w:val="0"/>
                <w:numId w:val="45"/>
              </w:numPr>
              <w:contextualSpacing/>
              <w:ind w:left="0" w:firstLine="0"/>
              <w:rPr>
                <w:szCs w:val="20"/>
              </w:rPr>
            </w:pPr>
            <w:r>
              <w:rPr>
                <w:szCs w:val="20"/>
              </w:rPr>
            </w:r>
            <w:r>
              <w:rPr>
                <w:szCs w:val="20"/>
              </w:rPr>
            </w:r>
            <w:r>
              <w:rPr>
                <w:szCs w:val="20"/>
              </w:rPr>
            </w:r>
          </w:p>
        </w:tc>
        <w:tc>
          <w:tcPr>
            <w:tcW w:w="2708" w:type="pct"/>
            <w:textDirection w:val="lrTb"/>
            <w:noWrap w:val="false"/>
          </w:tcPr>
          <w:p>
            <w:pPr>
              <w:jc w:val="both"/>
              <w:rPr>
                <w:szCs w:val="20"/>
              </w:rPr>
            </w:pPr>
            <w:r>
              <w:rPr>
                <w:szCs w:val="20"/>
              </w:rPr>
              <w:t xml:space="preserve">Степень резервируемости</w:t>
            </w:r>
            <w:r>
              <w:rPr>
                <w:szCs w:val="20"/>
              </w:rPr>
            </w:r>
            <w:r>
              <w:rPr>
                <w:szCs w:val="20"/>
              </w:rPr>
            </w:r>
          </w:p>
        </w:tc>
        <w:tc>
          <w:tcPr>
            <w:tcW w:w="1805" w:type="pct"/>
            <w:textDirection w:val="lrTb"/>
            <w:noWrap w:val="false"/>
          </w:tcPr>
          <w:p>
            <w:pPr>
              <w:rPr>
                <w:szCs w:val="20"/>
              </w:rPr>
            </w:pPr>
            <w:r>
              <w:rPr>
                <w:szCs w:val="20"/>
              </w:rPr>
              <w:t xml:space="preserve">нерезервированная</w:t>
            </w:r>
            <w:r>
              <w:rPr>
                <w:szCs w:val="20"/>
              </w:rPr>
            </w:r>
            <w:r>
              <w:rPr>
                <w:szCs w:val="20"/>
              </w:rPr>
            </w:r>
          </w:p>
        </w:tc>
      </w:tr>
      <w:tr>
        <w:tblPrEx/>
        <w:trPr/>
        <w:tc>
          <w:tcPr>
            <w:tcW w:w="487" w:type="pct"/>
            <w:vAlign w:val="top"/>
            <w:textDirection w:val="lrTb"/>
            <w:noWrap w:val="false"/>
          </w:tcPr>
          <w:p>
            <w:pPr>
              <w:pStyle w:val="1250"/>
              <w:numPr>
                <w:ilvl w:val="0"/>
                <w:numId w:val="45"/>
              </w:numPr>
              <w:contextualSpacing/>
              <w:ind w:left="0" w:firstLine="0"/>
              <w:rPr>
                <w:szCs w:val="20"/>
              </w:rPr>
            </w:pPr>
            <w:r>
              <w:rPr>
                <w:szCs w:val="20"/>
              </w:rPr>
            </w:r>
            <w:r>
              <w:rPr>
                <w:szCs w:val="20"/>
              </w:rPr>
            </w:r>
            <w:r>
              <w:rPr>
                <w:szCs w:val="20"/>
              </w:rPr>
            </w:r>
          </w:p>
        </w:tc>
        <w:tc>
          <w:tcPr>
            <w:tcW w:w="2708" w:type="pct"/>
            <w:textDirection w:val="lrTb"/>
            <w:noWrap w:val="false"/>
          </w:tcPr>
          <w:p>
            <w:pPr>
              <w:jc w:val="both"/>
              <w:rPr>
                <w:szCs w:val="20"/>
              </w:rPr>
            </w:pPr>
            <w:r>
              <w:rPr>
                <w:szCs w:val="20"/>
              </w:rPr>
              <w:t xml:space="preserve">Количество магистральных выводов</w:t>
            </w:r>
            <w:r>
              <w:rPr>
                <w:szCs w:val="20"/>
              </w:rPr>
            </w:r>
            <w:r>
              <w:rPr>
                <w:szCs w:val="20"/>
              </w:rPr>
            </w:r>
          </w:p>
        </w:tc>
        <w:tc>
          <w:tcPr>
            <w:tcW w:w="1805" w:type="pct"/>
            <w:textDirection w:val="lrTb"/>
            <w:noWrap w:val="false"/>
          </w:tcPr>
          <w:p>
            <w:pPr>
              <w:rPr>
                <w:szCs w:val="20"/>
              </w:rPr>
            </w:pPr>
            <w:r>
              <w:rPr>
                <w:szCs w:val="20"/>
              </w:rPr>
              <w:t xml:space="preserve">2</w:t>
            </w:r>
            <w:r>
              <w:rPr>
                <w:szCs w:val="20"/>
              </w:rPr>
            </w:r>
            <w:r>
              <w:rPr>
                <w:szCs w:val="20"/>
              </w:rPr>
            </w:r>
          </w:p>
        </w:tc>
      </w:tr>
      <w:tr>
        <w:tblPrEx/>
        <w:trPr/>
        <w:tc>
          <w:tcPr>
            <w:tcW w:w="487" w:type="pct"/>
            <w:vAlign w:val="top"/>
            <w:textDirection w:val="lrTb"/>
            <w:noWrap w:val="false"/>
          </w:tcPr>
          <w:p>
            <w:pPr>
              <w:pStyle w:val="1250"/>
              <w:numPr>
                <w:ilvl w:val="0"/>
                <w:numId w:val="45"/>
              </w:numPr>
              <w:contextualSpacing/>
              <w:ind w:left="0" w:firstLine="0"/>
              <w:rPr>
                <w:szCs w:val="20"/>
              </w:rPr>
            </w:pPr>
            <w:r>
              <w:rPr>
                <w:szCs w:val="20"/>
              </w:rPr>
            </w:r>
            <w:r>
              <w:rPr>
                <w:szCs w:val="20"/>
              </w:rPr>
            </w:r>
            <w:r>
              <w:rPr>
                <w:szCs w:val="20"/>
              </w:rPr>
            </w:r>
          </w:p>
        </w:tc>
        <w:tc>
          <w:tcPr>
            <w:tcW w:w="2708" w:type="pct"/>
            <w:textDirection w:val="lrTb"/>
            <w:noWrap w:val="false"/>
          </w:tcPr>
          <w:p>
            <w:pPr>
              <w:jc w:val="both"/>
              <w:rPr>
                <w:szCs w:val="20"/>
              </w:rPr>
            </w:pPr>
            <w:r>
              <w:rPr>
                <w:szCs w:val="20"/>
              </w:rPr>
              <w:t xml:space="preserve">Общая протяженность сетей, п.м</w:t>
            </w:r>
            <w:r>
              <w:rPr>
                <w:szCs w:val="20"/>
              </w:rPr>
            </w:r>
            <w:r>
              <w:rPr>
                <w:szCs w:val="20"/>
              </w:rPr>
            </w:r>
          </w:p>
        </w:tc>
        <w:tc>
          <w:tcPr>
            <w:tcW w:w="1805" w:type="pct"/>
            <w:textDirection w:val="lrTb"/>
            <w:noWrap w:val="false"/>
          </w:tcPr>
          <w:p>
            <w:pPr>
              <w:rPr>
                <w:szCs w:val="20"/>
              </w:rPr>
            </w:pPr>
            <w:r>
              <w:rPr>
                <w:szCs w:val="20"/>
              </w:rPr>
              <w:t xml:space="preserve">2726,3</w:t>
            </w:r>
            <w:r>
              <w:rPr>
                <w:szCs w:val="20"/>
              </w:rPr>
            </w:r>
            <w:r>
              <w:rPr>
                <w:szCs w:val="20"/>
              </w:rPr>
            </w:r>
          </w:p>
        </w:tc>
      </w:tr>
      <w:tr>
        <w:tblPrEx/>
        <w:trPr/>
        <w:tc>
          <w:tcPr>
            <w:tcW w:w="487" w:type="pct"/>
            <w:vAlign w:val="top"/>
            <w:textDirection w:val="lrTb"/>
            <w:noWrap w:val="false"/>
          </w:tcPr>
          <w:p>
            <w:pPr>
              <w:pStyle w:val="1250"/>
              <w:numPr>
                <w:ilvl w:val="0"/>
                <w:numId w:val="45"/>
              </w:numPr>
              <w:contextualSpacing/>
              <w:ind w:left="0" w:firstLine="0"/>
              <w:rPr>
                <w:szCs w:val="20"/>
              </w:rPr>
            </w:pPr>
            <w:r>
              <w:rPr>
                <w:szCs w:val="20"/>
              </w:rPr>
            </w:r>
            <w:r>
              <w:rPr>
                <w:szCs w:val="20"/>
              </w:rPr>
            </w:r>
            <w:r>
              <w:rPr>
                <w:szCs w:val="20"/>
              </w:rPr>
            </w:r>
          </w:p>
        </w:tc>
        <w:tc>
          <w:tcPr>
            <w:tcW w:w="2708" w:type="pct"/>
            <w:textDirection w:val="lrTb"/>
            <w:noWrap w:val="false"/>
          </w:tcPr>
          <w:p>
            <w:pPr>
              <w:jc w:val="both"/>
              <w:rPr>
                <w:szCs w:val="20"/>
              </w:rPr>
            </w:pPr>
            <w:r>
              <w:rPr>
                <w:szCs w:val="20"/>
              </w:rPr>
              <w:t xml:space="preserve">Высота расположения / глубина заложения тепловых сетей, м</w:t>
            </w:r>
            <w:r>
              <w:rPr>
                <w:szCs w:val="20"/>
              </w:rPr>
            </w:r>
            <w:r>
              <w:rPr>
                <w:szCs w:val="20"/>
              </w:rPr>
            </w:r>
          </w:p>
        </w:tc>
        <w:tc>
          <w:tcPr>
            <w:tcW w:w="1805" w:type="pct"/>
            <w:textDirection w:val="lrTb"/>
            <w:noWrap w:val="false"/>
          </w:tcPr>
          <w:p>
            <w:pPr>
              <w:rPr>
                <w:szCs w:val="20"/>
              </w:rPr>
            </w:pPr>
            <w:r>
              <w:rPr>
                <w:szCs w:val="20"/>
              </w:rPr>
              <w:t xml:space="preserve">0,5/1,5</w:t>
            </w:r>
            <w:r>
              <w:rPr>
                <w:szCs w:val="20"/>
              </w:rPr>
            </w:r>
            <w:r>
              <w:rPr>
                <w:szCs w:val="20"/>
              </w:rPr>
            </w:r>
          </w:p>
        </w:tc>
      </w:tr>
      <w:tr>
        <w:tblPrEx/>
        <w:trPr/>
        <w:tc>
          <w:tcPr>
            <w:tcW w:w="487" w:type="pct"/>
            <w:vAlign w:val="top"/>
            <w:textDirection w:val="lrTb"/>
            <w:noWrap w:val="false"/>
          </w:tcPr>
          <w:p>
            <w:pPr>
              <w:pStyle w:val="1250"/>
              <w:numPr>
                <w:ilvl w:val="0"/>
                <w:numId w:val="45"/>
              </w:numPr>
              <w:contextualSpacing/>
              <w:ind w:left="0" w:firstLine="0"/>
              <w:rPr>
                <w:szCs w:val="20"/>
              </w:rPr>
            </w:pPr>
            <w:r>
              <w:rPr>
                <w:szCs w:val="20"/>
              </w:rPr>
            </w:r>
            <w:r>
              <w:rPr>
                <w:szCs w:val="20"/>
              </w:rPr>
            </w:r>
            <w:r>
              <w:rPr>
                <w:szCs w:val="20"/>
              </w:rPr>
            </w:r>
          </w:p>
        </w:tc>
        <w:tc>
          <w:tcPr>
            <w:tcW w:w="2708" w:type="pct"/>
            <w:textDirection w:val="lrTb"/>
            <w:noWrap w:val="false"/>
          </w:tcPr>
          <w:p>
            <w:pPr>
              <w:jc w:val="both"/>
              <w:rPr>
                <w:szCs w:val="20"/>
              </w:rPr>
            </w:pPr>
            <w:r>
              <w:rPr>
                <w:szCs w:val="20"/>
              </w:rPr>
              <w:t xml:space="preserve">Год начала эксплуатации</w:t>
            </w:r>
            <w:r>
              <w:rPr>
                <w:szCs w:val="20"/>
              </w:rPr>
            </w:r>
            <w:r>
              <w:rPr>
                <w:szCs w:val="20"/>
              </w:rPr>
            </w:r>
          </w:p>
        </w:tc>
        <w:tc>
          <w:tcPr>
            <w:tcW w:w="1805" w:type="pct"/>
            <w:textDirection w:val="lrTb"/>
            <w:noWrap w:val="false"/>
          </w:tcPr>
          <w:p>
            <w:pPr>
              <w:rPr>
                <w:szCs w:val="20"/>
              </w:rPr>
            </w:pPr>
            <w:r>
              <w:rPr>
                <w:szCs w:val="20"/>
              </w:rPr>
              <w:t xml:space="preserve">1967</w:t>
            </w:r>
            <w:r>
              <w:rPr>
                <w:szCs w:val="20"/>
              </w:rPr>
            </w:r>
            <w:r>
              <w:rPr>
                <w:szCs w:val="20"/>
              </w:rPr>
            </w:r>
          </w:p>
        </w:tc>
      </w:tr>
      <w:tr>
        <w:tblPrEx/>
        <w:trPr/>
        <w:tc>
          <w:tcPr>
            <w:tcW w:w="487" w:type="pct"/>
            <w:vAlign w:val="top"/>
            <w:textDirection w:val="lrTb"/>
            <w:noWrap w:val="false"/>
          </w:tcPr>
          <w:p>
            <w:pPr>
              <w:pStyle w:val="1250"/>
              <w:numPr>
                <w:ilvl w:val="0"/>
                <w:numId w:val="45"/>
              </w:numPr>
              <w:contextualSpacing/>
              <w:ind w:left="0" w:firstLine="0"/>
              <w:rPr>
                <w:szCs w:val="20"/>
              </w:rPr>
            </w:pPr>
            <w:r>
              <w:rPr>
                <w:szCs w:val="20"/>
              </w:rPr>
            </w:r>
            <w:r>
              <w:rPr>
                <w:szCs w:val="20"/>
              </w:rPr>
            </w:r>
            <w:r>
              <w:rPr>
                <w:szCs w:val="20"/>
              </w:rPr>
            </w:r>
          </w:p>
        </w:tc>
        <w:tc>
          <w:tcPr>
            <w:tcW w:w="2708" w:type="pct"/>
            <w:textDirection w:val="lrTb"/>
            <w:noWrap w:val="false"/>
          </w:tcPr>
          <w:p>
            <w:pPr>
              <w:jc w:val="both"/>
              <w:rPr>
                <w:szCs w:val="20"/>
              </w:rPr>
            </w:pPr>
            <w:r>
              <w:rPr>
                <w:szCs w:val="20"/>
              </w:rPr>
              <w:t xml:space="preserve">Тип изоляции</w:t>
            </w:r>
            <w:r>
              <w:rPr>
                <w:szCs w:val="20"/>
              </w:rPr>
            </w:r>
            <w:r>
              <w:rPr>
                <w:szCs w:val="20"/>
              </w:rPr>
            </w:r>
          </w:p>
        </w:tc>
        <w:tc>
          <w:tcPr>
            <w:tcW w:w="1805" w:type="pct"/>
            <w:textDirection w:val="lrTb"/>
            <w:noWrap w:val="false"/>
          </w:tcPr>
          <w:p>
            <w:pPr>
              <w:rPr>
                <w:szCs w:val="20"/>
              </w:rPr>
            </w:pPr>
            <w:r>
              <w:rPr>
                <w:szCs w:val="20"/>
              </w:rPr>
              <w:t xml:space="preserve">минеральная вата; гидроизоляция</w:t>
            </w:r>
            <w:r>
              <w:rPr>
                <w:szCs w:val="20"/>
              </w:rPr>
            </w:r>
            <w:r>
              <w:rPr>
                <w:szCs w:val="20"/>
              </w:rPr>
            </w:r>
          </w:p>
        </w:tc>
      </w:tr>
      <w:tr>
        <w:tblPrEx/>
        <w:trPr/>
        <w:tc>
          <w:tcPr>
            <w:tcW w:w="487" w:type="pct"/>
            <w:vAlign w:val="top"/>
            <w:textDirection w:val="lrTb"/>
            <w:noWrap w:val="false"/>
          </w:tcPr>
          <w:p>
            <w:pPr>
              <w:pStyle w:val="1250"/>
              <w:numPr>
                <w:ilvl w:val="0"/>
                <w:numId w:val="45"/>
              </w:numPr>
              <w:contextualSpacing/>
              <w:ind w:left="0" w:firstLine="0"/>
              <w:rPr>
                <w:szCs w:val="20"/>
              </w:rPr>
            </w:pPr>
            <w:r>
              <w:rPr>
                <w:szCs w:val="20"/>
              </w:rPr>
            </w:r>
            <w:r>
              <w:rPr>
                <w:szCs w:val="20"/>
              </w:rPr>
            </w:r>
            <w:r>
              <w:rPr>
                <w:szCs w:val="20"/>
              </w:rPr>
            </w:r>
          </w:p>
        </w:tc>
        <w:tc>
          <w:tcPr>
            <w:tcW w:w="2708" w:type="pct"/>
            <w:textDirection w:val="lrTb"/>
            <w:noWrap w:val="false"/>
          </w:tcPr>
          <w:p>
            <w:pPr>
              <w:jc w:val="both"/>
              <w:rPr>
                <w:szCs w:val="20"/>
              </w:rPr>
            </w:pPr>
            <w:r>
              <w:rPr>
                <w:szCs w:val="20"/>
              </w:rPr>
              <w:t xml:space="preserve">Тип прокладки</w:t>
            </w:r>
            <w:r>
              <w:rPr>
                <w:szCs w:val="20"/>
              </w:rPr>
            </w:r>
            <w:r>
              <w:rPr>
                <w:szCs w:val="20"/>
              </w:rPr>
            </w:r>
          </w:p>
        </w:tc>
        <w:tc>
          <w:tcPr>
            <w:tcW w:w="1805" w:type="pct"/>
            <w:textDirection w:val="lrTb"/>
            <w:noWrap w:val="false"/>
          </w:tcPr>
          <w:p>
            <w:pPr>
              <w:rPr>
                <w:szCs w:val="20"/>
              </w:rPr>
            </w:pPr>
            <w:r>
              <w:rPr>
                <w:szCs w:val="20"/>
              </w:rPr>
              <w:t xml:space="preserve">воздушная на низких опорах;</w:t>
            </w:r>
            <w:r>
              <w:rPr>
                <w:szCs w:val="20"/>
              </w:rPr>
            </w:r>
            <w:r>
              <w:rPr>
                <w:szCs w:val="20"/>
              </w:rPr>
            </w:r>
          </w:p>
          <w:p>
            <w:pPr>
              <w:rPr>
                <w:szCs w:val="20"/>
              </w:rPr>
            </w:pPr>
            <w:r>
              <w:rPr>
                <w:szCs w:val="20"/>
              </w:rPr>
              <w:t xml:space="preserve">подземная бесканальная</w:t>
            </w:r>
            <w:r>
              <w:rPr>
                <w:szCs w:val="20"/>
              </w:rPr>
            </w:r>
            <w:r>
              <w:rPr>
                <w:szCs w:val="20"/>
              </w:rPr>
            </w:r>
          </w:p>
        </w:tc>
      </w:tr>
      <w:tr>
        <w:tblPrEx/>
        <w:trPr/>
        <w:tc>
          <w:tcPr>
            <w:tcW w:w="487" w:type="pct"/>
            <w:vAlign w:val="top"/>
            <w:textDirection w:val="lrTb"/>
            <w:noWrap w:val="false"/>
          </w:tcPr>
          <w:p>
            <w:pPr>
              <w:pStyle w:val="1250"/>
              <w:numPr>
                <w:ilvl w:val="0"/>
                <w:numId w:val="45"/>
              </w:numPr>
              <w:contextualSpacing/>
              <w:ind w:left="0" w:firstLine="0"/>
              <w:rPr>
                <w:szCs w:val="20"/>
              </w:rPr>
            </w:pPr>
            <w:r>
              <w:rPr>
                <w:szCs w:val="20"/>
              </w:rPr>
            </w:r>
            <w:r>
              <w:rPr>
                <w:szCs w:val="20"/>
              </w:rPr>
            </w:r>
            <w:r>
              <w:rPr>
                <w:szCs w:val="20"/>
              </w:rPr>
            </w:r>
          </w:p>
        </w:tc>
        <w:tc>
          <w:tcPr>
            <w:tcW w:w="2708" w:type="pct"/>
            <w:textDirection w:val="lrTb"/>
            <w:noWrap w:val="false"/>
          </w:tcPr>
          <w:p>
            <w:pPr>
              <w:jc w:val="both"/>
              <w:rPr>
                <w:szCs w:val="20"/>
              </w:rPr>
            </w:pPr>
            <w:r>
              <w:rPr>
                <w:szCs w:val="20"/>
              </w:rPr>
              <w:t xml:space="preserve">Тип компенсирующих устройств</w:t>
            </w:r>
            <w:r>
              <w:rPr>
                <w:szCs w:val="20"/>
              </w:rPr>
            </w:r>
            <w:r>
              <w:rPr>
                <w:szCs w:val="20"/>
              </w:rPr>
            </w:r>
          </w:p>
        </w:tc>
        <w:tc>
          <w:tcPr>
            <w:tcW w:w="1805" w:type="pct"/>
            <w:textDirection w:val="lrTb"/>
            <w:noWrap w:val="false"/>
          </w:tcPr>
          <w:p>
            <w:pPr>
              <w:rPr>
                <w:szCs w:val="20"/>
              </w:rPr>
            </w:pPr>
            <w:r>
              <w:rPr>
                <w:szCs w:val="20"/>
              </w:rPr>
              <w:t xml:space="preserve">песчано-глинистый, суглинки</w:t>
            </w:r>
            <w:r>
              <w:rPr>
                <w:szCs w:val="20"/>
              </w:rPr>
            </w:r>
            <w:r>
              <w:rPr>
                <w:szCs w:val="20"/>
              </w:rPr>
            </w:r>
          </w:p>
        </w:tc>
      </w:tr>
      <w:tr>
        <w:tblPrEx/>
        <w:trPr/>
        <w:tc>
          <w:tcPr>
            <w:tcW w:w="487" w:type="pct"/>
            <w:vAlign w:val="top"/>
            <w:textDirection w:val="lrTb"/>
            <w:noWrap w:val="false"/>
          </w:tcPr>
          <w:p>
            <w:pPr>
              <w:pStyle w:val="1250"/>
              <w:numPr>
                <w:ilvl w:val="0"/>
                <w:numId w:val="45"/>
              </w:numPr>
              <w:contextualSpacing/>
              <w:ind w:left="0" w:firstLine="0"/>
              <w:rPr>
                <w:szCs w:val="20"/>
              </w:rPr>
            </w:pPr>
            <w:r>
              <w:rPr>
                <w:szCs w:val="20"/>
              </w:rPr>
            </w:r>
            <w:r>
              <w:rPr>
                <w:szCs w:val="20"/>
              </w:rPr>
            </w:r>
            <w:r>
              <w:rPr>
                <w:szCs w:val="20"/>
              </w:rPr>
            </w:r>
          </w:p>
        </w:tc>
        <w:tc>
          <w:tcPr>
            <w:tcW w:w="2708" w:type="pct"/>
            <w:textDirection w:val="lrTb"/>
            <w:noWrap w:val="false"/>
          </w:tcPr>
          <w:p>
            <w:pPr>
              <w:jc w:val="both"/>
              <w:rPr>
                <w:szCs w:val="20"/>
              </w:rPr>
            </w:pPr>
            <w:r>
              <w:rPr>
                <w:szCs w:val="20"/>
              </w:rPr>
              <w:t xml:space="preserve">Характеристика грунта</w:t>
            </w:r>
            <w:r>
              <w:rPr>
                <w:szCs w:val="20"/>
              </w:rPr>
            </w:r>
            <w:r>
              <w:rPr>
                <w:szCs w:val="20"/>
              </w:rPr>
            </w:r>
          </w:p>
        </w:tc>
        <w:tc>
          <w:tcPr>
            <w:tcW w:w="1805" w:type="pct"/>
            <w:textDirection w:val="lrTb"/>
            <w:noWrap w:val="false"/>
          </w:tcPr>
          <w:p>
            <w:pPr>
              <w:rPr>
                <w:szCs w:val="20"/>
              </w:rPr>
            </w:pPr>
            <w:r>
              <w:rPr>
                <w:szCs w:val="20"/>
              </w:rPr>
              <w:t xml:space="preserve">П-образные компенсаторы</w:t>
            </w:r>
            <w:r>
              <w:rPr>
                <w:szCs w:val="20"/>
              </w:rPr>
            </w:r>
            <w:r>
              <w:rPr>
                <w:szCs w:val="20"/>
              </w:rPr>
            </w:r>
          </w:p>
        </w:tc>
      </w:tr>
      <w:tr>
        <w:tblPrEx/>
        <w:trPr/>
        <w:tc>
          <w:tcPr>
            <w:tcW w:w="487" w:type="pct"/>
            <w:vAlign w:val="top"/>
            <w:textDirection w:val="lrTb"/>
            <w:noWrap w:val="false"/>
          </w:tcPr>
          <w:p>
            <w:pPr>
              <w:pStyle w:val="1250"/>
              <w:numPr>
                <w:ilvl w:val="0"/>
                <w:numId w:val="45"/>
              </w:numPr>
              <w:contextualSpacing/>
              <w:ind w:left="0" w:firstLine="0"/>
              <w:rPr>
                <w:szCs w:val="20"/>
              </w:rPr>
            </w:pPr>
            <w:r>
              <w:rPr>
                <w:szCs w:val="20"/>
              </w:rPr>
            </w:r>
            <w:r>
              <w:rPr>
                <w:szCs w:val="20"/>
              </w:rPr>
            </w:r>
            <w:r>
              <w:rPr>
                <w:szCs w:val="20"/>
              </w:rPr>
            </w:r>
          </w:p>
        </w:tc>
        <w:tc>
          <w:tcPr>
            <w:tcW w:w="2708" w:type="pct"/>
            <w:textDirection w:val="lrTb"/>
            <w:noWrap w:val="false"/>
          </w:tcPr>
          <w:p>
            <w:pPr>
              <w:jc w:val="both"/>
              <w:rPr>
                <w:szCs w:val="20"/>
              </w:rPr>
            </w:pPr>
            <w:r>
              <w:rPr>
                <w:szCs w:val="20"/>
              </w:rPr>
              <w:t xml:space="preserve">Наименее надежный участок</w:t>
            </w:r>
            <w:r>
              <w:rPr>
                <w:szCs w:val="20"/>
              </w:rPr>
            </w:r>
            <w:r>
              <w:rPr>
                <w:szCs w:val="20"/>
              </w:rPr>
            </w:r>
          </w:p>
        </w:tc>
        <w:tc>
          <w:tcPr>
            <w:tcW w:w="1805" w:type="pct"/>
            <w:textDirection w:val="lrTb"/>
            <w:noWrap w:val="false"/>
          </w:tcPr>
          <w:p>
            <w:pPr>
              <w:rPr>
                <w:szCs w:val="20"/>
              </w:rPr>
            </w:pPr>
            <w:r>
              <w:rPr>
                <w:szCs w:val="20"/>
              </w:rPr>
              <w:t xml:space="preserve">магистральный</w:t>
            </w:r>
            <w:r>
              <w:rPr>
                <w:szCs w:val="20"/>
              </w:rPr>
            </w:r>
            <w:r>
              <w:rPr>
                <w:szCs w:val="20"/>
              </w:rPr>
            </w:r>
          </w:p>
        </w:tc>
      </w:tr>
      <w:tr>
        <w:tblPrEx/>
        <w:trPr/>
        <w:tc>
          <w:tcPr>
            <w:tcW w:w="487" w:type="pct"/>
            <w:vAlign w:val="top"/>
            <w:textDirection w:val="lrTb"/>
            <w:noWrap w:val="false"/>
          </w:tcPr>
          <w:p>
            <w:pPr>
              <w:pStyle w:val="1250"/>
              <w:numPr>
                <w:ilvl w:val="0"/>
                <w:numId w:val="45"/>
              </w:numPr>
              <w:contextualSpacing/>
              <w:ind w:left="0" w:firstLine="0"/>
              <w:rPr>
                <w:szCs w:val="20"/>
              </w:rPr>
            </w:pPr>
            <w:r>
              <w:rPr>
                <w:szCs w:val="20"/>
              </w:rPr>
            </w:r>
            <w:r>
              <w:rPr>
                <w:szCs w:val="20"/>
              </w:rPr>
            </w:r>
            <w:r>
              <w:rPr>
                <w:szCs w:val="20"/>
              </w:rPr>
            </w:r>
          </w:p>
        </w:tc>
        <w:tc>
          <w:tcPr>
            <w:tcW w:w="2708" w:type="pct"/>
            <w:textDirection w:val="lrTb"/>
            <w:noWrap w:val="false"/>
          </w:tcPr>
          <w:p>
            <w:pPr>
              <w:jc w:val="both"/>
              <w:rPr>
                <w:szCs w:val="20"/>
              </w:rPr>
            </w:pPr>
            <w:r>
              <w:rPr>
                <w:szCs w:val="20"/>
              </w:rPr>
              <w:t xml:space="preserve">Материальная характеристика, м</w:t>
            </w:r>
            <w:r>
              <w:rPr>
                <w:szCs w:val="20"/>
                <w:vertAlign w:val="superscript"/>
              </w:rPr>
              <w:t xml:space="preserve">2</w:t>
            </w:r>
            <w:r>
              <w:rPr>
                <w:szCs w:val="20"/>
              </w:rPr>
            </w:r>
            <w:r>
              <w:rPr>
                <w:szCs w:val="20"/>
              </w:rPr>
            </w:r>
          </w:p>
        </w:tc>
        <w:tc>
          <w:tcPr>
            <w:tcW w:w="1805" w:type="pct"/>
            <w:textDirection w:val="lrTb"/>
            <w:noWrap w:val="false"/>
          </w:tcPr>
          <w:p>
            <w:pPr>
              <w:rPr>
                <w:szCs w:val="20"/>
              </w:rPr>
            </w:pPr>
            <w:r>
              <w:rPr>
                <w:szCs w:val="20"/>
              </w:rPr>
              <w:t xml:space="preserve">1000,73</w:t>
            </w:r>
            <w:r>
              <w:rPr>
                <w:szCs w:val="20"/>
              </w:rPr>
            </w:r>
            <w:r>
              <w:rPr>
                <w:szCs w:val="20"/>
              </w:rPr>
            </w:r>
          </w:p>
        </w:tc>
      </w:tr>
    </w:tbl>
    <w:p>
      <w:pPr>
        <w:pStyle w:val="1247"/>
        <w:ind w:left="118" w:right="111" w:firstLine="707"/>
        <w:jc w:val="right"/>
        <w:spacing w:before="115"/>
      </w:pPr>
      <w:r>
        <w:t xml:space="preserve">Таблица 1.3.3.4</w:t>
      </w:r>
      <w:r/>
    </w:p>
    <w:p>
      <w:pPr>
        <w:pStyle w:val="1247"/>
        <w:ind w:left="118" w:right="111" w:firstLine="707"/>
        <w:jc w:val="center"/>
        <w:spacing w:before="115"/>
      </w:pPr>
      <w:r>
        <w:t xml:space="preserve">Параметры тепловой сети ООО «Новомировское домоуправление» </w:t>
      </w:r>
      <w:r/>
    </w:p>
    <w:tbl>
      <w:tblPr>
        <w:tblStyle w:val="1257"/>
        <w:tblW w:w="4880" w:type="pct"/>
        <w:tblLook w:val="04A0" w:firstRow="1" w:lastRow="0" w:firstColumn="1" w:lastColumn="0" w:noHBand="0" w:noVBand="1"/>
      </w:tblPr>
      <w:tblGrid>
        <w:gridCol w:w="945"/>
        <w:gridCol w:w="5287"/>
        <w:gridCol w:w="3430"/>
      </w:tblGrid>
      <w:tr>
        <w:tblPrEx/>
        <w:trPr/>
        <w:tc>
          <w:tcPr>
            <w:tcW w:w="489" w:type="pct"/>
            <w:textDirection w:val="lrTb"/>
            <w:noWrap w:val="false"/>
          </w:tcPr>
          <w:p>
            <w:pPr>
              <w:jc w:val="both"/>
              <w:rPr>
                <w:szCs w:val="20"/>
              </w:rPr>
            </w:pPr>
            <w:r>
              <w:rPr>
                <w:szCs w:val="20"/>
              </w:rPr>
              <w:t xml:space="preserve">№ пп</w:t>
            </w:r>
            <w:r>
              <w:rPr>
                <w:szCs w:val="20"/>
              </w:rPr>
            </w:r>
            <w:r>
              <w:rPr>
                <w:szCs w:val="20"/>
              </w:rPr>
            </w:r>
          </w:p>
        </w:tc>
        <w:tc>
          <w:tcPr>
            <w:tcW w:w="2736" w:type="pct"/>
            <w:textDirection w:val="lrTb"/>
            <w:noWrap w:val="false"/>
          </w:tcPr>
          <w:p>
            <w:pPr>
              <w:rPr>
                <w:szCs w:val="20"/>
              </w:rPr>
            </w:pPr>
            <w:r>
              <w:rPr>
                <w:szCs w:val="20"/>
              </w:rPr>
              <w:t xml:space="preserve">Параметр</w:t>
            </w:r>
            <w:r>
              <w:rPr>
                <w:szCs w:val="20"/>
              </w:rPr>
            </w:r>
            <w:r>
              <w:rPr>
                <w:szCs w:val="20"/>
              </w:rPr>
            </w:r>
          </w:p>
        </w:tc>
        <w:tc>
          <w:tcPr>
            <w:tcW w:w="1775" w:type="pct"/>
            <w:textDirection w:val="lrTb"/>
            <w:noWrap w:val="false"/>
          </w:tcPr>
          <w:p>
            <w:pPr>
              <w:rPr>
                <w:szCs w:val="20"/>
              </w:rPr>
            </w:pPr>
            <w:r>
              <w:rPr>
                <w:szCs w:val="20"/>
              </w:rPr>
              <w:t xml:space="preserve">Характеристика, значение</w:t>
            </w:r>
            <w:r>
              <w:rPr>
                <w:szCs w:val="20"/>
              </w:rPr>
            </w:r>
            <w:r>
              <w:rPr>
                <w:szCs w:val="20"/>
              </w:rPr>
            </w:r>
          </w:p>
        </w:tc>
      </w:tr>
      <w:tr>
        <w:tblPrEx/>
        <w:trPr/>
        <w:tc>
          <w:tcPr>
            <w:tcW w:w="489" w:type="pct"/>
            <w:textDirection w:val="lrTb"/>
            <w:noWrap w:val="false"/>
          </w:tcPr>
          <w:p>
            <w:pPr>
              <w:pStyle w:val="1250"/>
              <w:numPr>
                <w:ilvl w:val="0"/>
                <w:numId w:val="47"/>
              </w:numPr>
              <w:contextualSpacing/>
              <w:ind w:left="0" w:firstLine="0"/>
              <w:rPr>
                <w:szCs w:val="20"/>
              </w:rPr>
            </w:pPr>
            <w:r>
              <w:rPr>
                <w:szCs w:val="20"/>
              </w:rPr>
            </w:r>
            <w:r>
              <w:rPr>
                <w:szCs w:val="20"/>
              </w:rPr>
            </w:r>
            <w:r>
              <w:rPr>
                <w:szCs w:val="20"/>
              </w:rPr>
            </w:r>
          </w:p>
        </w:tc>
        <w:tc>
          <w:tcPr>
            <w:tcW w:w="2736" w:type="pct"/>
            <w:textDirection w:val="lrTb"/>
            <w:noWrap w:val="false"/>
          </w:tcPr>
          <w:p>
            <w:pPr>
              <w:jc w:val="both"/>
              <w:rPr>
                <w:szCs w:val="20"/>
              </w:rPr>
            </w:pPr>
            <w:r>
              <w:rPr>
                <w:szCs w:val="20"/>
              </w:rPr>
              <w:t xml:space="preserve">Наружный диаметр, мм</w:t>
            </w:r>
            <w:r>
              <w:rPr>
                <w:szCs w:val="20"/>
              </w:rPr>
            </w:r>
            <w:r>
              <w:rPr>
                <w:szCs w:val="20"/>
              </w:rPr>
            </w:r>
          </w:p>
        </w:tc>
        <w:tc>
          <w:tcPr>
            <w:tcW w:w="1775" w:type="pct"/>
            <w:textDirection w:val="lrTb"/>
            <w:noWrap w:val="false"/>
          </w:tcPr>
          <w:p>
            <w:pPr>
              <w:rPr>
                <w:szCs w:val="20"/>
              </w:rPr>
            </w:pPr>
            <w:r>
              <w:rPr>
                <w:szCs w:val="20"/>
              </w:rPr>
              <w:t xml:space="preserve">300; 250; 150; 125; 100; 75; 50; 40; 32</w:t>
            </w:r>
            <w:r>
              <w:rPr>
                <w:szCs w:val="20"/>
              </w:rPr>
            </w:r>
            <w:r>
              <w:rPr>
                <w:szCs w:val="20"/>
              </w:rPr>
            </w:r>
          </w:p>
        </w:tc>
      </w:tr>
      <w:tr>
        <w:tblPrEx/>
        <w:trPr/>
        <w:tc>
          <w:tcPr>
            <w:tcW w:w="489" w:type="pct"/>
            <w:textDirection w:val="lrTb"/>
            <w:noWrap w:val="false"/>
          </w:tcPr>
          <w:p>
            <w:pPr>
              <w:pStyle w:val="1250"/>
              <w:numPr>
                <w:ilvl w:val="0"/>
                <w:numId w:val="47"/>
              </w:numPr>
              <w:contextualSpacing/>
              <w:ind w:left="0" w:firstLine="0"/>
              <w:rPr>
                <w:szCs w:val="20"/>
              </w:rPr>
            </w:pPr>
            <w:r>
              <w:rPr>
                <w:szCs w:val="20"/>
              </w:rPr>
            </w:r>
            <w:r>
              <w:rPr>
                <w:szCs w:val="20"/>
              </w:rPr>
            </w:r>
            <w:r>
              <w:rPr>
                <w:szCs w:val="20"/>
              </w:rPr>
            </w:r>
          </w:p>
        </w:tc>
        <w:tc>
          <w:tcPr>
            <w:tcW w:w="2736" w:type="pct"/>
            <w:textDirection w:val="lrTb"/>
            <w:noWrap w:val="false"/>
          </w:tcPr>
          <w:p>
            <w:pPr>
              <w:jc w:val="both"/>
              <w:rPr>
                <w:szCs w:val="20"/>
              </w:rPr>
            </w:pPr>
            <w:r>
              <w:rPr>
                <w:szCs w:val="20"/>
              </w:rPr>
              <w:t xml:space="preserve">Материал</w:t>
            </w:r>
            <w:r>
              <w:rPr>
                <w:szCs w:val="20"/>
              </w:rPr>
            </w:r>
            <w:r>
              <w:rPr>
                <w:szCs w:val="20"/>
              </w:rPr>
            </w:r>
          </w:p>
        </w:tc>
        <w:tc>
          <w:tcPr>
            <w:tcW w:w="1775" w:type="pct"/>
            <w:textDirection w:val="lrTb"/>
            <w:noWrap w:val="false"/>
          </w:tcPr>
          <w:p>
            <w:pPr>
              <w:rPr>
                <w:szCs w:val="20"/>
              </w:rPr>
            </w:pPr>
            <w:r>
              <w:rPr>
                <w:szCs w:val="20"/>
              </w:rPr>
              <w:t xml:space="preserve">сталь</w:t>
            </w:r>
            <w:r>
              <w:rPr>
                <w:szCs w:val="20"/>
              </w:rPr>
            </w:r>
            <w:r>
              <w:rPr>
                <w:szCs w:val="20"/>
              </w:rPr>
            </w:r>
          </w:p>
        </w:tc>
      </w:tr>
      <w:tr>
        <w:tblPrEx/>
        <w:trPr/>
        <w:tc>
          <w:tcPr>
            <w:tcW w:w="489" w:type="pct"/>
            <w:textDirection w:val="lrTb"/>
            <w:noWrap w:val="false"/>
          </w:tcPr>
          <w:p>
            <w:pPr>
              <w:pStyle w:val="1250"/>
              <w:numPr>
                <w:ilvl w:val="0"/>
                <w:numId w:val="47"/>
              </w:numPr>
              <w:contextualSpacing/>
              <w:ind w:left="0" w:firstLine="0"/>
              <w:rPr>
                <w:szCs w:val="20"/>
              </w:rPr>
            </w:pPr>
            <w:r>
              <w:rPr>
                <w:szCs w:val="20"/>
              </w:rPr>
            </w:r>
            <w:r>
              <w:rPr>
                <w:szCs w:val="20"/>
              </w:rPr>
            </w:r>
            <w:r>
              <w:rPr>
                <w:szCs w:val="20"/>
              </w:rPr>
            </w:r>
          </w:p>
        </w:tc>
        <w:tc>
          <w:tcPr>
            <w:tcW w:w="2736" w:type="pct"/>
            <w:textDirection w:val="lrTb"/>
            <w:noWrap w:val="false"/>
          </w:tcPr>
          <w:p>
            <w:pPr>
              <w:jc w:val="both"/>
              <w:rPr>
                <w:szCs w:val="20"/>
              </w:rPr>
            </w:pPr>
            <w:r>
              <w:rPr>
                <w:szCs w:val="20"/>
              </w:rPr>
              <w:t xml:space="preserve">Схема исполнения тепловой сети</w:t>
            </w:r>
            <w:r>
              <w:rPr>
                <w:szCs w:val="20"/>
              </w:rPr>
            </w:r>
            <w:r>
              <w:rPr>
                <w:szCs w:val="20"/>
              </w:rPr>
            </w:r>
          </w:p>
        </w:tc>
        <w:tc>
          <w:tcPr>
            <w:tcW w:w="1775" w:type="pct"/>
            <w:textDirection w:val="lrTb"/>
            <w:noWrap w:val="false"/>
          </w:tcPr>
          <w:p>
            <w:pPr>
              <w:ind w:left="-111" w:right="-105" w:firstLine="6"/>
              <w:rPr>
                <w:szCs w:val="20"/>
              </w:rPr>
            </w:pPr>
            <w:r>
              <w:rPr>
                <w:szCs w:val="20"/>
              </w:rPr>
              <w:t xml:space="preserve">двухтрубная</w:t>
            </w:r>
            <w:r>
              <w:rPr>
                <w:szCs w:val="20"/>
              </w:rPr>
            </w:r>
            <w:r>
              <w:rPr>
                <w:szCs w:val="20"/>
              </w:rPr>
            </w:r>
          </w:p>
        </w:tc>
      </w:tr>
      <w:tr>
        <w:tblPrEx/>
        <w:trPr/>
        <w:tc>
          <w:tcPr>
            <w:tcW w:w="489" w:type="pct"/>
            <w:textDirection w:val="lrTb"/>
            <w:noWrap w:val="false"/>
          </w:tcPr>
          <w:p>
            <w:pPr>
              <w:pStyle w:val="1250"/>
              <w:numPr>
                <w:ilvl w:val="0"/>
                <w:numId w:val="47"/>
              </w:numPr>
              <w:contextualSpacing/>
              <w:ind w:left="0" w:firstLine="0"/>
              <w:rPr>
                <w:szCs w:val="20"/>
              </w:rPr>
            </w:pPr>
            <w:r>
              <w:rPr>
                <w:szCs w:val="20"/>
              </w:rPr>
            </w:r>
            <w:r>
              <w:rPr>
                <w:szCs w:val="20"/>
              </w:rPr>
            </w:r>
            <w:r>
              <w:rPr>
                <w:szCs w:val="20"/>
              </w:rPr>
            </w:r>
          </w:p>
        </w:tc>
        <w:tc>
          <w:tcPr>
            <w:tcW w:w="2736" w:type="pct"/>
            <w:textDirection w:val="lrTb"/>
            <w:noWrap w:val="false"/>
          </w:tcPr>
          <w:p>
            <w:pPr>
              <w:jc w:val="both"/>
              <w:rPr>
                <w:szCs w:val="20"/>
              </w:rPr>
            </w:pPr>
            <w:r>
              <w:rPr>
                <w:szCs w:val="20"/>
              </w:rPr>
              <w:t xml:space="preserve">Конструкция</w:t>
            </w:r>
            <w:r>
              <w:rPr>
                <w:szCs w:val="20"/>
              </w:rPr>
            </w:r>
            <w:r>
              <w:rPr>
                <w:szCs w:val="20"/>
              </w:rPr>
            </w:r>
          </w:p>
        </w:tc>
        <w:tc>
          <w:tcPr>
            <w:tcW w:w="1775" w:type="pct"/>
            <w:textDirection w:val="lrTb"/>
            <w:noWrap w:val="false"/>
          </w:tcPr>
          <w:p>
            <w:pPr>
              <w:rPr>
                <w:szCs w:val="20"/>
              </w:rPr>
            </w:pPr>
            <w:r>
              <w:rPr>
                <w:szCs w:val="20"/>
              </w:rPr>
              <w:t xml:space="preserve">тупиковая</w:t>
            </w:r>
            <w:r>
              <w:rPr>
                <w:szCs w:val="20"/>
              </w:rPr>
            </w:r>
            <w:r>
              <w:rPr>
                <w:szCs w:val="20"/>
              </w:rPr>
            </w:r>
          </w:p>
        </w:tc>
      </w:tr>
      <w:tr>
        <w:tblPrEx/>
        <w:trPr/>
        <w:tc>
          <w:tcPr>
            <w:tcW w:w="489" w:type="pct"/>
            <w:textDirection w:val="lrTb"/>
            <w:noWrap w:val="false"/>
          </w:tcPr>
          <w:p>
            <w:pPr>
              <w:pStyle w:val="1250"/>
              <w:numPr>
                <w:ilvl w:val="0"/>
                <w:numId w:val="47"/>
              </w:numPr>
              <w:contextualSpacing/>
              <w:ind w:left="0" w:firstLine="0"/>
              <w:rPr>
                <w:szCs w:val="20"/>
              </w:rPr>
            </w:pPr>
            <w:r>
              <w:rPr>
                <w:szCs w:val="20"/>
              </w:rPr>
            </w:r>
            <w:r>
              <w:rPr>
                <w:szCs w:val="20"/>
              </w:rPr>
            </w:r>
            <w:r>
              <w:rPr>
                <w:szCs w:val="20"/>
              </w:rPr>
            </w:r>
          </w:p>
        </w:tc>
        <w:tc>
          <w:tcPr>
            <w:tcW w:w="2736" w:type="pct"/>
            <w:textDirection w:val="lrTb"/>
            <w:noWrap w:val="false"/>
          </w:tcPr>
          <w:p>
            <w:pPr>
              <w:jc w:val="both"/>
              <w:rPr>
                <w:szCs w:val="20"/>
              </w:rPr>
            </w:pPr>
            <w:r>
              <w:rPr>
                <w:szCs w:val="20"/>
              </w:rPr>
              <w:t xml:space="preserve">Степень резервируемости</w:t>
            </w:r>
            <w:r>
              <w:rPr>
                <w:szCs w:val="20"/>
              </w:rPr>
            </w:r>
            <w:r>
              <w:rPr>
                <w:szCs w:val="20"/>
              </w:rPr>
            </w:r>
          </w:p>
        </w:tc>
        <w:tc>
          <w:tcPr>
            <w:tcW w:w="1775" w:type="pct"/>
            <w:textDirection w:val="lrTb"/>
            <w:noWrap w:val="false"/>
          </w:tcPr>
          <w:p>
            <w:pPr>
              <w:rPr>
                <w:szCs w:val="20"/>
              </w:rPr>
            </w:pPr>
            <w:r>
              <w:rPr>
                <w:szCs w:val="20"/>
              </w:rPr>
              <w:t xml:space="preserve">нерезервированная</w:t>
            </w:r>
            <w:r>
              <w:rPr>
                <w:szCs w:val="20"/>
              </w:rPr>
            </w:r>
            <w:r>
              <w:rPr>
                <w:szCs w:val="20"/>
              </w:rPr>
            </w:r>
          </w:p>
        </w:tc>
      </w:tr>
      <w:tr>
        <w:tblPrEx/>
        <w:trPr/>
        <w:tc>
          <w:tcPr>
            <w:tcW w:w="489" w:type="pct"/>
            <w:textDirection w:val="lrTb"/>
            <w:noWrap w:val="false"/>
          </w:tcPr>
          <w:p>
            <w:pPr>
              <w:pStyle w:val="1250"/>
              <w:numPr>
                <w:ilvl w:val="0"/>
                <w:numId w:val="47"/>
              </w:numPr>
              <w:contextualSpacing/>
              <w:ind w:left="0" w:firstLine="0"/>
              <w:rPr>
                <w:szCs w:val="20"/>
              </w:rPr>
            </w:pPr>
            <w:r>
              <w:rPr>
                <w:szCs w:val="20"/>
              </w:rPr>
            </w:r>
            <w:r>
              <w:rPr>
                <w:szCs w:val="20"/>
              </w:rPr>
            </w:r>
            <w:r>
              <w:rPr>
                <w:szCs w:val="20"/>
              </w:rPr>
            </w:r>
          </w:p>
        </w:tc>
        <w:tc>
          <w:tcPr>
            <w:tcW w:w="2736" w:type="pct"/>
            <w:textDirection w:val="lrTb"/>
            <w:noWrap w:val="false"/>
          </w:tcPr>
          <w:p>
            <w:pPr>
              <w:jc w:val="both"/>
              <w:rPr>
                <w:szCs w:val="20"/>
              </w:rPr>
            </w:pPr>
            <w:r>
              <w:rPr>
                <w:szCs w:val="20"/>
              </w:rPr>
              <w:t xml:space="preserve">Количество магистральных выводов</w:t>
            </w:r>
            <w:r>
              <w:rPr>
                <w:szCs w:val="20"/>
              </w:rPr>
            </w:r>
            <w:r>
              <w:rPr>
                <w:szCs w:val="20"/>
              </w:rPr>
            </w:r>
          </w:p>
        </w:tc>
        <w:tc>
          <w:tcPr>
            <w:tcW w:w="1775" w:type="pct"/>
            <w:textDirection w:val="lrTb"/>
            <w:noWrap w:val="false"/>
          </w:tcPr>
          <w:p>
            <w:pPr>
              <w:rPr>
                <w:szCs w:val="20"/>
              </w:rPr>
            </w:pPr>
            <w:r>
              <w:rPr>
                <w:szCs w:val="20"/>
              </w:rPr>
              <w:t xml:space="preserve">1</w:t>
            </w:r>
            <w:r>
              <w:rPr>
                <w:szCs w:val="20"/>
              </w:rPr>
            </w:r>
            <w:r>
              <w:rPr>
                <w:szCs w:val="20"/>
              </w:rPr>
            </w:r>
          </w:p>
        </w:tc>
      </w:tr>
      <w:tr>
        <w:tblPrEx/>
        <w:trPr/>
        <w:tc>
          <w:tcPr>
            <w:tcW w:w="489" w:type="pct"/>
            <w:textDirection w:val="lrTb"/>
            <w:noWrap w:val="false"/>
          </w:tcPr>
          <w:p>
            <w:pPr>
              <w:pStyle w:val="1250"/>
              <w:numPr>
                <w:ilvl w:val="0"/>
                <w:numId w:val="47"/>
              </w:numPr>
              <w:contextualSpacing/>
              <w:ind w:left="0" w:firstLine="0"/>
              <w:rPr>
                <w:szCs w:val="20"/>
              </w:rPr>
            </w:pPr>
            <w:r>
              <w:rPr>
                <w:szCs w:val="20"/>
              </w:rPr>
            </w:r>
            <w:r>
              <w:rPr>
                <w:szCs w:val="20"/>
              </w:rPr>
            </w:r>
            <w:r>
              <w:rPr>
                <w:szCs w:val="20"/>
              </w:rPr>
            </w:r>
          </w:p>
        </w:tc>
        <w:tc>
          <w:tcPr>
            <w:tcW w:w="2736" w:type="pct"/>
            <w:textDirection w:val="lrTb"/>
            <w:noWrap w:val="false"/>
          </w:tcPr>
          <w:p>
            <w:pPr>
              <w:jc w:val="both"/>
              <w:rPr>
                <w:szCs w:val="20"/>
              </w:rPr>
            </w:pPr>
            <w:r>
              <w:rPr>
                <w:szCs w:val="20"/>
              </w:rPr>
              <w:t xml:space="preserve">Общая протяженность сетей, п.м</w:t>
            </w:r>
            <w:r>
              <w:rPr>
                <w:szCs w:val="20"/>
              </w:rPr>
            </w:r>
            <w:r>
              <w:rPr>
                <w:szCs w:val="20"/>
              </w:rPr>
            </w:r>
          </w:p>
        </w:tc>
        <w:tc>
          <w:tcPr>
            <w:tcW w:w="1775" w:type="pct"/>
            <w:textDirection w:val="lrTb"/>
            <w:noWrap w:val="false"/>
          </w:tcPr>
          <w:p>
            <w:pPr>
              <w:rPr>
                <w:szCs w:val="20"/>
              </w:rPr>
            </w:pPr>
            <w:r>
              <w:rPr>
                <w:szCs w:val="20"/>
              </w:rPr>
              <w:t xml:space="preserve">10 603</w:t>
            </w:r>
            <w:r>
              <w:rPr>
                <w:szCs w:val="20"/>
              </w:rPr>
            </w:r>
            <w:r>
              <w:rPr>
                <w:szCs w:val="20"/>
              </w:rPr>
            </w:r>
          </w:p>
        </w:tc>
      </w:tr>
      <w:tr>
        <w:tblPrEx/>
        <w:trPr/>
        <w:tc>
          <w:tcPr>
            <w:tcW w:w="489" w:type="pct"/>
            <w:textDirection w:val="lrTb"/>
            <w:noWrap w:val="false"/>
          </w:tcPr>
          <w:p>
            <w:pPr>
              <w:pStyle w:val="1250"/>
              <w:numPr>
                <w:ilvl w:val="0"/>
                <w:numId w:val="47"/>
              </w:numPr>
              <w:contextualSpacing/>
              <w:ind w:left="0" w:firstLine="0"/>
              <w:rPr>
                <w:szCs w:val="20"/>
              </w:rPr>
            </w:pPr>
            <w:r>
              <w:rPr>
                <w:szCs w:val="20"/>
              </w:rPr>
            </w:r>
            <w:r>
              <w:rPr>
                <w:szCs w:val="20"/>
              </w:rPr>
            </w:r>
            <w:r>
              <w:rPr>
                <w:szCs w:val="20"/>
              </w:rPr>
            </w:r>
          </w:p>
        </w:tc>
        <w:tc>
          <w:tcPr>
            <w:tcW w:w="2736" w:type="pct"/>
            <w:textDirection w:val="lrTb"/>
            <w:noWrap w:val="false"/>
          </w:tcPr>
          <w:p>
            <w:pPr>
              <w:jc w:val="both"/>
              <w:rPr>
                <w:szCs w:val="20"/>
              </w:rPr>
            </w:pPr>
            <w:r>
              <w:rPr>
                <w:szCs w:val="20"/>
              </w:rPr>
              <w:t xml:space="preserve">Высота расположения / глубина заложения тепловых сетей, м</w:t>
            </w:r>
            <w:r>
              <w:rPr>
                <w:szCs w:val="20"/>
              </w:rPr>
            </w:r>
            <w:r>
              <w:rPr>
                <w:szCs w:val="20"/>
              </w:rPr>
            </w:r>
          </w:p>
        </w:tc>
        <w:tc>
          <w:tcPr>
            <w:tcW w:w="1775" w:type="pct"/>
            <w:textDirection w:val="lrTb"/>
            <w:noWrap w:val="false"/>
          </w:tcPr>
          <w:p>
            <w:pPr>
              <w:rPr>
                <w:szCs w:val="20"/>
              </w:rPr>
            </w:pPr>
            <w:r>
              <w:rPr>
                <w:szCs w:val="20"/>
              </w:rPr>
              <w:t xml:space="preserve">0,5/1,5</w:t>
            </w:r>
            <w:r>
              <w:rPr>
                <w:szCs w:val="20"/>
              </w:rPr>
            </w:r>
            <w:r>
              <w:rPr>
                <w:szCs w:val="20"/>
              </w:rPr>
            </w:r>
          </w:p>
        </w:tc>
      </w:tr>
      <w:tr>
        <w:tblPrEx/>
        <w:trPr/>
        <w:tc>
          <w:tcPr>
            <w:tcW w:w="489" w:type="pct"/>
            <w:textDirection w:val="lrTb"/>
            <w:noWrap w:val="false"/>
          </w:tcPr>
          <w:p>
            <w:pPr>
              <w:pStyle w:val="1250"/>
              <w:numPr>
                <w:ilvl w:val="0"/>
                <w:numId w:val="47"/>
              </w:numPr>
              <w:contextualSpacing/>
              <w:ind w:left="0" w:firstLine="0"/>
              <w:rPr>
                <w:szCs w:val="20"/>
              </w:rPr>
            </w:pPr>
            <w:r>
              <w:rPr>
                <w:szCs w:val="20"/>
              </w:rPr>
            </w:r>
            <w:r>
              <w:rPr>
                <w:szCs w:val="20"/>
              </w:rPr>
            </w:r>
            <w:r>
              <w:rPr>
                <w:szCs w:val="20"/>
              </w:rPr>
            </w:r>
          </w:p>
        </w:tc>
        <w:tc>
          <w:tcPr>
            <w:tcW w:w="2736" w:type="pct"/>
            <w:textDirection w:val="lrTb"/>
            <w:noWrap w:val="false"/>
          </w:tcPr>
          <w:p>
            <w:pPr>
              <w:jc w:val="both"/>
              <w:rPr>
                <w:szCs w:val="20"/>
              </w:rPr>
            </w:pPr>
            <w:r>
              <w:rPr>
                <w:szCs w:val="20"/>
              </w:rPr>
              <w:t xml:space="preserve">Год начала эксплуатации</w:t>
            </w:r>
            <w:r>
              <w:rPr>
                <w:szCs w:val="20"/>
              </w:rPr>
            </w:r>
            <w:r>
              <w:rPr>
                <w:szCs w:val="20"/>
              </w:rPr>
            </w:r>
          </w:p>
        </w:tc>
        <w:tc>
          <w:tcPr>
            <w:tcW w:w="1775" w:type="pct"/>
            <w:textDirection w:val="lrTb"/>
            <w:noWrap w:val="false"/>
          </w:tcPr>
          <w:p>
            <w:pPr>
              <w:rPr>
                <w:szCs w:val="20"/>
              </w:rPr>
            </w:pPr>
            <w:r>
              <w:rPr>
                <w:szCs w:val="20"/>
              </w:rPr>
              <w:t xml:space="preserve">19</w:t>
            </w:r>
            <w:r>
              <w:rPr>
                <w:szCs w:val="20"/>
              </w:rPr>
              <w:t xml:space="preserve">96; 2004</w:t>
            </w:r>
            <w:r>
              <w:rPr>
                <w:szCs w:val="20"/>
              </w:rPr>
            </w:r>
            <w:r>
              <w:rPr>
                <w:szCs w:val="20"/>
              </w:rPr>
            </w:r>
          </w:p>
        </w:tc>
      </w:tr>
      <w:tr>
        <w:tblPrEx/>
        <w:trPr/>
        <w:tc>
          <w:tcPr>
            <w:tcW w:w="489" w:type="pct"/>
            <w:textDirection w:val="lrTb"/>
            <w:noWrap w:val="false"/>
          </w:tcPr>
          <w:p>
            <w:pPr>
              <w:pStyle w:val="1250"/>
              <w:numPr>
                <w:ilvl w:val="0"/>
                <w:numId w:val="47"/>
              </w:numPr>
              <w:contextualSpacing/>
              <w:ind w:left="0" w:firstLine="0"/>
              <w:rPr>
                <w:szCs w:val="20"/>
              </w:rPr>
            </w:pPr>
            <w:r>
              <w:rPr>
                <w:szCs w:val="20"/>
              </w:rPr>
            </w:r>
            <w:r>
              <w:rPr>
                <w:szCs w:val="20"/>
              </w:rPr>
            </w:r>
            <w:r>
              <w:rPr>
                <w:szCs w:val="20"/>
              </w:rPr>
            </w:r>
          </w:p>
        </w:tc>
        <w:tc>
          <w:tcPr>
            <w:tcW w:w="2736" w:type="pct"/>
            <w:textDirection w:val="lrTb"/>
            <w:noWrap w:val="false"/>
          </w:tcPr>
          <w:p>
            <w:pPr>
              <w:jc w:val="both"/>
              <w:rPr>
                <w:szCs w:val="20"/>
              </w:rPr>
            </w:pPr>
            <w:r>
              <w:rPr>
                <w:szCs w:val="20"/>
              </w:rPr>
              <w:t xml:space="preserve">Тип изоляции</w:t>
            </w:r>
            <w:r>
              <w:rPr>
                <w:szCs w:val="20"/>
              </w:rPr>
            </w:r>
            <w:r>
              <w:rPr>
                <w:szCs w:val="20"/>
              </w:rPr>
            </w:r>
          </w:p>
        </w:tc>
        <w:tc>
          <w:tcPr>
            <w:tcW w:w="1775" w:type="pct"/>
            <w:textDirection w:val="lrTb"/>
            <w:noWrap w:val="false"/>
          </w:tcPr>
          <w:p>
            <w:pPr>
              <w:rPr>
                <w:szCs w:val="20"/>
              </w:rPr>
            </w:pPr>
            <w:r>
              <w:rPr>
                <w:szCs w:val="20"/>
              </w:rPr>
              <w:t xml:space="preserve">минеральная вата</w:t>
            </w:r>
            <w:r>
              <w:rPr>
                <w:szCs w:val="20"/>
              </w:rPr>
            </w:r>
            <w:r>
              <w:rPr>
                <w:szCs w:val="20"/>
              </w:rPr>
            </w:r>
          </w:p>
        </w:tc>
      </w:tr>
      <w:tr>
        <w:tblPrEx/>
        <w:trPr/>
        <w:tc>
          <w:tcPr>
            <w:tcW w:w="489" w:type="pct"/>
            <w:textDirection w:val="lrTb"/>
            <w:noWrap w:val="false"/>
          </w:tcPr>
          <w:p>
            <w:pPr>
              <w:pStyle w:val="1250"/>
              <w:numPr>
                <w:ilvl w:val="0"/>
                <w:numId w:val="47"/>
              </w:numPr>
              <w:contextualSpacing/>
              <w:ind w:left="0" w:firstLine="0"/>
              <w:rPr>
                <w:szCs w:val="20"/>
              </w:rPr>
            </w:pPr>
            <w:r>
              <w:rPr>
                <w:szCs w:val="20"/>
              </w:rPr>
            </w:r>
            <w:r>
              <w:rPr>
                <w:szCs w:val="20"/>
              </w:rPr>
            </w:r>
            <w:r>
              <w:rPr>
                <w:szCs w:val="20"/>
              </w:rPr>
            </w:r>
          </w:p>
        </w:tc>
        <w:tc>
          <w:tcPr>
            <w:tcW w:w="2736" w:type="pct"/>
            <w:textDirection w:val="lrTb"/>
            <w:noWrap w:val="false"/>
          </w:tcPr>
          <w:p>
            <w:pPr>
              <w:jc w:val="both"/>
              <w:rPr>
                <w:szCs w:val="20"/>
              </w:rPr>
            </w:pPr>
            <w:r>
              <w:rPr>
                <w:szCs w:val="20"/>
              </w:rPr>
              <w:t xml:space="preserve">Тип прокладки</w:t>
            </w:r>
            <w:r>
              <w:rPr>
                <w:szCs w:val="20"/>
              </w:rPr>
            </w:r>
            <w:r>
              <w:rPr>
                <w:szCs w:val="20"/>
              </w:rPr>
            </w:r>
          </w:p>
        </w:tc>
        <w:tc>
          <w:tcPr>
            <w:tcW w:w="1775" w:type="pct"/>
            <w:textDirection w:val="lrTb"/>
            <w:noWrap w:val="false"/>
          </w:tcPr>
          <w:p>
            <w:pPr>
              <w:rPr>
                <w:szCs w:val="20"/>
              </w:rPr>
            </w:pPr>
            <w:r>
              <w:rPr>
                <w:szCs w:val="20"/>
              </w:rPr>
              <w:t xml:space="preserve">воздушная на низких опорах;</w:t>
            </w:r>
            <w:r>
              <w:rPr>
                <w:szCs w:val="20"/>
              </w:rPr>
            </w:r>
            <w:r>
              <w:rPr>
                <w:szCs w:val="20"/>
              </w:rPr>
            </w:r>
          </w:p>
          <w:p>
            <w:pPr>
              <w:rPr>
                <w:szCs w:val="20"/>
              </w:rPr>
            </w:pPr>
            <w:r>
              <w:rPr>
                <w:szCs w:val="20"/>
              </w:rPr>
              <w:t xml:space="preserve">подземная бесканальная</w:t>
            </w:r>
            <w:r>
              <w:rPr>
                <w:szCs w:val="20"/>
              </w:rPr>
            </w:r>
            <w:r>
              <w:rPr>
                <w:szCs w:val="20"/>
              </w:rPr>
            </w:r>
          </w:p>
        </w:tc>
      </w:tr>
      <w:tr>
        <w:tblPrEx/>
        <w:trPr/>
        <w:tc>
          <w:tcPr>
            <w:tcW w:w="489" w:type="pct"/>
            <w:textDirection w:val="lrTb"/>
            <w:noWrap w:val="false"/>
          </w:tcPr>
          <w:p>
            <w:pPr>
              <w:pStyle w:val="1250"/>
              <w:numPr>
                <w:ilvl w:val="0"/>
                <w:numId w:val="47"/>
              </w:numPr>
              <w:contextualSpacing/>
              <w:ind w:left="0" w:firstLine="0"/>
              <w:rPr>
                <w:szCs w:val="20"/>
              </w:rPr>
            </w:pPr>
            <w:r>
              <w:rPr>
                <w:szCs w:val="20"/>
              </w:rPr>
            </w:r>
            <w:r>
              <w:rPr>
                <w:szCs w:val="20"/>
              </w:rPr>
            </w:r>
            <w:r>
              <w:rPr>
                <w:szCs w:val="20"/>
              </w:rPr>
            </w:r>
          </w:p>
        </w:tc>
        <w:tc>
          <w:tcPr>
            <w:tcW w:w="2736" w:type="pct"/>
            <w:textDirection w:val="lrTb"/>
            <w:noWrap w:val="false"/>
          </w:tcPr>
          <w:p>
            <w:pPr>
              <w:jc w:val="both"/>
              <w:rPr>
                <w:szCs w:val="20"/>
              </w:rPr>
            </w:pPr>
            <w:r>
              <w:rPr>
                <w:szCs w:val="20"/>
              </w:rPr>
              <w:t xml:space="preserve">Характеристика грунта</w:t>
            </w:r>
            <w:r>
              <w:rPr>
                <w:szCs w:val="20"/>
              </w:rPr>
            </w:r>
            <w:r>
              <w:rPr>
                <w:szCs w:val="20"/>
              </w:rPr>
            </w:r>
          </w:p>
        </w:tc>
        <w:tc>
          <w:tcPr>
            <w:tcW w:w="1775" w:type="pct"/>
            <w:textDirection w:val="lrTb"/>
            <w:noWrap w:val="false"/>
          </w:tcPr>
          <w:p>
            <w:pPr>
              <w:rPr>
                <w:szCs w:val="20"/>
              </w:rPr>
            </w:pPr>
            <w:r>
              <w:rPr>
                <w:szCs w:val="20"/>
              </w:rPr>
              <w:t xml:space="preserve">песчано-глинистый, суглинки</w:t>
            </w:r>
            <w:r>
              <w:rPr>
                <w:szCs w:val="20"/>
              </w:rPr>
            </w:r>
            <w:r>
              <w:rPr>
                <w:szCs w:val="20"/>
              </w:rPr>
            </w:r>
          </w:p>
        </w:tc>
      </w:tr>
      <w:tr>
        <w:tblPrEx/>
        <w:trPr/>
        <w:tc>
          <w:tcPr>
            <w:tcW w:w="489" w:type="pct"/>
            <w:textDirection w:val="lrTb"/>
            <w:noWrap w:val="false"/>
          </w:tcPr>
          <w:p>
            <w:pPr>
              <w:pStyle w:val="1250"/>
              <w:numPr>
                <w:ilvl w:val="0"/>
                <w:numId w:val="47"/>
              </w:numPr>
              <w:contextualSpacing/>
              <w:ind w:left="0" w:firstLine="0"/>
              <w:rPr>
                <w:szCs w:val="20"/>
              </w:rPr>
            </w:pPr>
            <w:r>
              <w:rPr>
                <w:szCs w:val="20"/>
              </w:rPr>
            </w:r>
            <w:r>
              <w:rPr>
                <w:szCs w:val="20"/>
              </w:rPr>
            </w:r>
            <w:r>
              <w:rPr>
                <w:szCs w:val="20"/>
              </w:rPr>
            </w:r>
          </w:p>
        </w:tc>
        <w:tc>
          <w:tcPr>
            <w:tcW w:w="2736" w:type="pct"/>
            <w:textDirection w:val="lrTb"/>
            <w:noWrap w:val="false"/>
          </w:tcPr>
          <w:p>
            <w:pPr>
              <w:jc w:val="both"/>
              <w:rPr>
                <w:szCs w:val="20"/>
              </w:rPr>
            </w:pPr>
            <w:r>
              <w:rPr>
                <w:szCs w:val="20"/>
              </w:rPr>
              <w:t xml:space="preserve">Тип компенсирующих устройств</w:t>
            </w:r>
            <w:r>
              <w:rPr>
                <w:szCs w:val="20"/>
              </w:rPr>
            </w:r>
            <w:r>
              <w:rPr>
                <w:szCs w:val="20"/>
              </w:rPr>
            </w:r>
          </w:p>
        </w:tc>
        <w:tc>
          <w:tcPr>
            <w:tcW w:w="1775" w:type="pct"/>
            <w:textDirection w:val="lrTb"/>
            <w:noWrap w:val="false"/>
          </w:tcPr>
          <w:p>
            <w:pPr>
              <w:rPr>
                <w:szCs w:val="20"/>
              </w:rPr>
            </w:pPr>
            <w:r>
              <w:rPr>
                <w:szCs w:val="20"/>
              </w:rPr>
              <w:t xml:space="preserve">П-образные компенсаторы</w:t>
            </w:r>
            <w:r>
              <w:rPr>
                <w:szCs w:val="20"/>
              </w:rPr>
            </w:r>
            <w:r>
              <w:rPr>
                <w:szCs w:val="20"/>
              </w:rPr>
            </w:r>
          </w:p>
        </w:tc>
      </w:tr>
      <w:tr>
        <w:tblPrEx/>
        <w:trPr/>
        <w:tc>
          <w:tcPr>
            <w:tcW w:w="489" w:type="pct"/>
            <w:textDirection w:val="lrTb"/>
            <w:noWrap w:val="false"/>
          </w:tcPr>
          <w:p>
            <w:pPr>
              <w:pStyle w:val="1250"/>
              <w:numPr>
                <w:ilvl w:val="0"/>
                <w:numId w:val="47"/>
              </w:numPr>
              <w:contextualSpacing/>
              <w:ind w:left="0" w:firstLine="0"/>
              <w:rPr>
                <w:szCs w:val="20"/>
              </w:rPr>
            </w:pPr>
            <w:r>
              <w:rPr>
                <w:szCs w:val="20"/>
              </w:rPr>
            </w:r>
            <w:r>
              <w:rPr>
                <w:szCs w:val="20"/>
              </w:rPr>
            </w:r>
            <w:r>
              <w:rPr>
                <w:szCs w:val="20"/>
              </w:rPr>
            </w:r>
          </w:p>
        </w:tc>
        <w:tc>
          <w:tcPr>
            <w:tcW w:w="2736" w:type="pct"/>
            <w:textDirection w:val="lrTb"/>
            <w:noWrap w:val="false"/>
          </w:tcPr>
          <w:p>
            <w:pPr>
              <w:jc w:val="both"/>
              <w:rPr>
                <w:szCs w:val="20"/>
              </w:rPr>
            </w:pPr>
            <w:r>
              <w:rPr>
                <w:szCs w:val="20"/>
              </w:rPr>
              <w:t xml:space="preserve">Наименее надежный участок</w:t>
            </w:r>
            <w:r>
              <w:rPr>
                <w:szCs w:val="20"/>
              </w:rPr>
            </w:r>
            <w:r>
              <w:rPr>
                <w:szCs w:val="20"/>
              </w:rPr>
            </w:r>
          </w:p>
        </w:tc>
        <w:tc>
          <w:tcPr>
            <w:tcW w:w="1775" w:type="pct"/>
            <w:textDirection w:val="lrTb"/>
            <w:noWrap w:val="false"/>
          </w:tcPr>
          <w:p>
            <w:pPr>
              <w:rPr>
                <w:szCs w:val="20"/>
              </w:rPr>
            </w:pPr>
            <w:r>
              <w:rPr>
                <w:szCs w:val="20"/>
              </w:rPr>
              <w:t xml:space="preserve">магистральный</w:t>
            </w:r>
            <w:r>
              <w:rPr>
                <w:szCs w:val="20"/>
              </w:rPr>
            </w:r>
            <w:r>
              <w:rPr>
                <w:szCs w:val="20"/>
              </w:rPr>
            </w:r>
          </w:p>
        </w:tc>
      </w:tr>
      <w:tr>
        <w:tblPrEx/>
        <w:trPr/>
        <w:tc>
          <w:tcPr>
            <w:tcW w:w="489" w:type="pct"/>
            <w:textDirection w:val="lrTb"/>
            <w:noWrap w:val="false"/>
          </w:tcPr>
          <w:p>
            <w:pPr>
              <w:pStyle w:val="1250"/>
              <w:numPr>
                <w:ilvl w:val="0"/>
                <w:numId w:val="47"/>
              </w:numPr>
              <w:contextualSpacing/>
              <w:ind w:left="0" w:firstLine="0"/>
              <w:rPr>
                <w:szCs w:val="20"/>
              </w:rPr>
            </w:pPr>
            <w:r>
              <w:rPr>
                <w:szCs w:val="20"/>
              </w:rPr>
            </w:r>
            <w:r>
              <w:rPr>
                <w:szCs w:val="20"/>
              </w:rPr>
            </w:r>
            <w:r>
              <w:rPr>
                <w:szCs w:val="20"/>
              </w:rPr>
            </w:r>
          </w:p>
        </w:tc>
        <w:tc>
          <w:tcPr>
            <w:tcW w:w="2736" w:type="pct"/>
            <w:textDirection w:val="lrTb"/>
            <w:noWrap w:val="false"/>
          </w:tcPr>
          <w:p>
            <w:pPr>
              <w:jc w:val="both"/>
              <w:rPr>
                <w:szCs w:val="20"/>
              </w:rPr>
            </w:pPr>
            <w:r>
              <w:rPr>
                <w:szCs w:val="20"/>
              </w:rPr>
              <w:t xml:space="preserve">Материальная характеристика, м</w:t>
            </w:r>
            <w:r>
              <w:rPr>
                <w:szCs w:val="20"/>
                <w:vertAlign w:val="superscript"/>
              </w:rPr>
              <w:t xml:space="preserve">2</w:t>
            </w:r>
            <w:r>
              <w:rPr>
                <w:szCs w:val="20"/>
              </w:rPr>
            </w:r>
            <w:r>
              <w:rPr>
                <w:szCs w:val="20"/>
              </w:rPr>
            </w:r>
          </w:p>
        </w:tc>
        <w:tc>
          <w:tcPr>
            <w:tcW w:w="1775" w:type="pct"/>
            <w:textDirection w:val="lrTb"/>
            <w:noWrap w:val="false"/>
          </w:tcPr>
          <w:p>
            <w:pPr>
              <w:rPr>
                <w:szCs w:val="20"/>
              </w:rPr>
            </w:pPr>
            <w:r>
              <w:rPr>
                <w:szCs w:val="20"/>
              </w:rPr>
              <w:t xml:space="preserve">3976,06</w:t>
            </w:r>
            <w:r>
              <w:rPr>
                <w:szCs w:val="20"/>
              </w:rPr>
            </w:r>
            <w:r>
              <w:rPr>
                <w:szCs w:val="20"/>
              </w:rPr>
            </w:r>
          </w:p>
        </w:tc>
      </w:tr>
    </w:tbl>
    <w:p>
      <w:pPr>
        <w:pStyle w:val="1247"/>
        <w:ind w:left="118" w:right="111" w:firstLine="707"/>
        <w:jc w:val="center"/>
        <w:spacing w:before="115"/>
      </w:pPr>
      <w:r/>
      <w:r/>
    </w:p>
    <w:p>
      <w:pPr>
        <w:pStyle w:val="1248"/>
        <w:ind w:right="272" w:firstLine="733"/>
        <w:spacing w:before="71"/>
      </w:pPr>
      <w:r/>
      <w:bookmarkStart w:id="80" w:name="_Toc130231892"/>
      <w:r/>
      <w:bookmarkStart w:id="81" w:name="_Toc165540675"/>
      <w:r>
        <w:rPr>
          <w:lang w:eastAsia="ru-RU"/>
        </w:rPr>
        <w:t xml:space="preserve">1.3.4 </w:t>
      </w:r>
      <w:r>
        <w:t xml:space="preserve">Описание типов и количества секционирующей и регулирующей арматуры на тепловых сетях</w:t>
      </w:r>
      <w:bookmarkEnd w:id="80"/>
      <w:r/>
      <w:bookmarkEnd w:id="81"/>
      <w:r/>
      <w:r/>
    </w:p>
    <w:p>
      <w:pPr>
        <w:pStyle w:val="1247"/>
        <w:ind w:left="118" w:right="266" w:firstLine="707"/>
        <w:jc w:val="both"/>
        <w:spacing w:before="115"/>
      </w:pPr>
      <w:r>
        <w:t xml:space="preserve">Секционирующие задвижки из низколегированной стали, чугуна и регулирующие дроссельные шай</w:t>
      </w:r>
      <w:r>
        <w:t xml:space="preserve">бы размещены в узлах присоединения распределительных сетей потребителей к магистральным, квартальным тепловым сетям и непосредственно в индивидуальных тепловых пунктах зданий потребителей, тепловых камер по одной на каждый (прямой и обратный) трубопроводы.</w:t>
      </w:r>
      <w:r/>
    </w:p>
    <w:p>
      <w:pPr>
        <w:pStyle w:val="1247"/>
        <w:ind w:left="118" w:right="266" w:firstLine="707"/>
        <w:jc w:val="right"/>
        <w:spacing w:before="115"/>
      </w:pPr>
      <w:r>
        <w:t xml:space="preserve">Таблица 1.3.4.1 </w:t>
      </w:r>
      <w:r/>
    </w:p>
    <w:p>
      <w:pPr>
        <w:pStyle w:val="1247"/>
        <w:ind w:left="118" w:right="266" w:firstLine="707"/>
        <w:jc w:val="center"/>
        <w:spacing w:before="115"/>
      </w:pPr>
      <w:r>
        <w:t xml:space="preserve">Перечень запорной арматуры</w:t>
      </w:r>
      <w:r/>
    </w:p>
    <w:tbl>
      <w:tblPr>
        <w:tblStyle w:val="1257"/>
        <w:tblW w:w="4895" w:type="pct"/>
        <w:tblLook w:val="04A0" w:firstRow="1" w:lastRow="0" w:firstColumn="1" w:lastColumn="0" w:noHBand="0" w:noVBand="1"/>
      </w:tblPr>
      <w:tblGrid>
        <w:gridCol w:w="957"/>
        <w:gridCol w:w="3253"/>
        <w:gridCol w:w="2871"/>
        <w:gridCol w:w="2611"/>
      </w:tblGrid>
      <w:tr>
        <w:tblPrEx/>
        <w:trPr/>
        <w:tc>
          <w:tcPr>
            <w:tcW w:w="494" w:type="pct"/>
            <w:vMerge w:val="restart"/>
            <w:textDirection w:val="lrTb"/>
            <w:noWrap w:val="false"/>
          </w:tcPr>
          <w:p>
            <w:pPr>
              <w:rPr>
                <w:szCs w:val="20"/>
              </w:rPr>
            </w:pPr>
            <w:r>
              <w:rPr>
                <w:szCs w:val="20"/>
              </w:rPr>
              <w:t xml:space="preserve">№ пп</w:t>
            </w:r>
            <w:r>
              <w:rPr>
                <w:szCs w:val="20"/>
              </w:rPr>
            </w:r>
            <w:r>
              <w:rPr>
                <w:szCs w:val="20"/>
              </w:rPr>
            </w:r>
          </w:p>
        </w:tc>
        <w:tc>
          <w:tcPr>
            <w:tcW w:w="1678" w:type="pct"/>
            <w:vMerge w:val="restart"/>
            <w:textDirection w:val="lrTb"/>
            <w:noWrap w:val="false"/>
          </w:tcPr>
          <w:p>
            <w:pPr>
              <w:rPr>
                <w:szCs w:val="20"/>
              </w:rPr>
            </w:pPr>
            <w:r>
              <w:rPr>
                <w:szCs w:val="20"/>
              </w:rPr>
              <w:t xml:space="preserve">Условный диаметр, мм</w:t>
            </w:r>
            <w:r>
              <w:rPr>
                <w:szCs w:val="20"/>
              </w:rPr>
            </w:r>
            <w:r>
              <w:rPr>
                <w:szCs w:val="20"/>
              </w:rPr>
            </w:r>
          </w:p>
        </w:tc>
        <w:tc>
          <w:tcPr>
            <w:gridSpan w:val="2"/>
            <w:tcW w:w="2828" w:type="pct"/>
            <w:textDirection w:val="lrTb"/>
            <w:noWrap w:val="false"/>
          </w:tcPr>
          <w:p>
            <w:pPr>
              <w:rPr>
                <w:szCs w:val="20"/>
              </w:rPr>
            </w:pPr>
            <w:r>
              <w:rPr>
                <w:szCs w:val="20"/>
              </w:rPr>
              <w:t xml:space="preserve">Количество установленных задвижек, шт.</w:t>
            </w:r>
            <w:r>
              <w:rPr>
                <w:szCs w:val="20"/>
              </w:rPr>
            </w:r>
            <w:r>
              <w:rPr>
                <w:szCs w:val="20"/>
              </w:rPr>
            </w:r>
          </w:p>
        </w:tc>
      </w:tr>
      <w:tr>
        <w:tblPrEx/>
        <w:trPr/>
        <w:tc>
          <w:tcPr>
            <w:tcW w:w="494" w:type="pct"/>
            <w:vMerge w:val="continue"/>
            <w:textDirection w:val="lrTb"/>
            <w:noWrap w:val="false"/>
          </w:tcPr>
          <w:p>
            <w:pPr>
              <w:rPr>
                <w:szCs w:val="20"/>
              </w:rPr>
            </w:pPr>
            <w:r>
              <w:rPr>
                <w:szCs w:val="20"/>
              </w:rPr>
            </w:r>
            <w:r>
              <w:rPr>
                <w:szCs w:val="20"/>
              </w:rPr>
            </w:r>
            <w:r>
              <w:rPr>
                <w:szCs w:val="20"/>
              </w:rPr>
            </w:r>
          </w:p>
        </w:tc>
        <w:tc>
          <w:tcPr>
            <w:tcW w:w="1678" w:type="pct"/>
            <w:vMerge w:val="continue"/>
            <w:textDirection w:val="lrTb"/>
            <w:noWrap w:val="false"/>
          </w:tcPr>
          <w:p>
            <w:pPr>
              <w:rPr>
                <w:szCs w:val="20"/>
              </w:rPr>
            </w:pPr>
            <w:r>
              <w:rPr>
                <w:szCs w:val="20"/>
              </w:rPr>
            </w:r>
            <w:r>
              <w:rPr>
                <w:szCs w:val="20"/>
              </w:rPr>
            </w:r>
            <w:r>
              <w:rPr>
                <w:szCs w:val="20"/>
              </w:rPr>
            </w:r>
          </w:p>
        </w:tc>
        <w:tc>
          <w:tcPr>
            <w:tcW w:w="1481" w:type="pct"/>
            <w:textDirection w:val="lrTb"/>
            <w:noWrap w:val="false"/>
          </w:tcPr>
          <w:p>
            <w:pPr>
              <w:rPr>
                <w:szCs w:val="20"/>
              </w:rPr>
            </w:pPr>
            <w:r>
              <w:rPr>
                <w:szCs w:val="20"/>
              </w:rPr>
              <w:t xml:space="preserve">Чугунные</w:t>
            </w:r>
            <w:r>
              <w:rPr>
                <w:szCs w:val="20"/>
              </w:rPr>
            </w:r>
            <w:r>
              <w:rPr>
                <w:szCs w:val="20"/>
              </w:rPr>
            </w:r>
          </w:p>
        </w:tc>
        <w:tc>
          <w:tcPr>
            <w:tcW w:w="1347" w:type="pct"/>
            <w:textDirection w:val="lrTb"/>
            <w:noWrap w:val="false"/>
          </w:tcPr>
          <w:p>
            <w:pPr>
              <w:rPr>
                <w:szCs w:val="20"/>
              </w:rPr>
            </w:pPr>
            <w:r>
              <w:rPr>
                <w:szCs w:val="20"/>
              </w:rPr>
              <w:t xml:space="preserve">Стальные</w:t>
            </w:r>
            <w:r>
              <w:rPr>
                <w:szCs w:val="20"/>
              </w:rPr>
            </w:r>
            <w:r>
              <w:rPr>
                <w:szCs w:val="20"/>
              </w:rPr>
            </w:r>
          </w:p>
        </w:tc>
      </w:tr>
      <w:tr>
        <w:tblPrEx/>
        <w:trPr/>
        <w:tc>
          <w:tcPr>
            <w:tcW w:w="494" w:type="pct"/>
            <w:textDirection w:val="lrTb"/>
            <w:noWrap w:val="false"/>
          </w:tcPr>
          <w:p>
            <w:pPr>
              <w:pStyle w:val="1250"/>
              <w:numPr>
                <w:ilvl w:val="0"/>
                <w:numId w:val="46"/>
              </w:numPr>
              <w:contextualSpacing/>
              <w:ind w:left="0" w:firstLine="0"/>
              <w:rPr>
                <w:szCs w:val="20"/>
              </w:rPr>
            </w:pPr>
            <w:r>
              <w:rPr>
                <w:szCs w:val="20"/>
              </w:rPr>
            </w:r>
            <w:r>
              <w:rPr>
                <w:szCs w:val="20"/>
              </w:rPr>
            </w:r>
            <w:r>
              <w:rPr>
                <w:szCs w:val="20"/>
              </w:rPr>
            </w:r>
          </w:p>
        </w:tc>
        <w:tc>
          <w:tcPr>
            <w:tcW w:w="1678" w:type="pct"/>
            <w:textDirection w:val="lrTb"/>
            <w:noWrap w:val="false"/>
          </w:tcPr>
          <w:p>
            <w:pPr>
              <w:rPr>
                <w:szCs w:val="20"/>
              </w:rPr>
            </w:pPr>
            <w:r>
              <w:rPr>
                <w:szCs w:val="20"/>
              </w:rPr>
              <w:t xml:space="preserve">300</w:t>
            </w:r>
            <w:r>
              <w:rPr>
                <w:szCs w:val="20"/>
              </w:rPr>
            </w:r>
            <w:r>
              <w:rPr>
                <w:szCs w:val="20"/>
              </w:rPr>
            </w:r>
          </w:p>
        </w:tc>
        <w:tc>
          <w:tcPr>
            <w:tcW w:w="1481" w:type="pct"/>
            <w:textDirection w:val="lrTb"/>
            <w:noWrap w:val="false"/>
          </w:tcPr>
          <w:p>
            <w:pPr>
              <w:rPr>
                <w:szCs w:val="20"/>
              </w:rPr>
            </w:pPr>
            <w:r>
              <w:rPr>
                <w:szCs w:val="20"/>
              </w:rPr>
              <w:t xml:space="preserve">2</w:t>
            </w:r>
            <w:r>
              <w:rPr>
                <w:szCs w:val="20"/>
              </w:rPr>
            </w:r>
            <w:r>
              <w:rPr>
                <w:szCs w:val="20"/>
              </w:rPr>
            </w:r>
          </w:p>
        </w:tc>
        <w:tc>
          <w:tcPr>
            <w:tcW w:w="1347" w:type="pct"/>
            <w:textDirection w:val="lrTb"/>
            <w:noWrap w:val="false"/>
          </w:tcPr>
          <w:p>
            <w:pPr>
              <w:rPr>
                <w:szCs w:val="20"/>
              </w:rPr>
            </w:pPr>
            <w:r>
              <w:rPr>
                <w:szCs w:val="20"/>
              </w:rPr>
              <w:t xml:space="preserve">–</w:t>
            </w:r>
            <w:r>
              <w:rPr>
                <w:szCs w:val="20"/>
              </w:rPr>
            </w:r>
            <w:r>
              <w:rPr>
                <w:szCs w:val="20"/>
              </w:rPr>
            </w:r>
          </w:p>
        </w:tc>
      </w:tr>
      <w:tr>
        <w:tblPrEx/>
        <w:trPr/>
        <w:tc>
          <w:tcPr>
            <w:tcW w:w="494" w:type="pct"/>
            <w:textDirection w:val="lrTb"/>
            <w:noWrap w:val="false"/>
          </w:tcPr>
          <w:p>
            <w:pPr>
              <w:pStyle w:val="1250"/>
              <w:numPr>
                <w:ilvl w:val="0"/>
                <w:numId w:val="46"/>
              </w:numPr>
              <w:contextualSpacing/>
              <w:ind w:left="0" w:firstLine="0"/>
              <w:rPr>
                <w:szCs w:val="20"/>
              </w:rPr>
            </w:pPr>
            <w:r>
              <w:rPr>
                <w:szCs w:val="20"/>
              </w:rPr>
            </w:r>
            <w:r>
              <w:rPr>
                <w:szCs w:val="20"/>
              </w:rPr>
            </w:r>
            <w:r>
              <w:rPr>
                <w:szCs w:val="20"/>
              </w:rPr>
            </w:r>
          </w:p>
        </w:tc>
        <w:tc>
          <w:tcPr>
            <w:tcW w:w="1678" w:type="pct"/>
            <w:textDirection w:val="lrTb"/>
            <w:noWrap w:val="false"/>
          </w:tcPr>
          <w:p>
            <w:pPr>
              <w:rPr>
                <w:szCs w:val="20"/>
              </w:rPr>
            </w:pPr>
            <w:r>
              <w:rPr>
                <w:szCs w:val="20"/>
              </w:rPr>
              <w:t xml:space="preserve">219</w:t>
            </w:r>
            <w:r>
              <w:rPr>
                <w:szCs w:val="20"/>
              </w:rPr>
            </w:r>
            <w:r>
              <w:rPr>
                <w:szCs w:val="20"/>
              </w:rPr>
            </w:r>
          </w:p>
        </w:tc>
        <w:tc>
          <w:tcPr>
            <w:tcW w:w="1481" w:type="pct"/>
            <w:textDirection w:val="lrTb"/>
            <w:noWrap w:val="false"/>
          </w:tcPr>
          <w:p>
            <w:pPr>
              <w:rPr>
                <w:szCs w:val="20"/>
              </w:rPr>
            </w:pPr>
            <w:r>
              <w:rPr>
                <w:szCs w:val="20"/>
              </w:rPr>
              <w:t xml:space="preserve">–</w:t>
            </w:r>
            <w:r>
              <w:rPr>
                <w:szCs w:val="20"/>
              </w:rPr>
            </w:r>
            <w:r>
              <w:rPr>
                <w:szCs w:val="20"/>
              </w:rPr>
            </w:r>
          </w:p>
        </w:tc>
        <w:tc>
          <w:tcPr>
            <w:tcW w:w="1347" w:type="pct"/>
            <w:textDirection w:val="lrTb"/>
            <w:noWrap w:val="false"/>
          </w:tcPr>
          <w:p>
            <w:pPr>
              <w:rPr>
                <w:szCs w:val="20"/>
              </w:rPr>
            </w:pPr>
            <w:r>
              <w:rPr>
                <w:szCs w:val="20"/>
              </w:rPr>
              <w:t xml:space="preserve">6</w:t>
            </w:r>
            <w:r>
              <w:rPr>
                <w:szCs w:val="20"/>
              </w:rPr>
            </w:r>
            <w:r>
              <w:rPr>
                <w:szCs w:val="20"/>
              </w:rPr>
            </w:r>
          </w:p>
        </w:tc>
      </w:tr>
      <w:tr>
        <w:tblPrEx/>
        <w:trPr/>
        <w:tc>
          <w:tcPr>
            <w:tcW w:w="494" w:type="pct"/>
            <w:textDirection w:val="lrTb"/>
            <w:noWrap w:val="false"/>
          </w:tcPr>
          <w:p>
            <w:pPr>
              <w:pStyle w:val="1250"/>
              <w:numPr>
                <w:ilvl w:val="0"/>
                <w:numId w:val="46"/>
              </w:numPr>
              <w:contextualSpacing/>
              <w:ind w:left="0" w:firstLine="0"/>
              <w:rPr>
                <w:szCs w:val="20"/>
              </w:rPr>
            </w:pPr>
            <w:r>
              <w:rPr>
                <w:szCs w:val="20"/>
              </w:rPr>
            </w:r>
            <w:r>
              <w:rPr>
                <w:szCs w:val="20"/>
              </w:rPr>
            </w:r>
            <w:r>
              <w:rPr>
                <w:szCs w:val="20"/>
              </w:rPr>
            </w:r>
          </w:p>
        </w:tc>
        <w:tc>
          <w:tcPr>
            <w:tcW w:w="1678" w:type="pct"/>
            <w:textDirection w:val="lrTb"/>
            <w:noWrap w:val="false"/>
          </w:tcPr>
          <w:p>
            <w:pPr>
              <w:rPr>
                <w:szCs w:val="20"/>
              </w:rPr>
            </w:pPr>
            <w:r>
              <w:rPr>
                <w:szCs w:val="20"/>
              </w:rPr>
              <w:t xml:space="preserve">200</w:t>
            </w:r>
            <w:r>
              <w:rPr>
                <w:szCs w:val="20"/>
              </w:rPr>
            </w:r>
            <w:r>
              <w:rPr>
                <w:szCs w:val="20"/>
              </w:rPr>
            </w:r>
          </w:p>
        </w:tc>
        <w:tc>
          <w:tcPr>
            <w:tcW w:w="1481" w:type="pct"/>
            <w:textDirection w:val="lrTb"/>
            <w:noWrap w:val="false"/>
          </w:tcPr>
          <w:p>
            <w:pPr>
              <w:rPr>
                <w:szCs w:val="20"/>
              </w:rPr>
            </w:pPr>
            <w:r>
              <w:rPr>
                <w:szCs w:val="20"/>
              </w:rPr>
              <w:t xml:space="preserve">4</w:t>
            </w:r>
            <w:r>
              <w:rPr>
                <w:szCs w:val="20"/>
              </w:rPr>
            </w:r>
            <w:r>
              <w:rPr>
                <w:szCs w:val="20"/>
              </w:rPr>
            </w:r>
          </w:p>
        </w:tc>
        <w:tc>
          <w:tcPr>
            <w:tcW w:w="1347" w:type="pct"/>
            <w:textDirection w:val="lrTb"/>
            <w:noWrap w:val="false"/>
          </w:tcPr>
          <w:p>
            <w:pPr>
              <w:rPr>
                <w:szCs w:val="20"/>
              </w:rPr>
            </w:pPr>
            <w:r>
              <w:rPr>
                <w:szCs w:val="20"/>
              </w:rPr>
            </w:r>
            <w:r>
              <w:rPr>
                <w:szCs w:val="20"/>
              </w:rPr>
            </w:r>
            <w:r>
              <w:rPr>
                <w:szCs w:val="20"/>
              </w:rPr>
            </w:r>
          </w:p>
        </w:tc>
      </w:tr>
      <w:tr>
        <w:tblPrEx/>
        <w:trPr/>
        <w:tc>
          <w:tcPr>
            <w:tcW w:w="494" w:type="pct"/>
            <w:textDirection w:val="lrTb"/>
            <w:noWrap w:val="false"/>
          </w:tcPr>
          <w:p>
            <w:pPr>
              <w:pStyle w:val="1250"/>
              <w:numPr>
                <w:ilvl w:val="0"/>
                <w:numId w:val="46"/>
              </w:numPr>
              <w:contextualSpacing/>
              <w:ind w:left="0" w:firstLine="0"/>
              <w:rPr>
                <w:szCs w:val="20"/>
              </w:rPr>
            </w:pPr>
            <w:r>
              <w:rPr>
                <w:szCs w:val="20"/>
              </w:rPr>
            </w:r>
            <w:r>
              <w:rPr>
                <w:szCs w:val="20"/>
              </w:rPr>
            </w:r>
            <w:r>
              <w:rPr>
                <w:szCs w:val="20"/>
              </w:rPr>
            </w:r>
          </w:p>
        </w:tc>
        <w:tc>
          <w:tcPr>
            <w:tcW w:w="1678" w:type="pct"/>
            <w:textDirection w:val="lrTb"/>
            <w:noWrap w:val="false"/>
          </w:tcPr>
          <w:p>
            <w:pPr>
              <w:rPr>
                <w:szCs w:val="20"/>
              </w:rPr>
            </w:pPr>
            <w:r>
              <w:rPr>
                <w:szCs w:val="20"/>
              </w:rPr>
              <w:t xml:space="preserve">150</w:t>
            </w:r>
            <w:r>
              <w:rPr>
                <w:szCs w:val="20"/>
              </w:rPr>
            </w:r>
            <w:r>
              <w:rPr>
                <w:szCs w:val="20"/>
              </w:rPr>
            </w:r>
          </w:p>
        </w:tc>
        <w:tc>
          <w:tcPr>
            <w:tcW w:w="1481" w:type="pct"/>
            <w:textDirection w:val="lrTb"/>
            <w:noWrap w:val="false"/>
          </w:tcPr>
          <w:p>
            <w:pPr>
              <w:rPr>
                <w:szCs w:val="20"/>
              </w:rPr>
            </w:pPr>
            <w:r>
              <w:rPr>
                <w:szCs w:val="20"/>
              </w:rPr>
              <w:t xml:space="preserve">12</w:t>
            </w:r>
            <w:r>
              <w:rPr>
                <w:szCs w:val="20"/>
              </w:rPr>
            </w:r>
            <w:r>
              <w:rPr>
                <w:szCs w:val="20"/>
              </w:rPr>
            </w:r>
          </w:p>
        </w:tc>
        <w:tc>
          <w:tcPr>
            <w:tcW w:w="1347" w:type="pct"/>
            <w:textDirection w:val="lrTb"/>
            <w:noWrap w:val="false"/>
          </w:tcPr>
          <w:p>
            <w:pPr>
              <w:rPr>
                <w:szCs w:val="20"/>
              </w:rPr>
            </w:pPr>
            <w:r>
              <w:rPr>
                <w:szCs w:val="20"/>
              </w:rPr>
              <w:t xml:space="preserve">14</w:t>
            </w:r>
            <w:r>
              <w:rPr>
                <w:szCs w:val="20"/>
              </w:rPr>
            </w:r>
            <w:r>
              <w:rPr>
                <w:szCs w:val="20"/>
              </w:rPr>
            </w:r>
          </w:p>
        </w:tc>
      </w:tr>
      <w:tr>
        <w:tblPrEx/>
        <w:trPr/>
        <w:tc>
          <w:tcPr>
            <w:tcW w:w="494" w:type="pct"/>
            <w:textDirection w:val="lrTb"/>
            <w:noWrap w:val="false"/>
          </w:tcPr>
          <w:p>
            <w:pPr>
              <w:pStyle w:val="1250"/>
              <w:numPr>
                <w:ilvl w:val="0"/>
                <w:numId w:val="46"/>
              </w:numPr>
              <w:contextualSpacing/>
              <w:ind w:left="0" w:firstLine="0"/>
              <w:rPr>
                <w:szCs w:val="20"/>
              </w:rPr>
            </w:pPr>
            <w:r>
              <w:rPr>
                <w:szCs w:val="20"/>
              </w:rPr>
            </w:r>
            <w:r>
              <w:rPr>
                <w:szCs w:val="20"/>
              </w:rPr>
            </w:r>
            <w:r>
              <w:rPr>
                <w:szCs w:val="20"/>
              </w:rPr>
            </w:r>
          </w:p>
        </w:tc>
        <w:tc>
          <w:tcPr>
            <w:tcW w:w="1678" w:type="pct"/>
            <w:textDirection w:val="lrTb"/>
            <w:noWrap w:val="false"/>
          </w:tcPr>
          <w:p>
            <w:pPr>
              <w:rPr>
                <w:szCs w:val="20"/>
              </w:rPr>
            </w:pPr>
            <w:r>
              <w:rPr>
                <w:szCs w:val="20"/>
              </w:rPr>
              <w:t xml:space="preserve">125</w:t>
            </w:r>
            <w:r>
              <w:rPr>
                <w:szCs w:val="20"/>
              </w:rPr>
            </w:r>
            <w:r>
              <w:rPr>
                <w:szCs w:val="20"/>
              </w:rPr>
            </w:r>
          </w:p>
        </w:tc>
        <w:tc>
          <w:tcPr>
            <w:tcW w:w="1481" w:type="pct"/>
            <w:textDirection w:val="lrTb"/>
            <w:noWrap w:val="false"/>
          </w:tcPr>
          <w:p>
            <w:pPr>
              <w:rPr>
                <w:szCs w:val="20"/>
              </w:rPr>
            </w:pPr>
            <w:r>
              <w:rPr>
                <w:szCs w:val="20"/>
              </w:rPr>
              <w:t xml:space="preserve">2</w:t>
            </w:r>
            <w:r>
              <w:rPr>
                <w:szCs w:val="20"/>
              </w:rPr>
            </w:r>
            <w:r>
              <w:rPr>
                <w:szCs w:val="20"/>
              </w:rPr>
            </w:r>
          </w:p>
        </w:tc>
        <w:tc>
          <w:tcPr>
            <w:tcW w:w="1347" w:type="pct"/>
            <w:textDirection w:val="lrTb"/>
            <w:noWrap w:val="false"/>
          </w:tcPr>
          <w:p>
            <w:pPr>
              <w:rPr>
                <w:szCs w:val="20"/>
              </w:rPr>
            </w:pPr>
            <w:r>
              <w:rPr>
                <w:szCs w:val="20"/>
              </w:rPr>
            </w:r>
            <w:r>
              <w:rPr>
                <w:szCs w:val="20"/>
              </w:rPr>
            </w:r>
            <w:r>
              <w:rPr>
                <w:szCs w:val="20"/>
              </w:rPr>
            </w:r>
          </w:p>
        </w:tc>
      </w:tr>
      <w:tr>
        <w:tblPrEx/>
        <w:trPr/>
        <w:tc>
          <w:tcPr>
            <w:tcW w:w="494" w:type="pct"/>
            <w:textDirection w:val="lrTb"/>
            <w:noWrap w:val="false"/>
          </w:tcPr>
          <w:p>
            <w:pPr>
              <w:pStyle w:val="1250"/>
              <w:numPr>
                <w:ilvl w:val="0"/>
                <w:numId w:val="46"/>
              </w:numPr>
              <w:contextualSpacing/>
              <w:ind w:left="0" w:firstLine="0"/>
              <w:rPr>
                <w:szCs w:val="20"/>
              </w:rPr>
            </w:pPr>
            <w:r>
              <w:rPr>
                <w:szCs w:val="20"/>
              </w:rPr>
            </w:r>
            <w:r>
              <w:rPr>
                <w:szCs w:val="20"/>
              </w:rPr>
            </w:r>
            <w:r>
              <w:rPr>
                <w:szCs w:val="20"/>
              </w:rPr>
            </w:r>
          </w:p>
        </w:tc>
        <w:tc>
          <w:tcPr>
            <w:tcW w:w="1678" w:type="pct"/>
            <w:textDirection w:val="lrTb"/>
            <w:noWrap w:val="false"/>
          </w:tcPr>
          <w:p>
            <w:pPr>
              <w:rPr>
                <w:szCs w:val="20"/>
              </w:rPr>
            </w:pPr>
            <w:r>
              <w:rPr>
                <w:szCs w:val="20"/>
              </w:rPr>
              <w:t xml:space="preserve">100</w:t>
            </w:r>
            <w:r>
              <w:rPr>
                <w:szCs w:val="20"/>
              </w:rPr>
            </w:r>
            <w:r>
              <w:rPr>
                <w:szCs w:val="20"/>
              </w:rPr>
            </w:r>
          </w:p>
        </w:tc>
        <w:tc>
          <w:tcPr>
            <w:tcW w:w="1481" w:type="pct"/>
            <w:textDirection w:val="lrTb"/>
            <w:noWrap w:val="false"/>
          </w:tcPr>
          <w:p>
            <w:pPr>
              <w:rPr>
                <w:szCs w:val="20"/>
              </w:rPr>
            </w:pPr>
            <w:r>
              <w:rPr>
                <w:szCs w:val="20"/>
              </w:rPr>
              <w:t xml:space="preserve">25</w:t>
            </w:r>
            <w:r>
              <w:rPr>
                <w:szCs w:val="20"/>
              </w:rPr>
            </w:r>
            <w:r>
              <w:rPr>
                <w:szCs w:val="20"/>
              </w:rPr>
            </w:r>
          </w:p>
        </w:tc>
        <w:tc>
          <w:tcPr>
            <w:tcW w:w="1347" w:type="pct"/>
            <w:textDirection w:val="lrTb"/>
            <w:noWrap w:val="false"/>
          </w:tcPr>
          <w:p>
            <w:pPr>
              <w:rPr>
                <w:szCs w:val="20"/>
              </w:rPr>
            </w:pPr>
            <w:r>
              <w:rPr>
                <w:szCs w:val="20"/>
              </w:rPr>
              <w:t xml:space="preserve">8</w:t>
            </w:r>
            <w:r>
              <w:rPr>
                <w:szCs w:val="20"/>
              </w:rPr>
            </w:r>
            <w:r>
              <w:rPr>
                <w:szCs w:val="20"/>
              </w:rPr>
            </w:r>
          </w:p>
        </w:tc>
      </w:tr>
      <w:tr>
        <w:tblPrEx/>
        <w:trPr/>
        <w:tc>
          <w:tcPr>
            <w:tcW w:w="494" w:type="pct"/>
            <w:textDirection w:val="lrTb"/>
            <w:noWrap w:val="false"/>
          </w:tcPr>
          <w:p>
            <w:pPr>
              <w:pStyle w:val="1250"/>
              <w:numPr>
                <w:ilvl w:val="0"/>
                <w:numId w:val="46"/>
              </w:numPr>
              <w:contextualSpacing/>
              <w:ind w:left="0" w:firstLine="0"/>
              <w:rPr>
                <w:szCs w:val="20"/>
              </w:rPr>
            </w:pPr>
            <w:r>
              <w:rPr>
                <w:szCs w:val="20"/>
              </w:rPr>
            </w:r>
            <w:r>
              <w:rPr>
                <w:szCs w:val="20"/>
              </w:rPr>
            </w:r>
            <w:r>
              <w:rPr>
                <w:szCs w:val="20"/>
              </w:rPr>
            </w:r>
          </w:p>
        </w:tc>
        <w:tc>
          <w:tcPr>
            <w:tcW w:w="1678" w:type="pct"/>
            <w:textDirection w:val="lrTb"/>
            <w:noWrap w:val="false"/>
          </w:tcPr>
          <w:p>
            <w:pPr>
              <w:rPr>
                <w:szCs w:val="20"/>
              </w:rPr>
            </w:pPr>
            <w:r>
              <w:rPr>
                <w:szCs w:val="20"/>
              </w:rPr>
              <w:t xml:space="preserve">89</w:t>
            </w:r>
            <w:r>
              <w:rPr>
                <w:szCs w:val="20"/>
              </w:rPr>
            </w:r>
            <w:r>
              <w:rPr>
                <w:szCs w:val="20"/>
              </w:rPr>
            </w:r>
          </w:p>
        </w:tc>
        <w:tc>
          <w:tcPr>
            <w:tcW w:w="1481" w:type="pct"/>
            <w:textDirection w:val="lrTb"/>
            <w:noWrap w:val="false"/>
          </w:tcPr>
          <w:p>
            <w:pPr>
              <w:rPr>
                <w:szCs w:val="20"/>
              </w:rPr>
            </w:pPr>
            <w:r>
              <w:rPr>
                <w:szCs w:val="20"/>
              </w:rPr>
              <w:t xml:space="preserve">19</w:t>
            </w:r>
            <w:r>
              <w:rPr>
                <w:szCs w:val="20"/>
              </w:rPr>
            </w:r>
            <w:r>
              <w:rPr>
                <w:szCs w:val="20"/>
              </w:rPr>
            </w:r>
          </w:p>
        </w:tc>
        <w:tc>
          <w:tcPr>
            <w:tcW w:w="1347" w:type="pct"/>
            <w:textDirection w:val="lrTb"/>
            <w:noWrap w:val="false"/>
          </w:tcPr>
          <w:p>
            <w:pPr>
              <w:rPr>
                <w:szCs w:val="20"/>
              </w:rPr>
            </w:pPr>
            <w:r>
              <w:rPr>
                <w:szCs w:val="20"/>
              </w:rPr>
              <w:t xml:space="preserve">32</w:t>
            </w:r>
            <w:r>
              <w:rPr>
                <w:szCs w:val="20"/>
              </w:rPr>
            </w:r>
            <w:r>
              <w:rPr>
                <w:szCs w:val="20"/>
              </w:rPr>
            </w:r>
          </w:p>
        </w:tc>
      </w:tr>
      <w:tr>
        <w:tblPrEx/>
        <w:trPr/>
        <w:tc>
          <w:tcPr>
            <w:tcW w:w="494" w:type="pct"/>
            <w:textDirection w:val="lrTb"/>
            <w:noWrap w:val="false"/>
          </w:tcPr>
          <w:p>
            <w:pPr>
              <w:pStyle w:val="1250"/>
              <w:numPr>
                <w:ilvl w:val="0"/>
                <w:numId w:val="46"/>
              </w:numPr>
              <w:contextualSpacing/>
              <w:ind w:left="0" w:firstLine="0"/>
              <w:rPr>
                <w:szCs w:val="20"/>
              </w:rPr>
            </w:pPr>
            <w:r>
              <w:rPr>
                <w:szCs w:val="20"/>
              </w:rPr>
            </w:r>
            <w:r>
              <w:rPr>
                <w:szCs w:val="20"/>
              </w:rPr>
            </w:r>
            <w:r>
              <w:rPr>
                <w:szCs w:val="20"/>
              </w:rPr>
            </w:r>
          </w:p>
        </w:tc>
        <w:tc>
          <w:tcPr>
            <w:tcW w:w="1678" w:type="pct"/>
            <w:textDirection w:val="lrTb"/>
            <w:noWrap w:val="false"/>
          </w:tcPr>
          <w:p>
            <w:pPr>
              <w:rPr>
                <w:szCs w:val="20"/>
              </w:rPr>
            </w:pPr>
            <w:r>
              <w:rPr>
                <w:szCs w:val="20"/>
              </w:rPr>
              <w:t xml:space="preserve">76</w:t>
            </w:r>
            <w:r>
              <w:rPr>
                <w:szCs w:val="20"/>
              </w:rPr>
            </w:r>
            <w:r>
              <w:rPr>
                <w:szCs w:val="20"/>
              </w:rPr>
            </w:r>
          </w:p>
        </w:tc>
        <w:tc>
          <w:tcPr>
            <w:tcW w:w="1481" w:type="pct"/>
            <w:textDirection w:val="lrTb"/>
            <w:noWrap w:val="false"/>
          </w:tcPr>
          <w:p>
            <w:pPr>
              <w:rPr>
                <w:szCs w:val="20"/>
              </w:rPr>
            </w:pPr>
            <w:r>
              <w:rPr>
                <w:szCs w:val="20"/>
              </w:rPr>
              <w:t xml:space="preserve">–</w:t>
            </w:r>
            <w:r>
              <w:rPr>
                <w:szCs w:val="20"/>
              </w:rPr>
            </w:r>
            <w:r>
              <w:rPr>
                <w:szCs w:val="20"/>
              </w:rPr>
            </w:r>
          </w:p>
        </w:tc>
        <w:tc>
          <w:tcPr>
            <w:tcW w:w="1347" w:type="pct"/>
            <w:textDirection w:val="lrTb"/>
            <w:noWrap w:val="false"/>
          </w:tcPr>
          <w:p>
            <w:pPr>
              <w:rPr>
                <w:szCs w:val="20"/>
              </w:rPr>
            </w:pPr>
            <w:r>
              <w:rPr>
                <w:szCs w:val="20"/>
              </w:rPr>
              <w:t xml:space="preserve">26</w:t>
            </w:r>
            <w:r>
              <w:rPr>
                <w:szCs w:val="20"/>
              </w:rPr>
            </w:r>
            <w:r>
              <w:rPr>
                <w:szCs w:val="20"/>
              </w:rPr>
            </w:r>
          </w:p>
        </w:tc>
      </w:tr>
      <w:tr>
        <w:tblPrEx/>
        <w:trPr/>
        <w:tc>
          <w:tcPr>
            <w:tcW w:w="494" w:type="pct"/>
            <w:textDirection w:val="lrTb"/>
            <w:noWrap w:val="false"/>
          </w:tcPr>
          <w:p>
            <w:pPr>
              <w:pStyle w:val="1250"/>
              <w:numPr>
                <w:ilvl w:val="0"/>
                <w:numId w:val="46"/>
              </w:numPr>
              <w:contextualSpacing/>
              <w:ind w:left="0" w:firstLine="0"/>
              <w:rPr>
                <w:szCs w:val="20"/>
              </w:rPr>
            </w:pPr>
            <w:r>
              <w:rPr>
                <w:szCs w:val="20"/>
              </w:rPr>
            </w:r>
            <w:r>
              <w:rPr>
                <w:szCs w:val="20"/>
              </w:rPr>
            </w:r>
            <w:r>
              <w:rPr>
                <w:szCs w:val="20"/>
              </w:rPr>
            </w:r>
          </w:p>
        </w:tc>
        <w:tc>
          <w:tcPr>
            <w:tcW w:w="1678" w:type="pct"/>
            <w:textDirection w:val="lrTb"/>
            <w:noWrap w:val="false"/>
          </w:tcPr>
          <w:p>
            <w:pPr>
              <w:rPr>
                <w:szCs w:val="20"/>
              </w:rPr>
            </w:pPr>
            <w:r>
              <w:rPr>
                <w:szCs w:val="20"/>
              </w:rPr>
              <w:t xml:space="preserve">57</w:t>
            </w:r>
            <w:r>
              <w:rPr>
                <w:szCs w:val="20"/>
              </w:rPr>
            </w:r>
            <w:r>
              <w:rPr>
                <w:szCs w:val="20"/>
              </w:rPr>
            </w:r>
          </w:p>
        </w:tc>
        <w:tc>
          <w:tcPr>
            <w:tcW w:w="1481" w:type="pct"/>
            <w:textDirection w:val="lrTb"/>
            <w:noWrap w:val="false"/>
          </w:tcPr>
          <w:p>
            <w:pPr>
              <w:rPr>
                <w:szCs w:val="20"/>
              </w:rPr>
            </w:pPr>
            <w:r>
              <w:rPr>
                <w:szCs w:val="20"/>
              </w:rPr>
              <w:t xml:space="preserve">110</w:t>
            </w:r>
            <w:r>
              <w:rPr>
                <w:szCs w:val="20"/>
              </w:rPr>
            </w:r>
            <w:r>
              <w:rPr>
                <w:szCs w:val="20"/>
              </w:rPr>
            </w:r>
          </w:p>
        </w:tc>
        <w:tc>
          <w:tcPr>
            <w:tcW w:w="1347" w:type="pct"/>
            <w:textDirection w:val="lrTb"/>
            <w:noWrap w:val="false"/>
          </w:tcPr>
          <w:p>
            <w:pPr>
              <w:rPr>
                <w:szCs w:val="20"/>
              </w:rPr>
            </w:pPr>
            <w:r>
              <w:rPr>
                <w:szCs w:val="20"/>
              </w:rPr>
              <w:t xml:space="preserve">14</w:t>
            </w:r>
            <w:r>
              <w:rPr>
                <w:szCs w:val="20"/>
              </w:rPr>
            </w:r>
            <w:r>
              <w:rPr>
                <w:szCs w:val="20"/>
              </w:rPr>
            </w:r>
          </w:p>
        </w:tc>
      </w:tr>
      <w:tr>
        <w:tblPrEx/>
        <w:trPr/>
        <w:tc>
          <w:tcPr>
            <w:tcW w:w="494" w:type="pct"/>
            <w:textDirection w:val="lrTb"/>
            <w:noWrap w:val="false"/>
          </w:tcPr>
          <w:p>
            <w:pPr>
              <w:pStyle w:val="1250"/>
              <w:numPr>
                <w:ilvl w:val="0"/>
                <w:numId w:val="46"/>
              </w:numPr>
              <w:contextualSpacing/>
              <w:ind w:left="0" w:firstLine="0"/>
              <w:rPr>
                <w:szCs w:val="20"/>
              </w:rPr>
            </w:pPr>
            <w:r>
              <w:rPr>
                <w:szCs w:val="20"/>
              </w:rPr>
            </w:r>
            <w:r>
              <w:rPr>
                <w:szCs w:val="20"/>
              </w:rPr>
            </w:r>
            <w:r>
              <w:rPr>
                <w:szCs w:val="20"/>
              </w:rPr>
            </w:r>
          </w:p>
        </w:tc>
        <w:tc>
          <w:tcPr>
            <w:tcW w:w="1678" w:type="pct"/>
            <w:textDirection w:val="lrTb"/>
            <w:noWrap w:val="false"/>
          </w:tcPr>
          <w:p>
            <w:pPr>
              <w:rPr>
                <w:szCs w:val="20"/>
              </w:rPr>
            </w:pPr>
            <w:r>
              <w:rPr>
                <w:szCs w:val="20"/>
              </w:rPr>
              <w:t xml:space="preserve">40</w:t>
            </w:r>
            <w:r>
              <w:rPr>
                <w:szCs w:val="20"/>
              </w:rPr>
            </w:r>
            <w:r>
              <w:rPr>
                <w:szCs w:val="20"/>
              </w:rPr>
            </w:r>
          </w:p>
        </w:tc>
        <w:tc>
          <w:tcPr>
            <w:tcW w:w="1481" w:type="pct"/>
            <w:textDirection w:val="lrTb"/>
            <w:noWrap w:val="false"/>
          </w:tcPr>
          <w:p>
            <w:pPr>
              <w:rPr>
                <w:szCs w:val="20"/>
              </w:rPr>
            </w:pPr>
            <w:r>
              <w:rPr>
                <w:szCs w:val="20"/>
              </w:rPr>
              <w:t xml:space="preserve">22</w:t>
            </w:r>
            <w:r>
              <w:rPr>
                <w:szCs w:val="20"/>
              </w:rPr>
            </w:r>
            <w:r>
              <w:rPr>
                <w:szCs w:val="20"/>
              </w:rPr>
            </w:r>
          </w:p>
        </w:tc>
        <w:tc>
          <w:tcPr>
            <w:tcW w:w="1347" w:type="pct"/>
            <w:textDirection w:val="lrTb"/>
            <w:noWrap w:val="false"/>
          </w:tcPr>
          <w:p>
            <w:pPr>
              <w:rPr>
                <w:szCs w:val="20"/>
              </w:rPr>
            </w:pPr>
            <w:r>
              <w:rPr>
                <w:szCs w:val="20"/>
              </w:rPr>
              <w:t xml:space="preserve">20</w:t>
            </w:r>
            <w:r>
              <w:rPr>
                <w:szCs w:val="20"/>
              </w:rPr>
            </w:r>
            <w:r>
              <w:rPr>
                <w:szCs w:val="20"/>
              </w:rPr>
            </w:r>
          </w:p>
        </w:tc>
      </w:tr>
      <w:tr>
        <w:tblPrEx/>
        <w:trPr/>
        <w:tc>
          <w:tcPr>
            <w:tcW w:w="494" w:type="pct"/>
            <w:textDirection w:val="lrTb"/>
            <w:noWrap w:val="false"/>
          </w:tcPr>
          <w:p>
            <w:pPr>
              <w:pStyle w:val="1250"/>
              <w:numPr>
                <w:ilvl w:val="0"/>
                <w:numId w:val="46"/>
              </w:numPr>
              <w:contextualSpacing/>
              <w:ind w:left="0" w:firstLine="0"/>
              <w:rPr>
                <w:szCs w:val="20"/>
              </w:rPr>
            </w:pPr>
            <w:r>
              <w:rPr>
                <w:szCs w:val="20"/>
              </w:rPr>
            </w:r>
            <w:r>
              <w:rPr>
                <w:szCs w:val="20"/>
              </w:rPr>
            </w:r>
            <w:r>
              <w:rPr>
                <w:szCs w:val="20"/>
              </w:rPr>
            </w:r>
          </w:p>
        </w:tc>
        <w:tc>
          <w:tcPr>
            <w:tcW w:w="1678" w:type="pct"/>
            <w:textDirection w:val="lrTb"/>
            <w:noWrap w:val="false"/>
          </w:tcPr>
          <w:p>
            <w:pPr>
              <w:rPr>
                <w:szCs w:val="20"/>
              </w:rPr>
            </w:pPr>
            <w:r>
              <w:rPr>
                <w:szCs w:val="20"/>
              </w:rPr>
              <w:t xml:space="preserve">32</w:t>
            </w:r>
            <w:r>
              <w:rPr>
                <w:szCs w:val="20"/>
              </w:rPr>
            </w:r>
            <w:r>
              <w:rPr>
                <w:szCs w:val="20"/>
              </w:rPr>
            </w:r>
          </w:p>
        </w:tc>
        <w:tc>
          <w:tcPr>
            <w:tcW w:w="1481" w:type="pct"/>
            <w:textDirection w:val="lrTb"/>
            <w:noWrap w:val="false"/>
          </w:tcPr>
          <w:p>
            <w:pPr>
              <w:rPr>
                <w:szCs w:val="20"/>
              </w:rPr>
            </w:pPr>
            <w:r>
              <w:rPr>
                <w:szCs w:val="20"/>
              </w:rPr>
              <w:t xml:space="preserve">68</w:t>
            </w:r>
            <w:r>
              <w:rPr>
                <w:szCs w:val="20"/>
              </w:rPr>
            </w:r>
            <w:r>
              <w:rPr>
                <w:szCs w:val="20"/>
              </w:rPr>
            </w:r>
          </w:p>
        </w:tc>
        <w:tc>
          <w:tcPr>
            <w:tcW w:w="1347" w:type="pct"/>
            <w:textDirection w:val="lrTb"/>
            <w:noWrap w:val="false"/>
          </w:tcPr>
          <w:p>
            <w:pPr>
              <w:rPr>
                <w:szCs w:val="20"/>
              </w:rPr>
            </w:pPr>
            <w:r>
              <w:rPr>
                <w:szCs w:val="20"/>
              </w:rPr>
              <w:t xml:space="preserve">15</w:t>
            </w:r>
            <w:r>
              <w:rPr>
                <w:szCs w:val="20"/>
              </w:rPr>
            </w:r>
            <w:r>
              <w:rPr>
                <w:szCs w:val="20"/>
              </w:rPr>
            </w:r>
          </w:p>
        </w:tc>
      </w:tr>
      <w:tr>
        <w:tblPrEx/>
        <w:trPr/>
        <w:tc>
          <w:tcPr>
            <w:tcW w:w="494" w:type="pct"/>
            <w:textDirection w:val="lrTb"/>
            <w:noWrap w:val="false"/>
          </w:tcPr>
          <w:p>
            <w:pPr>
              <w:pStyle w:val="1250"/>
              <w:numPr>
                <w:ilvl w:val="0"/>
                <w:numId w:val="46"/>
              </w:numPr>
              <w:contextualSpacing/>
              <w:ind w:left="0" w:firstLine="0"/>
              <w:rPr>
                <w:szCs w:val="20"/>
              </w:rPr>
            </w:pPr>
            <w:r>
              <w:rPr>
                <w:szCs w:val="20"/>
              </w:rPr>
            </w:r>
            <w:r>
              <w:rPr>
                <w:szCs w:val="20"/>
              </w:rPr>
            </w:r>
            <w:r>
              <w:rPr>
                <w:szCs w:val="20"/>
              </w:rPr>
            </w:r>
          </w:p>
        </w:tc>
        <w:tc>
          <w:tcPr>
            <w:tcW w:w="1678" w:type="pct"/>
            <w:textDirection w:val="lrTb"/>
            <w:noWrap w:val="false"/>
          </w:tcPr>
          <w:p>
            <w:pPr>
              <w:rPr>
                <w:szCs w:val="20"/>
              </w:rPr>
            </w:pPr>
            <w:r>
              <w:rPr>
                <w:szCs w:val="20"/>
              </w:rPr>
              <w:t xml:space="preserve">25</w:t>
            </w:r>
            <w:r>
              <w:rPr>
                <w:szCs w:val="20"/>
              </w:rPr>
            </w:r>
            <w:r>
              <w:rPr>
                <w:szCs w:val="20"/>
              </w:rPr>
            </w:r>
          </w:p>
        </w:tc>
        <w:tc>
          <w:tcPr>
            <w:tcW w:w="1481" w:type="pct"/>
            <w:textDirection w:val="lrTb"/>
            <w:noWrap w:val="false"/>
          </w:tcPr>
          <w:p>
            <w:pPr>
              <w:rPr>
                <w:szCs w:val="20"/>
              </w:rPr>
            </w:pPr>
            <w:r>
              <w:rPr>
                <w:szCs w:val="20"/>
              </w:rPr>
              <w:t xml:space="preserve">–</w:t>
            </w:r>
            <w:r>
              <w:rPr>
                <w:szCs w:val="20"/>
              </w:rPr>
            </w:r>
            <w:r>
              <w:rPr>
                <w:szCs w:val="20"/>
              </w:rPr>
            </w:r>
          </w:p>
        </w:tc>
        <w:tc>
          <w:tcPr>
            <w:tcW w:w="1347" w:type="pct"/>
            <w:textDirection w:val="lrTb"/>
            <w:noWrap w:val="false"/>
          </w:tcPr>
          <w:p>
            <w:pPr>
              <w:rPr>
                <w:szCs w:val="20"/>
              </w:rPr>
            </w:pPr>
            <w:r>
              <w:rPr>
                <w:szCs w:val="20"/>
              </w:rPr>
              <w:t xml:space="preserve">16</w:t>
            </w:r>
            <w:r>
              <w:rPr>
                <w:szCs w:val="20"/>
              </w:rPr>
            </w:r>
            <w:r>
              <w:rPr>
                <w:szCs w:val="20"/>
              </w:rPr>
            </w:r>
          </w:p>
        </w:tc>
      </w:tr>
    </w:tbl>
    <w:p>
      <w:pPr>
        <w:pStyle w:val="1247"/>
        <w:ind w:left="118" w:right="266" w:firstLine="707"/>
        <w:jc w:val="center"/>
        <w:spacing w:before="115"/>
      </w:pPr>
      <w:r/>
      <w:r/>
    </w:p>
    <w:p>
      <w:pPr>
        <w:pStyle w:val="1248"/>
        <w:ind w:right="269" w:firstLine="733"/>
      </w:pPr>
      <w:r/>
      <w:bookmarkStart w:id="82" w:name="_bookmark60"/>
      <w:r/>
      <w:bookmarkStart w:id="83" w:name="_Toc130231893"/>
      <w:r/>
      <w:bookmarkStart w:id="84" w:name="_Toc165540676"/>
      <w:r/>
      <w:bookmarkEnd w:id="82"/>
      <w:r>
        <w:rPr>
          <w:lang w:eastAsia="ru-RU"/>
        </w:rPr>
        <w:t xml:space="preserve">1.3.5 </w:t>
      </w:r>
      <w:r>
        <w:t xml:space="preserve">Описание</w:t>
      </w:r>
      <w:r>
        <w:rPr>
          <w:spacing w:val="-1"/>
        </w:rPr>
        <w:t xml:space="preserve"> </w:t>
      </w:r>
      <w:r>
        <w:t xml:space="preserve">типов и строительных особенностей тепловых пунктов, тепловых камер и павильонов</w:t>
      </w:r>
      <w:bookmarkEnd w:id="83"/>
      <w:r/>
      <w:bookmarkEnd w:id="84"/>
      <w:r/>
      <w:r/>
    </w:p>
    <w:p>
      <w:pPr>
        <w:pStyle w:val="1247"/>
        <w:ind w:left="113" w:right="96" w:firstLine="709"/>
        <w:jc w:val="both"/>
        <w:spacing w:before="120"/>
      </w:pPr>
      <w:r>
        <w:t xml:space="preserve">Тепловые павильоны систем теплоснабжения на территории Юргамышского муниципального округа отсутствуют. Тепловые камеры выполнены из деревянной опалубки с утеплением минеральной ватой.</w:t>
      </w:r>
      <w:r/>
    </w:p>
    <w:p>
      <w:pPr>
        <w:pStyle w:val="1247"/>
        <w:spacing w:before="1"/>
        <w:rPr>
          <w:sz w:val="27"/>
        </w:rPr>
      </w:pPr>
      <w:r>
        <w:rPr>
          <w:sz w:val="27"/>
        </w:rPr>
      </w:r>
      <w:r>
        <w:rPr>
          <w:sz w:val="27"/>
        </w:rPr>
      </w:r>
      <w:r>
        <w:rPr>
          <w:sz w:val="27"/>
        </w:rPr>
      </w:r>
    </w:p>
    <w:p>
      <w:pPr>
        <w:pStyle w:val="1248"/>
        <w:ind w:right="269" w:firstLine="733"/>
      </w:pPr>
      <w:r/>
      <w:bookmarkStart w:id="85" w:name="_bookmark61"/>
      <w:r/>
      <w:bookmarkStart w:id="86" w:name="_Toc130231894"/>
      <w:r/>
      <w:bookmarkStart w:id="87" w:name="_Toc165540677"/>
      <w:r/>
      <w:bookmarkEnd w:id="85"/>
      <w:r>
        <w:rPr>
          <w:lang w:eastAsia="ru-RU"/>
        </w:rPr>
        <w:t xml:space="preserve">1.3.6 </w:t>
      </w:r>
      <w:r>
        <w:t xml:space="preserve">Описание графиков регулирования отпуска тепла в тепловые сети с анализом их обоснованности</w:t>
      </w:r>
      <w:bookmarkEnd w:id="86"/>
      <w:r/>
      <w:bookmarkEnd w:id="87"/>
      <w:r/>
      <w:r/>
    </w:p>
    <w:p>
      <w:pPr>
        <w:pStyle w:val="1247"/>
        <w:ind w:left="118" w:right="107" w:firstLine="707"/>
        <w:jc w:val="both"/>
        <w:spacing w:before="115"/>
      </w:pPr>
      <w:r>
        <w:t xml:space="preserve">График изменения температур теплоносителя выбран на основании климатических параметров</w:t>
      </w:r>
      <w:r>
        <w:rPr>
          <w:spacing w:val="64"/>
        </w:rPr>
        <w:t xml:space="preserve"> </w:t>
      </w:r>
      <w:r>
        <w:t xml:space="preserve">холодного</w:t>
      </w:r>
      <w:r>
        <w:rPr>
          <w:spacing w:val="63"/>
        </w:rPr>
        <w:t xml:space="preserve"> </w:t>
      </w:r>
      <w:r>
        <w:t xml:space="preserve">времени</w:t>
      </w:r>
      <w:r>
        <w:rPr>
          <w:spacing w:val="67"/>
        </w:rPr>
        <w:t xml:space="preserve"> </w:t>
      </w:r>
      <w:r>
        <w:t xml:space="preserve">года</w:t>
      </w:r>
      <w:r>
        <w:rPr>
          <w:spacing w:val="65"/>
        </w:rPr>
        <w:t xml:space="preserve"> </w:t>
      </w:r>
      <w:r>
        <w:t xml:space="preserve">согласно</w:t>
      </w:r>
      <w:r>
        <w:rPr>
          <w:spacing w:val="65"/>
        </w:rPr>
        <w:t xml:space="preserve"> </w:t>
      </w:r>
      <w:r>
        <w:t xml:space="preserve">СП</w:t>
      </w:r>
      <w:r>
        <w:rPr>
          <w:spacing w:val="66"/>
        </w:rPr>
        <w:t xml:space="preserve"> </w:t>
      </w:r>
      <w:r>
        <w:rPr>
          <w:spacing w:val="-2"/>
        </w:rPr>
        <w:t xml:space="preserve">131.13330.2020</w:t>
      </w:r>
      <w:r>
        <w:t xml:space="preserve"> «Строительная климатология» и справочных данных температуры воды, </w:t>
      </w:r>
      <w:r>
        <w:t xml:space="preserve">подаваемой в отопительную систему, и сетевой – в обратном трубопроводе по температурному графику для газовых котельных 95–70 °С, для угольных котельных - 70-60°С.</w:t>
      </w:r>
      <w:r/>
    </w:p>
    <w:p>
      <w:pPr>
        <w:ind w:right="107"/>
        <w:jc w:val="right"/>
        <w:rPr>
          <w:sz w:val="24"/>
          <w:szCs w:val="24"/>
        </w:rPr>
      </w:pPr>
      <w:r/>
      <w:bookmarkStart w:id="88" w:name="_bookmark62"/>
      <w:r/>
      <w:bookmarkEnd w:id="88"/>
      <w:r>
        <w:rPr>
          <w:sz w:val="24"/>
          <w:szCs w:val="24"/>
        </w:rPr>
      </w:r>
      <w:r>
        <w:rPr>
          <w:sz w:val="24"/>
          <w:szCs w:val="24"/>
        </w:rPr>
      </w:r>
    </w:p>
    <w:p>
      <w:pPr>
        <w:pStyle w:val="1248"/>
        <w:ind w:right="267" w:firstLine="733"/>
        <w:spacing w:before="142"/>
      </w:pPr>
      <w:r/>
      <w:bookmarkStart w:id="89" w:name="_bookmark63"/>
      <w:r/>
      <w:bookmarkStart w:id="90" w:name="_Toc130231895"/>
      <w:r/>
      <w:bookmarkStart w:id="91" w:name="_Toc165540678"/>
      <w:r/>
      <w:bookmarkEnd w:id="89"/>
      <w:r>
        <w:rPr>
          <w:lang w:eastAsia="ru-RU"/>
        </w:rPr>
        <w:t xml:space="preserve">1.3.7 </w:t>
      </w:r>
      <w:r>
        <w:t xml:space="preserve">Фактические температурные режимы отпуска тепла в тепловые сети и их соответствие утверждённым графикам регулирования отпуска тепла в тепловые сети</w:t>
      </w:r>
      <w:bookmarkEnd w:id="90"/>
      <w:r/>
      <w:bookmarkEnd w:id="91"/>
      <w:r/>
      <w:r/>
    </w:p>
    <w:p>
      <w:pPr>
        <w:pStyle w:val="1247"/>
        <w:ind w:left="142" w:right="249" w:firstLine="709"/>
        <w:jc w:val="both"/>
        <w:spacing w:before="120" w:line="270" w:lineRule="exact"/>
      </w:pPr>
      <w:r>
        <w:t xml:space="preserve">Фактические температурные режимы отпуска тепла в тепловые сети соответствуют утвержденным графикам регулирования отпуска тепла в тепловые сети и обеспечиваются путем соответствия расхода топлива температуре окружающей среды.</w:t>
      </w:r>
      <w:r/>
    </w:p>
    <w:p>
      <w:pPr>
        <w:pStyle w:val="1247"/>
        <w:ind w:left="822"/>
        <w:spacing w:before="120" w:line="270" w:lineRule="exact"/>
      </w:pPr>
      <w:r/>
      <w:r/>
    </w:p>
    <w:p>
      <w:pPr>
        <w:pStyle w:val="1248"/>
        <w:ind w:left="1373" w:hanging="522"/>
      </w:pPr>
      <w:r/>
      <w:bookmarkStart w:id="92" w:name="_bookmark64"/>
      <w:r/>
      <w:bookmarkStart w:id="93" w:name="_Toc130231896"/>
      <w:r/>
      <w:bookmarkStart w:id="94" w:name="_Toc165540679"/>
      <w:r/>
      <w:bookmarkEnd w:id="92"/>
      <w:r>
        <w:rPr>
          <w:lang w:eastAsia="ru-RU"/>
        </w:rPr>
        <w:t xml:space="preserve">1.3.8 </w:t>
      </w:r>
      <w:r>
        <w:t xml:space="preserve">Гидравлические</w:t>
      </w:r>
      <w:r>
        <w:rPr>
          <w:spacing w:val="-7"/>
        </w:rPr>
        <w:t xml:space="preserve"> </w:t>
      </w:r>
      <w:r>
        <w:t xml:space="preserve">режимы</w:t>
      </w:r>
      <w:r>
        <w:rPr>
          <w:spacing w:val="-5"/>
        </w:rPr>
        <w:t xml:space="preserve"> </w:t>
      </w:r>
      <w:r>
        <w:t xml:space="preserve">и</w:t>
      </w:r>
      <w:r>
        <w:rPr>
          <w:spacing w:val="-4"/>
        </w:rPr>
        <w:t xml:space="preserve"> </w:t>
      </w:r>
      <w:r>
        <w:t xml:space="preserve">пьезометрические</w:t>
      </w:r>
      <w:r>
        <w:rPr>
          <w:spacing w:val="-5"/>
        </w:rPr>
        <w:t xml:space="preserve"> </w:t>
      </w:r>
      <w:r>
        <w:t xml:space="preserve">графики</w:t>
      </w:r>
      <w:r>
        <w:rPr>
          <w:spacing w:val="-3"/>
        </w:rPr>
        <w:t xml:space="preserve"> </w:t>
      </w:r>
      <w:r>
        <w:t xml:space="preserve">тепловых</w:t>
      </w:r>
      <w:r>
        <w:rPr>
          <w:spacing w:val="-6"/>
        </w:rPr>
        <w:t xml:space="preserve"> </w:t>
      </w:r>
      <w:r>
        <w:rPr>
          <w:spacing w:val="-2"/>
        </w:rPr>
        <w:t xml:space="preserve">сетей</w:t>
      </w:r>
      <w:bookmarkEnd w:id="93"/>
      <w:r/>
      <w:bookmarkEnd w:id="94"/>
      <w:r/>
      <w:r/>
    </w:p>
    <w:p>
      <w:pPr>
        <w:pStyle w:val="1247"/>
        <w:ind w:left="118" w:right="265" w:firstLine="707"/>
        <w:jc w:val="both"/>
        <w:spacing w:before="116"/>
      </w:pPr>
      <w:r>
        <w:t xml:space="preserve">По всем тепловым сетям до начала отопительного сезона проводятся гидравлические испытания в целях проверки плотности и прочности трубопроводов и установленной запорной и регулирующей арматуры.</w:t>
      </w:r>
      <w:r/>
    </w:p>
    <w:p>
      <w:pPr>
        <w:pStyle w:val="1247"/>
        <w:ind w:left="119" w:right="266" w:firstLine="709"/>
        <w:jc w:val="both"/>
      </w:pPr>
      <w:r>
        <w:t xml:space="preserve">Состояние тепловой изоляции проводится визуальным контролем. В случае нарушения ее целостности, проводятся необходимые мероприятия по устранению недостатков. </w:t>
      </w:r>
      <w:r/>
    </w:p>
    <w:p>
      <w:pPr>
        <w:pStyle w:val="1247"/>
        <w:ind w:left="119" w:right="266" w:firstLine="709"/>
        <w:jc w:val="both"/>
      </w:pPr>
      <w:r/>
      <w:r/>
    </w:p>
    <w:p>
      <w:pPr>
        <w:pStyle w:val="1248"/>
        <w:ind w:left="1373" w:hanging="522"/>
        <w:jc w:val="left"/>
        <w:spacing w:before="71"/>
      </w:pPr>
      <w:r/>
      <w:bookmarkStart w:id="95" w:name="_bookmark71"/>
      <w:r/>
      <w:bookmarkStart w:id="96" w:name="_Toc130231897"/>
      <w:r/>
      <w:bookmarkStart w:id="97" w:name="_Toc165540680"/>
      <w:r/>
      <w:bookmarkEnd w:id="95"/>
      <w:r>
        <w:rPr>
          <w:lang w:eastAsia="ru-RU"/>
        </w:rPr>
        <w:t xml:space="preserve">1.3.9 </w:t>
      </w:r>
      <w:r>
        <w:rPr>
          <w:spacing w:val="-2"/>
        </w:rPr>
        <w:t xml:space="preserve">Статистика</w:t>
      </w:r>
      <w:r>
        <w:rPr>
          <w:spacing w:val="-5"/>
        </w:rPr>
        <w:t xml:space="preserve"> </w:t>
      </w:r>
      <w:r>
        <w:rPr>
          <w:spacing w:val="-2"/>
        </w:rPr>
        <w:t xml:space="preserve">отказов</w:t>
      </w:r>
      <w:r>
        <w:rPr>
          <w:spacing w:val="-7"/>
        </w:rPr>
        <w:t xml:space="preserve"> </w:t>
      </w:r>
      <w:r>
        <w:rPr>
          <w:spacing w:val="-2"/>
        </w:rPr>
        <w:t xml:space="preserve">тепловых</w:t>
      </w:r>
      <w:r>
        <w:rPr>
          <w:spacing w:val="-3"/>
        </w:rPr>
        <w:t xml:space="preserve"> </w:t>
      </w:r>
      <w:r>
        <w:rPr>
          <w:spacing w:val="-2"/>
        </w:rPr>
        <w:t xml:space="preserve">сетей (аварийных</w:t>
      </w:r>
      <w:r>
        <w:rPr>
          <w:spacing w:val="-3"/>
        </w:rPr>
        <w:t xml:space="preserve"> </w:t>
      </w:r>
      <w:r>
        <w:rPr>
          <w:spacing w:val="-2"/>
        </w:rPr>
        <w:t xml:space="preserve">ситуаций)</w:t>
      </w:r>
      <w:r>
        <w:rPr>
          <w:spacing w:val="-4"/>
        </w:rPr>
        <w:t xml:space="preserve"> </w:t>
      </w:r>
      <w:r>
        <w:rPr>
          <w:spacing w:val="-2"/>
        </w:rPr>
        <w:t xml:space="preserve">за</w:t>
      </w:r>
      <w:r>
        <w:rPr>
          <w:spacing w:val="-3"/>
        </w:rPr>
        <w:t xml:space="preserve"> </w:t>
      </w:r>
      <w:r>
        <w:rPr>
          <w:spacing w:val="-2"/>
        </w:rPr>
        <w:t xml:space="preserve">последние</w:t>
      </w:r>
      <w:r>
        <w:rPr>
          <w:spacing w:val="-4"/>
        </w:rPr>
        <w:t xml:space="preserve"> </w:t>
      </w:r>
      <w:r>
        <w:rPr>
          <w:spacing w:val="-2"/>
        </w:rPr>
        <w:t xml:space="preserve">5</w:t>
      </w:r>
      <w:r>
        <w:rPr>
          <w:spacing w:val="-3"/>
        </w:rPr>
        <w:t xml:space="preserve"> </w:t>
      </w:r>
      <w:r>
        <w:rPr>
          <w:spacing w:val="-5"/>
        </w:rPr>
        <w:t xml:space="preserve">лет</w:t>
      </w:r>
      <w:bookmarkEnd w:id="96"/>
      <w:r/>
      <w:bookmarkEnd w:id="97"/>
      <w:r/>
      <w:r/>
    </w:p>
    <w:p>
      <w:pPr>
        <w:pStyle w:val="1247"/>
        <w:ind w:left="118" w:right="249" w:firstLine="707"/>
        <w:jc w:val="both"/>
        <w:spacing w:before="115"/>
      </w:pPr>
      <w:r>
        <w:t xml:space="preserve">По предоставленной информации, к</w:t>
      </w:r>
      <w:r>
        <w:t xml:space="preserve">рупных отказов, приводящих к перебою теплоснабжения потребителей более двух часов, за последние 5 лет не было. Отклонений от нормативной температуры воздуха в отапливаемых помещениях, перерывов подачи тепловой энергии, превышающих нормативные, не выявлено.</w:t>
      </w:r>
      <w:r/>
    </w:p>
    <w:p>
      <w:pPr>
        <w:rPr>
          <w:b/>
          <w:bCs/>
          <w:sz w:val="24"/>
          <w:szCs w:val="24"/>
          <w:lang w:eastAsia="ru-RU"/>
        </w:rPr>
      </w:pPr>
      <w:r/>
      <w:bookmarkStart w:id="98" w:name="_bookmark72"/>
      <w:r/>
      <w:bookmarkStart w:id="99" w:name="_Toc130231898"/>
      <w:r/>
      <w:bookmarkStart w:id="100" w:name="_Toc165540681"/>
      <w:r/>
      <w:bookmarkEnd w:id="98"/>
      <w:r>
        <w:rPr>
          <w:b/>
          <w:bCs/>
          <w:sz w:val="24"/>
          <w:szCs w:val="24"/>
          <w:lang w:eastAsia="ru-RU"/>
        </w:rPr>
      </w:r>
      <w:r>
        <w:rPr>
          <w:b/>
          <w:bCs/>
          <w:sz w:val="24"/>
          <w:szCs w:val="24"/>
          <w:lang w:eastAsia="ru-RU"/>
        </w:rPr>
      </w:r>
    </w:p>
    <w:p>
      <w:pPr>
        <w:pStyle w:val="1248"/>
        <w:ind w:right="264" w:firstLine="733"/>
      </w:pPr>
      <w:r>
        <w:rPr>
          <w:lang w:eastAsia="ru-RU"/>
        </w:rPr>
        <w:t xml:space="preserve">1.3.10 </w:t>
      </w:r>
      <w:r>
        <w:t xml:space="preserve">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bookmarkEnd w:id="99"/>
      <w:r/>
      <w:bookmarkEnd w:id="100"/>
      <w:r/>
      <w:r/>
    </w:p>
    <w:p>
      <w:pPr>
        <w:pStyle w:val="1247"/>
        <w:ind w:left="118" w:right="270" w:firstLine="707"/>
        <w:jc w:val="both"/>
        <w:spacing w:before="115"/>
      </w:pPr>
      <w:r>
        <w:t xml:space="preserve">Среднее время, затраченное на восстановление работоспособности тепловых сетей на аварийно-восстановительные ремонты в тепловых сетях за последние 5 лет не превышало двух часов.</w:t>
      </w:r>
      <w:r/>
    </w:p>
    <w:p>
      <w:pPr>
        <w:pStyle w:val="1247"/>
        <w:rPr>
          <w:b/>
          <w:sz w:val="22"/>
        </w:rPr>
      </w:pPr>
      <w:r>
        <w:rPr>
          <w:b/>
          <w:sz w:val="22"/>
        </w:rPr>
      </w:r>
      <w:r>
        <w:rPr>
          <w:b/>
          <w:sz w:val="22"/>
        </w:rPr>
      </w:r>
      <w:r>
        <w:rPr>
          <w:b/>
          <w:sz w:val="22"/>
        </w:rPr>
      </w:r>
    </w:p>
    <w:p>
      <w:pPr>
        <w:pStyle w:val="1248"/>
        <w:ind w:right="265" w:firstLine="733"/>
        <w:spacing w:before="140"/>
      </w:pPr>
      <w:r/>
      <w:bookmarkStart w:id="101" w:name="_bookmark74"/>
      <w:r/>
      <w:bookmarkStart w:id="102" w:name="_Toc130231899"/>
      <w:r/>
      <w:bookmarkStart w:id="103" w:name="_Toc165540682"/>
      <w:r/>
      <w:bookmarkEnd w:id="101"/>
      <w:r>
        <w:rPr>
          <w:lang w:eastAsia="ru-RU"/>
        </w:rPr>
        <w:t xml:space="preserve">1.3.11 </w:t>
      </w:r>
      <w:r>
        <w:t xml:space="preserve">Описание</w:t>
      </w:r>
      <w:r>
        <w:rPr>
          <w:spacing w:val="-15"/>
        </w:rPr>
        <w:t xml:space="preserve"> </w:t>
      </w:r>
      <w:r>
        <w:t xml:space="preserve">процедур</w:t>
      </w:r>
      <w:r>
        <w:rPr>
          <w:spacing w:val="-15"/>
        </w:rPr>
        <w:t xml:space="preserve"> </w:t>
      </w:r>
      <w:r>
        <w:t xml:space="preserve">диагностики</w:t>
      </w:r>
      <w:r>
        <w:rPr>
          <w:spacing w:val="-15"/>
        </w:rPr>
        <w:t xml:space="preserve"> </w:t>
      </w:r>
      <w:r>
        <w:t xml:space="preserve">состояния</w:t>
      </w:r>
      <w:r>
        <w:rPr>
          <w:spacing w:val="-15"/>
        </w:rPr>
        <w:t xml:space="preserve"> </w:t>
      </w:r>
      <w:r>
        <w:t xml:space="preserve">тепловых</w:t>
      </w:r>
      <w:r>
        <w:rPr>
          <w:spacing w:val="-15"/>
        </w:rPr>
        <w:t xml:space="preserve"> </w:t>
      </w:r>
      <w:r>
        <w:t xml:space="preserve">сетей</w:t>
      </w:r>
      <w:r>
        <w:rPr>
          <w:spacing w:val="-15"/>
        </w:rPr>
        <w:t xml:space="preserve"> </w:t>
      </w:r>
      <w:r>
        <w:t xml:space="preserve">и</w:t>
      </w:r>
      <w:r>
        <w:rPr>
          <w:spacing w:val="-15"/>
        </w:rPr>
        <w:t xml:space="preserve"> </w:t>
      </w:r>
      <w:r>
        <w:t xml:space="preserve">планирования капитальных (текущих) ремонтов</w:t>
      </w:r>
      <w:bookmarkEnd w:id="102"/>
      <w:r/>
      <w:bookmarkEnd w:id="103"/>
      <w:r/>
      <w:r/>
    </w:p>
    <w:p>
      <w:pPr>
        <w:pStyle w:val="1247"/>
        <w:ind w:left="118" w:right="276" w:firstLine="707"/>
        <w:jc w:val="both"/>
        <w:spacing w:before="116"/>
      </w:pPr>
      <w:r>
        <w:t xml:space="preserve">С целью диагностики состояния тепловых сетей проводятся гидравлические и температурные испытания теплотрасс, а также на тепловые потери.</w:t>
      </w:r>
      <w:r/>
    </w:p>
    <w:p>
      <w:pPr>
        <w:pStyle w:val="1247"/>
        <w:ind w:left="118" w:right="264" w:firstLine="707"/>
        <w:jc w:val="both"/>
      </w:pPr>
      <w:r>
        <w:t xml:space="preserve">Гидравлическое испытание тепловых сетей производят дважды: сначала проверяют прочность и плотность теплопровода без оборудования и арматуры, после весь теплопровод, который</w:t>
      </w:r>
      <w:r>
        <w:rPr>
          <w:spacing w:val="-3"/>
        </w:rPr>
        <w:t xml:space="preserve"> </w:t>
      </w:r>
      <w:r>
        <w:t xml:space="preserve">готов</w:t>
      </w:r>
      <w:r>
        <w:rPr>
          <w:spacing w:val="-7"/>
        </w:rPr>
        <w:t xml:space="preserve"> </w:t>
      </w:r>
      <w:r>
        <w:t xml:space="preserve">к</w:t>
      </w:r>
      <w:r>
        <w:rPr>
          <w:spacing w:val="-4"/>
        </w:rPr>
        <w:t xml:space="preserve"> </w:t>
      </w:r>
      <w:r>
        <w:t xml:space="preserve">эксплуатации,</w:t>
      </w:r>
      <w:r>
        <w:rPr>
          <w:spacing w:val="-4"/>
        </w:rPr>
        <w:t xml:space="preserve"> </w:t>
      </w:r>
      <w:r>
        <w:t xml:space="preserve">с</w:t>
      </w:r>
      <w:r>
        <w:rPr>
          <w:spacing w:val="-3"/>
        </w:rPr>
        <w:t xml:space="preserve"> </w:t>
      </w:r>
      <w:r>
        <w:t xml:space="preserve">установленными</w:t>
      </w:r>
      <w:r>
        <w:rPr>
          <w:spacing w:val="-4"/>
        </w:rPr>
        <w:t xml:space="preserve"> </w:t>
      </w:r>
      <w:r>
        <w:t xml:space="preserve">грязевиками,</w:t>
      </w:r>
      <w:r>
        <w:rPr>
          <w:spacing w:val="-4"/>
        </w:rPr>
        <w:t xml:space="preserve"> </w:t>
      </w:r>
      <w:r>
        <w:t xml:space="preserve">задвижками,</w:t>
      </w:r>
      <w:r>
        <w:rPr>
          <w:spacing w:val="-4"/>
        </w:rPr>
        <w:t xml:space="preserve"> </w:t>
      </w:r>
      <w:r>
        <w:t xml:space="preserve">компенсаторами и остальным оборудованием. Повторная проверка нужна потому, что при смонтированном оборудовании и арматуре тяжелее проверить плотность и прочность сварных швов.</w:t>
      </w:r>
      <w:r/>
    </w:p>
    <w:p>
      <w:pPr>
        <w:pStyle w:val="1247"/>
        <w:ind w:left="118" w:right="271" w:firstLine="707"/>
        <w:jc w:val="both"/>
      </w:pPr>
      <w:r>
        <w:t xml:space="preserve">В случаях, когда при испытании теплопроводов без оборудования и арматуры имеет место падение давления по приборам, значит, имеющиеся сварные швы неплотные (естественно, если в самих трубах нет свищей, трещин и пр.). Падение давления при </w:t>
      </w:r>
      <w:r>
        <w:t xml:space="preserve">испытании трубопроводов с установленным оборудованием и арматурой, возможно, свидетельствует, что помимо стыков выполнены с дефектами ещё сальниковые уплотнения или фланцевые соединения.</w:t>
      </w:r>
      <w:r/>
    </w:p>
    <w:p>
      <w:pPr>
        <w:pStyle w:val="1247"/>
        <w:ind w:left="118" w:right="264" w:firstLine="707"/>
        <w:jc w:val="both"/>
      </w:pPr>
      <w:r>
        <w:t xml:space="preserve">При предварительном испытании проверяется на плотность и прочность не только сварные швы</w:t>
      </w:r>
      <w:r>
        <w:t xml:space="preserve">, но и стенки трубопроводов, т.к. бывает, что трубы имеют трещины, свищи и прочие заводские дефекты. Испытания смонтированного трубопровода должны выполняться до монтажа теплоизоляции. Помимо этого, трубопровод не должен быть засыпан или закрыт инженерными</w:t>
      </w:r>
      <w:r>
        <w:rPr>
          <w:spacing w:val="-6"/>
        </w:rPr>
        <w:t xml:space="preserve"> </w:t>
      </w:r>
      <w:r>
        <w:t xml:space="preserve">конструкциями.</w:t>
      </w:r>
      <w:r>
        <w:rPr>
          <w:spacing w:val="-7"/>
        </w:rPr>
        <w:t xml:space="preserve"> </w:t>
      </w:r>
      <w:r>
        <w:t xml:space="preserve">Когда</w:t>
      </w:r>
      <w:r>
        <w:rPr>
          <w:spacing w:val="-8"/>
        </w:rPr>
        <w:t xml:space="preserve"> </w:t>
      </w:r>
      <w:r>
        <w:t xml:space="preserve">трубопровод</w:t>
      </w:r>
      <w:r>
        <w:rPr>
          <w:spacing w:val="-7"/>
        </w:rPr>
        <w:t xml:space="preserve"> </w:t>
      </w:r>
      <w:r>
        <w:t xml:space="preserve">сварен</w:t>
      </w:r>
      <w:r>
        <w:rPr>
          <w:spacing w:val="-6"/>
        </w:rPr>
        <w:t xml:space="preserve"> </w:t>
      </w:r>
      <w:r>
        <w:t xml:space="preserve">из</w:t>
      </w:r>
      <w:r>
        <w:rPr>
          <w:spacing w:val="-6"/>
        </w:rPr>
        <w:t xml:space="preserve"> </w:t>
      </w:r>
      <w:r>
        <w:t xml:space="preserve">бесшовных</w:t>
      </w:r>
      <w:r>
        <w:rPr>
          <w:spacing w:val="-5"/>
        </w:rPr>
        <w:t xml:space="preserve"> </w:t>
      </w:r>
      <w:r>
        <w:t xml:space="preserve">цельнотянутых</w:t>
      </w:r>
      <w:r>
        <w:rPr>
          <w:spacing w:val="-4"/>
        </w:rPr>
        <w:t xml:space="preserve"> </w:t>
      </w:r>
      <w:r>
        <w:t xml:space="preserve">труб, он</w:t>
      </w:r>
      <w:r>
        <w:rPr>
          <w:spacing w:val="-3"/>
        </w:rPr>
        <w:t xml:space="preserve"> </w:t>
      </w:r>
      <w:r>
        <w:t xml:space="preserve">может</w:t>
      </w:r>
      <w:r>
        <w:rPr>
          <w:spacing w:val="-3"/>
        </w:rPr>
        <w:t xml:space="preserve"> </w:t>
      </w:r>
      <w:r>
        <w:t xml:space="preserve">предъявляться</w:t>
      </w:r>
      <w:r>
        <w:rPr>
          <w:spacing w:val="-3"/>
        </w:rPr>
        <w:t xml:space="preserve"> </w:t>
      </w:r>
      <w:r>
        <w:t xml:space="preserve">к</w:t>
      </w:r>
      <w:r>
        <w:rPr>
          <w:spacing w:val="-3"/>
        </w:rPr>
        <w:t xml:space="preserve"> </w:t>
      </w:r>
      <w:r>
        <w:t xml:space="preserve">испытанию</w:t>
      </w:r>
      <w:r>
        <w:rPr>
          <w:spacing w:val="-1"/>
        </w:rPr>
        <w:t xml:space="preserve"> </w:t>
      </w:r>
      <w:r>
        <w:t xml:space="preserve">уже</w:t>
      </w:r>
      <w:r>
        <w:rPr>
          <w:spacing w:val="-4"/>
        </w:rPr>
        <w:t xml:space="preserve"> </w:t>
      </w:r>
      <w:r>
        <w:t xml:space="preserve">изолированным,</w:t>
      </w:r>
      <w:r>
        <w:rPr>
          <w:spacing w:val="-3"/>
        </w:rPr>
        <w:t xml:space="preserve"> </w:t>
      </w:r>
      <w:r>
        <w:t xml:space="preserve">но</w:t>
      </w:r>
      <w:r>
        <w:rPr>
          <w:spacing w:val="-3"/>
        </w:rPr>
        <w:t xml:space="preserve"> </w:t>
      </w:r>
      <w:r>
        <w:t xml:space="preserve">только</w:t>
      </w:r>
      <w:r>
        <w:rPr>
          <w:spacing w:val="-6"/>
        </w:rPr>
        <w:t xml:space="preserve"> </w:t>
      </w:r>
      <w:r>
        <w:t xml:space="preserve">с</w:t>
      </w:r>
      <w:r>
        <w:rPr>
          <w:spacing w:val="-4"/>
        </w:rPr>
        <w:t xml:space="preserve"> </w:t>
      </w:r>
      <w:r>
        <w:t xml:space="preserve">открытыми</w:t>
      </w:r>
      <w:r>
        <w:rPr>
          <w:spacing w:val="-3"/>
        </w:rPr>
        <w:t xml:space="preserve"> </w:t>
      </w:r>
      <w:r>
        <w:t xml:space="preserve">сварными </w:t>
      </w:r>
      <w:r>
        <w:rPr>
          <w:spacing w:val="-2"/>
        </w:rPr>
        <w:t xml:space="preserve">стыками.</w:t>
      </w:r>
      <w:r/>
    </w:p>
    <w:p>
      <w:pPr>
        <w:pStyle w:val="1247"/>
        <w:ind w:left="118" w:right="274" w:firstLine="707"/>
        <w:jc w:val="both"/>
      </w:pPr>
      <w:r>
        <w:t xml:space="preserve">При окончательном испытании подлежат проверке места соед</w:t>
      </w:r>
      <w:r>
        <w:t xml:space="preserve">инения отдельных участков (в случаях испытания теплопровода частями), сварные швы грязевиков и сальниковых компенсаторов, корпуса оборудования, фланцевые соединения. Во время проверки сальники должны быть уплотнены, а секционные задвижки полностью открыты.</w:t>
      </w:r>
      <w:r/>
    </w:p>
    <w:p>
      <w:pPr>
        <w:pStyle w:val="1247"/>
        <w:ind w:left="118" w:right="274" w:firstLine="707"/>
        <w:jc w:val="both"/>
        <w:spacing w:before="66"/>
      </w:pPr>
      <w:r>
        <w:t xml:space="preserve">При</w:t>
      </w:r>
      <w:r>
        <w:rPr>
          <w:spacing w:val="-11"/>
        </w:rPr>
        <w:t xml:space="preserve"> </w:t>
      </w:r>
      <w:r>
        <w:t xml:space="preserve">гидравлическом</w:t>
      </w:r>
      <w:r>
        <w:rPr>
          <w:spacing w:val="-12"/>
        </w:rPr>
        <w:t xml:space="preserve"> </w:t>
      </w:r>
      <w:r>
        <w:t xml:space="preserve">испытании</w:t>
      </w:r>
      <w:r>
        <w:rPr>
          <w:spacing w:val="-10"/>
        </w:rPr>
        <w:t xml:space="preserve"> </w:t>
      </w:r>
      <w:r>
        <w:t xml:space="preserve">тепловых</w:t>
      </w:r>
      <w:r>
        <w:rPr>
          <w:spacing w:val="-9"/>
        </w:rPr>
        <w:t xml:space="preserve"> </w:t>
      </w:r>
      <w:r>
        <w:t xml:space="preserve">сетей</w:t>
      </w:r>
      <w:r>
        <w:rPr>
          <w:spacing w:val="-11"/>
        </w:rPr>
        <w:t xml:space="preserve"> </w:t>
      </w:r>
      <w:r>
        <w:t xml:space="preserve">последовательность</w:t>
      </w:r>
      <w:r>
        <w:rPr>
          <w:spacing w:val="-10"/>
        </w:rPr>
        <w:t xml:space="preserve"> </w:t>
      </w:r>
      <w:r>
        <w:t xml:space="preserve">проведения</w:t>
      </w:r>
      <w:r>
        <w:rPr>
          <w:spacing w:val="-11"/>
        </w:rPr>
        <w:t xml:space="preserve"> </w:t>
      </w:r>
      <w:r>
        <w:t xml:space="preserve">работ </w:t>
      </w:r>
      <w:r>
        <w:rPr>
          <w:spacing w:val="-2"/>
        </w:rPr>
        <w:t xml:space="preserve">следующая:</w:t>
      </w:r>
      <w:r/>
    </w:p>
    <w:p>
      <w:pPr>
        <w:pStyle w:val="1250"/>
        <w:numPr>
          <w:ilvl w:val="0"/>
          <w:numId w:val="14"/>
        </w:numPr>
        <w:ind w:left="966"/>
        <w:tabs>
          <w:tab w:val="left" w:pos="966" w:leader="none"/>
        </w:tabs>
        <w:rPr>
          <w:sz w:val="24"/>
        </w:rPr>
      </w:pPr>
      <w:r>
        <w:rPr>
          <w:sz w:val="24"/>
        </w:rPr>
        <w:t xml:space="preserve">проводят</w:t>
      </w:r>
      <w:r>
        <w:rPr>
          <w:spacing w:val="-10"/>
          <w:sz w:val="24"/>
        </w:rPr>
        <w:t xml:space="preserve"> </w:t>
      </w:r>
      <w:r>
        <w:rPr>
          <w:sz w:val="24"/>
        </w:rPr>
        <w:t xml:space="preserve">очистку</w:t>
      </w:r>
      <w:r>
        <w:rPr>
          <w:spacing w:val="-15"/>
          <w:sz w:val="24"/>
        </w:rPr>
        <w:t xml:space="preserve"> </w:t>
      </w:r>
      <w:r>
        <w:rPr>
          <w:spacing w:val="-2"/>
          <w:sz w:val="24"/>
        </w:rPr>
        <w:t xml:space="preserve">теплопроводов;</w:t>
      </w:r>
      <w:r>
        <w:rPr>
          <w:sz w:val="24"/>
        </w:rPr>
      </w:r>
      <w:r>
        <w:rPr>
          <w:sz w:val="24"/>
        </w:rPr>
      </w:r>
    </w:p>
    <w:p>
      <w:pPr>
        <w:pStyle w:val="1250"/>
        <w:numPr>
          <w:ilvl w:val="0"/>
          <w:numId w:val="14"/>
        </w:numPr>
        <w:ind w:left="968" w:hanging="143"/>
        <w:spacing w:before="1"/>
        <w:tabs>
          <w:tab w:val="left" w:pos="969" w:leader="none"/>
        </w:tabs>
        <w:rPr>
          <w:sz w:val="24"/>
        </w:rPr>
      </w:pPr>
      <w:r>
        <w:rPr>
          <w:sz w:val="24"/>
        </w:rPr>
        <w:t xml:space="preserve">устанавливают</w:t>
      </w:r>
      <w:r>
        <w:rPr>
          <w:spacing w:val="-15"/>
          <w:sz w:val="24"/>
        </w:rPr>
        <w:t xml:space="preserve"> </w:t>
      </w:r>
      <w:r>
        <w:rPr>
          <w:sz w:val="24"/>
        </w:rPr>
        <w:t xml:space="preserve">манометры,</w:t>
      </w:r>
      <w:r>
        <w:rPr>
          <w:spacing w:val="-14"/>
          <w:sz w:val="24"/>
        </w:rPr>
        <w:t xml:space="preserve"> </w:t>
      </w:r>
      <w:r>
        <w:rPr>
          <w:sz w:val="24"/>
        </w:rPr>
        <w:t xml:space="preserve">заглушки</w:t>
      </w:r>
      <w:r>
        <w:rPr>
          <w:spacing w:val="-14"/>
          <w:sz w:val="24"/>
        </w:rPr>
        <w:t xml:space="preserve"> </w:t>
      </w:r>
      <w:r>
        <w:rPr>
          <w:sz w:val="24"/>
        </w:rPr>
        <w:t xml:space="preserve">и</w:t>
      </w:r>
      <w:r>
        <w:rPr>
          <w:spacing w:val="-14"/>
          <w:sz w:val="24"/>
        </w:rPr>
        <w:t xml:space="preserve"> </w:t>
      </w:r>
      <w:r>
        <w:rPr>
          <w:spacing w:val="-2"/>
          <w:sz w:val="24"/>
        </w:rPr>
        <w:t xml:space="preserve">краны;</w:t>
      </w:r>
      <w:r>
        <w:rPr>
          <w:sz w:val="24"/>
        </w:rPr>
      </w:r>
      <w:r>
        <w:rPr>
          <w:sz w:val="24"/>
        </w:rPr>
      </w:r>
    </w:p>
    <w:p>
      <w:pPr>
        <w:pStyle w:val="1250"/>
        <w:numPr>
          <w:ilvl w:val="0"/>
          <w:numId w:val="14"/>
        </w:numPr>
        <w:ind w:left="966"/>
        <w:tabs>
          <w:tab w:val="left" w:pos="966" w:leader="none"/>
        </w:tabs>
        <w:rPr>
          <w:sz w:val="24"/>
        </w:rPr>
      </w:pPr>
      <w:r>
        <w:rPr>
          <w:sz w:val="24"/>
        </w:rPr>
        <w:t xml:space="preserve">подключают</w:t>
      </w:r>
      <w:r>
        <w:rPr>
          <w:spacing w:val="-14"/>
          <w:sz w:val="24"/>
        </w:rPr>
        <w:t xml:space="preserve"> </w:t>
      </w:r>
      <w:r>
        <w:rPr>
          <w:sz w:val="24"/>
        </w:rPr>
        <w:t xml:space="preserve">воду</w:t>
      </w:r>
      <w:r>
        <w:rPr>
          <w:spacing w:val="-15"/>
          <w:sz w:val="24"/>
        </w:rPr>
        <w:t xml:space="preserve"> </w:t>
      </w:r>
      <w:r>
        <w:rPr>
          <w:sz w:val="24"/>
        </w:rPr>
        <w:t xml:space="preserve">и</w:t>
      </w:r>
      <w:r>
        <w:rPr>
          <w:spacing w:val="-12"/>
          <w:sz w:val="24"/>
        </w:rPr>
        <w:t xml:space="preserve"> </w:t>
      </w:r>
      <w:r>
        <w:rPr>
          <w:sz w:val="24"/>
        </w:rPr>
        <w:t xml:space="preserve">гидравлический</w:t>
      </w:r>
      <w:r>
        <w:rPr>
          <w:spacing w:val="-12"/>
          <w:sz w:val="24"/>
        </w:rPr>
        <w:t xml:space="preserve"> </w:t>
      </w:r>
      <w:r>
        <w:rPr>
          <w:spacing w:val="-2"/>
          <w:sz w:val="24"/>
        </w:rPr>
        <w:t xml:space="preserve">пресс;</w:t>
      </w:r>
      <w:r>
        <w:rPr>
          <w:sz w:val="24"/>
        </w:rPr>
      </w:r>
      <w:r>
        <w:rPr>
          <w:sz w:val="24"/>
        </w:rPr>
      </w:r>
    </w:p>
    <w:p>
      <w:pPr>
        <w:pStyle w:val="1250"/>
        <w:numPr>
          <w:ilvl w:val="0"/>
          <w:numId w:val="14"/>
        </w:numPr>
        <w:ind w:left="966"/>
        <w:tabs>
          <w:tab w:val="left" w:pos="966" w:leader="none"/>
        </w:tabs>
        <w:rPr>
          <w:sz w:val="24"/>
        </w:rPr>
      </w:pPr>
      <w:r>
        <w:rPr>
          <w:sz w:val="24"/>
        </w:rPr>
        <w:t xml:space="preserve">заполняют</w:t>
      </w:r>
      <w:r>
        <w:rPr>
          <w:spacing w:val="-15"/>
          <w:sz w:val="24"/>
        </w:rPr>
        <w:t xml:space="preserve"> </w:t>
      </w:r>
      <w:r>
        <w:rPr>
          <w:sz w:val="24"/>
        </w:rPr>
        <w:t xml:space="preserve">трубопроводы</w:t>
      </w:r>
      <w:r>
        <w:rPr>
          <w:spacing w:val="-12"/>
          <w:sz w:val="24"/>
        </w:rPr>
        <w:t xml:space="preserve"> </w:t>
      </w:r>
      <w:r>
        <w:rPr>
          <w:sz w:val="24"/>
        </w:rPr>
        <w:t xml:space="preserve">водой</w:t>
      </w:r>
      <w:r>
        <w:rPr>
          <w:spacing w:val="-13"/>
          <w:sz w:val="24"/>
        </w:rPr>
        <w:t xml:space="preserve"> </w:t>
      </w:r>
      <w:r>
        <w:rPr>
          <w:sz w:val="24"/>
        </w:rPr>
        <w:t xml:space="preserve">до</w:t>
      </w:r>
      <w:r>
        <w:rPr>
          <w:spacing w:val="-13"/>
          <w:sz w:val="24"/>
        </w:rPr>
        <w:t xml:space="preserve"> </w:t>
      </w:r>
      <w:r>
        <w:rPr>
          <w:sz w:val="24"/>
        </w:rPr>
        <w:t xml:space="preserve">необходимого</w:t>
      </w:r>
      <w:r>
        <w:rPr>
          <w:spacing w:val="-12"/>
          <w:sz w:val="24"/>
        </w:rPr>
        <w:t xml:space="preserve"> </w:t>
      </w:r>
      <w:r>
        <w:rPr>
          <w:spacing w:val="-2"/>
          <w:sz w:val="24"/>
        </w:rPr>
        <w:t xml:space="preserve">давления;</w:t>
      </w:r>
      <w:r>
        <w:rPr>
          <w:sz w:val="24"/>
        </w:rPr>
      </w:r>
      <w:r>
        <w:rPr>
          <w:sz w:val="24"/>
        </w:rPr>
      </w:r>
    </w:p>
    <w:p>
      <w:pPr>
        <w:pStyle w:val="1250"/>
        <w:numPr>
          <w:ilvl w:val="0"/>
          <w:numId w:val="14"/>
        </w:numPr>
        <w:ind w:left="966"/>
        <w:tabs>
          <w:tab w:val="left" w:pos="966" w:leader="none"/>
        </w:tabs>
        <w:rPr>
          <w:sz w:val="24"/>
        </w:rPr>
      </w:pPr>
      <w:r>
        <w:rPr>
          <w:sz w:val="24"/>
        </w:rPr>
        <w:t xml:space="preserve">проводят</w:t>
      </w:r>
      <w:r>
        <w:rPr>
          <w:spacing w:val="-11"/>
          <w:sz w:val="24"/>
        </w:rPr>
        <w:t xml:space="preserve"> </w:t>
      </w:r>
      <w:r>
        <w:rPr>
          <w:sz w:val="24"/>
        </w:rPr>
        <w:t xml:space="preserve">осмотр</w:t>
      </w:r>
      <w:r>
        <w:rPr>
          <w:spacing w:val="-10"/>
          <w:sz w:val="24"/>
        </w:rPr>
        <w:t xml:space="preserve"> </w:t>
      </w:r>
      <w:r>
        <w:rPr>
          <w:sz w:val="24"/>
        </w:rPr>
        <w:t xml:space="preserve">теплопроводов</w:t>
      </w:r>
      <w:r>
        <w:rPr>
          <w:spacing w:val="-11"/>
          <w:sz w:val="24"/>
        </w:rPr>
        <w:t xml:space="preserve"> </w:t>
      </w:r>
      <w:r>
        <w:rPr>
          <w:sz w:val="24"/>
        </w:rPr>
        <w:t xml:space="preserve">и</w:t>
      </w:r>
      <w:r>
        <w:rPr>
          <w:spacing w:val="-10"/>
          <w:sz w:val="24"/>
        </w:rPr>
        <w:t xml:space="preserve"> </w:t>
      </w:r>
      <w:r>
        <w:rPr>
          <w:sz w:val="24"/>
        </w:rPr>
        <w:t xml:space="preserve">помечают</w:t>
      </w:r>
      <w:r>
        <w:rPr>
          <w:spacing w:val="-10"/>
          <w:sz w:val="24"/>
        </w:rPr>
        <w:t xml:space="preserve"> </w:t>
      </w:r>
      <w:r>
        <w:rPr>
          <w:sz w:val="24"/>
        </w:rPr>
        <w:t xml:space="preserve">места,</w:t>
      </w:r>
      <w:r>
        <w:rPr>
          <w:spacing w:val="-10"/>
          <w:sz w:val="24"/>
        </w:rPr>
        <w:t xml:space="preserve"> </w:t>
      </w:r>
      <w:r>
        <w:rPr>
          <w:sz w:val="24"/>
        </w:rPr>
        <w:t xml:space="preserve">где</w:t>
      </w:r>
      <w:r>
        <w:rPr>
          <w:spacing w:val="-11"/>
          <w:sz w:val="24"/>
        </w:rPr>
        <w:t xml:space="preserve"> </w:t>
      </w:r>
      <w:r>
        <w:rPr>
          <w:sz w:val="24"/>
        </w:rPr>
        <w:t xml:space="preserve">обнаружены</w:t>
      </w:r>
      <w:r>
        <w:rPr>
          <w:spacing w:val="-10"/>
          <w:sz w:val="24"/>
        </w:rPr>
        <w:t xml:space="preserve"> </w:t>
      </w:r>
      <w:r>
        <w:rPr>
          <w:spacing w:val="-2"/>
          <w:sz w:val="24"/>
        </w:rPr>
        <w:t xml:space="preserve">дефекты;</w:t>
      </w:r>
      <w:r>
        <w:rPr>
          <w:sz w:val="24"/>
        </w:rPr>
      </w:r>
      <w:r>
        <w:rPr>
          <w:sz w:val="24"/>
        </w:rPr>
      </w:r>
    </w:p>
    <w:p>
      <w:pPr>
        <w:pStyle w:val="1250"/>
        <w:numPr>
          <w:ilvl w:val="0"/>
          <w:numId w:val="14"/>
        </w:numPr>
        <w:ind w:left="968" w:hanging="143"/>
        <w:tabs>
          <w:tab w:val="left" w:pos="969" w:leader="none"/>
        </w:tabs>
        <w:rPr>
          <w:sz w:val="24"/>
        </w:rPr>
      </w:pPr>
      <w:r>
        <w:rPr>
          <w:spacing w:val="-2"/>
          <w:sz w:val="24"/>
        </w:rPr>
        <w:t xml:space="preserve">устраняют</w:t>
      </w:r>
      <w:r>
        <w:rPr>
          <w:spacing w:val="1"/>
          <w:sz w:val="24"/>
        </w:rPr>
        <w:t xml:space="preserve"> </w:t>
      </w:r>
      <w:r>
        <w:rPr>
          <w:spacing w:val="-2"/>
          <w:sz w:val="24"/>
        </w:rPr>
        <w:t xml:space="preserve">дефекты;</w:t>
      </w:r>
      <w:r>
        <w:rPr>
          <w:sz w:val="24"/>
        </w:rPr>
      </w:r>
      <w:r>
        <w:rPr>
          <w:sz w:val="24"/>
        </w:rPr>
      </w:r>
    </w:p>
    <w:p>
      <w:pPr>
        <w:pStyle w:val="1250"/>
        <w:numPr>
          <w:ilvl w:val="0"/>
          <w:numId w:val="14"/>
        </w:numPr>
        <w:ind w:left="966"/>
        <w:tabs>
          <w:tab w:val="left" w:pos="966" w:leader="none"/>
        </w:tabs>
        <w:rPr>
          <w:sz w:val="24"/>
        </w:rPr>
      </w:pPr>
      <w:r>
        <w:rPr>
          <w:sz w:val="24"/>
        </w:rPr>
        <w:t xml:space="preserve">производят</w:t>
      </w:r>
      <w:r>
        <w:rPr>
          <w:spacing w:val="-14"/>
          <w:sz w:val="24"/>
        </w:rPr>
        <w:t xml:space="preserve"> </w:t>
      </w:r>
      <w:r>
        <w:rPr>
          <w:sz w:val="24"/>
        </w:rPr>
        <w:t xml:space="preserve">второе</w:t>
      </w:r>
      <w:r>
        <w:rPr>
          <w:spacing w:val="-13"/>
          <w:sz w:val="24"/>
        </w:rPr>
        <w:t xml:space="preserve"> </w:t>
      </w:r>
      <w:r>
        <w:rPr>
          <w:spacing w:val="-2"/>
          <w:sz w:val="24"/>
        </w:rPr>
        <w:t xml:space="preserve">испытание;</w:t>
      </w:r>
      <w:r>
        <w:rPr>
          <w:sz w:val="24"/>
        </w:rPr>
      </w:r>
      <w:r>
        <w:rPr>
          <w:sz w:val="24"/>
        </w:rPr>
      </w:r>
    </w:p>
    <w:p>
      <w:pPr>
        <w:pStyle w:val="1250"/>
        <w:numPr>
          <w:ilvl w:val="0"/>
          <w:numId w:val="14"/>
        </w:numPr>
        <w:ind w:left="966"/>
        <w:tabs>
          <w:tab w:val="left" w:pos="966" w:leader="none"/>
        </w:tabs>
        <w:rPr>
          <w:sz w:val="24"/>
        </w:rPr>
      </w:pPr>
      <w:r>
        <w:rPr>
          <w:sz w:val="24"/>
        </w:rPr>
        <w:t xml:space="preserve">отключают</w:t>
      </w:r>
      <w:r>
        <w:rPr>
          <w:spacing w:val="-10"/>
          <w:sz w:val="24"/>
        </w:rPr>
        <w:t xml:space="preserve"> </w:t>
      </w:r>
      <w:r>
        <w:rPr>
          <w:sz w:val="24"/>
        </w:rPr>
        <w:t xml:space="preserve">от</w:t>
      </w:r>
      <w:r>
        <w:rPr>
          <w:spacing w:val="-8"/>
          <w:sz w:val="24"/>
        </w:rPr>
        <w:t xml:space="preserve"> </w:t>
      </w:r>
      <w:r>
        <w:rPr>
          <w:sz w:val="24"/>
        </w:rPr>
        <w:t xml:space="preserve">водопровода</w:t>
      </w:r>
      <w:r>
        <w:rPr>
          <w:spacing w:val="-11"/>
          <w:sz w:val="24"/>
        </w:rPr>
        <w:t xml:space="preserve"> </w:t>
      </w:r>
      <w:r>
        <w:rPr>
          <w:sz w:val="24"/>
        </w:rPr>
        <w:t xml:space="preserve">и</w:t>
      </w:r>
      <w:r>
        <w:rPr>
          <w:spacing w:val="-9"/>
          <w:sz w:val="24"/>
        </w:rPr>
        <w:t xml:space="preserve"> </w:t>
      </w:r>
      <w:r>
        <w:rPr>
          <w:sz w:val="24"/>
        </w:rPr>
        <w:t xml:space="preserve">производят</w:t>
      </w:r>
      <w:r>
        <w:rPr>
          <w:spacing w:val="-10"/>
          <w:sz w:val="24"/>
        </w:rPr>
        <w:t xml:space="preserve"> </w:t>
      </w:r>
      <w:r>
        <w:rPr>
          <w:sz w:val="24"/>
        </w:rPr>
        <w:t xml:space="preserve">спуск</w:t>
      </w:r>
      <w:r>
        <w:rPr>
          <w:spacing w:val="-9"/>
          <w:sz w:val="24"/>
        </w:rPr>
        <w:t xml:space="preserve"> </w:t>
      </w:r>
      <w:r>
        <w:rPr>
          <w:sz w:val="24"/>
        </w:rPr>
        <w:t xml:space="preserve">воды</w:t>
      </w:r>
      <w:r>
        <w:rPr>
          <w:spacing w:val="-9"/>
          <w:sz w:val="24"/>
        </w:rPr>
        <w:t xml:space="preserve"> </w:t>
      </w:r>
      <w:r>
        <w:rPr>
          <w:sz w:val="24"/>
        </w:rPr>
        <w:t xml:space="preserve">из</w:t>
      </w:r>
      <w:r>
        <w:rPr>
          <w:spacing w:val="-9"/>
          <w:sz w:val="24"/>
        </w:rPr>
        <w:t xml:space="preserve"> </w:t>
      </w:r>
      <w:r>
        <w:rPr>
          <w:spacing w:val="-2"/>
          <w:sz w:val="24"/>
        </w:rPr>
        <w:t xml:space="preserve">труб;</w:t>
      </w:r>
      <w:r>
        <w:rPr>
          <w:sz w:val="24"/>
        </w:rPr>
      </w:r>
      <w:r>
        <w:rPr>
          <w:sz w:val="24"/>
        </w:rPr>
      </w:r>
    </w:p>
    <w:p>
      <w:pPr>
        <w:pStyle w:val="1250"/>
        <w:numPr>
          <w:ilvl w:val="0"/>
          <w:numId w:val="14"/>
        </w:numPr>
        <w:ind w:left="966"/>
        <w:tabs>
          <w:tab w:val="left" w:pos="966" w:leader="none"/>
        </w:tabs>
        <w:rPr>
          <w:sz w:val="24"/>
        </w:rPr>
      </w:pPr>
      <w:r>
        <w:rPr>
          <w:sz w:val="24"/>
        </w:rPr>
        <w:t xml:space="preserve">снимают</w:t>
      </w:r>
      <w:r>
        <w:rPr>
          <w:spacing w:val="-10"/>
          <w:sz w:val="24"/>
        </w:rPr>
        <w:t xml:space="preserve"> </w:t>
      </w:r>
      <w:r>
        <w:rPr>
          <w:sz w:val="24"/>
        </w:rPr>
        <w:t xml:space="preserve">манометры</w:t>
      </w:r>
      <w:r>
        <w:rPr>
          <w:spacing w:val="-10"/>
          <w:sz w:val="24"/>
        </w:rPr>
        <w:t xml:space="preserve"> </w:t>
      </w:r>
      <w:r>
        <w:rPr>
          <w:sz w:val="24"/>
        </w:rPr>
        <w:t xml:space="preserve">и</w:t>
      </w:r>
      <w:r>
        <w:rPr>
          <w:spacing w:val="-9"/>
          <w:sz w:val="24"/>
        </w:rPr>
        <w:t xml:space="preserve"> </w:t>
      </w:r>
      <w:r>
        <w:rPr>
          <w:spacing w:val="-2"/>
          <w:sz w:val="24"/>
        </w:rPr>
        <w:t xml:space="preserve">заглушки.</w:t>
      </w:r>
      <w:r>
        <w:rPr>
          <w:sz w:val="24"/>
        </w:rPr>
      </w:r>
      <w:r>
        <w:rPr>
          <w:sz w:val="24"/>
        </w:rPr>
      </w:r>
    </w:p>
    <w:p>
      <w:pPr>
        <w:pStyle w:val="1247"/>
        <w:ind w:left="118" w:right="264" w:firstLine="707"/>
        <w:jc w:val="both"/>
      </w:pPr>
      <w:r>
        <w:t xml:space="preserve">Для</w:t>
      </w:r>
      <w:r>
        <w:rPr>
          <w:spacing w:val="-15"/>
        </w:rPr>
        <w:t xml:space="preserve"> </w:t>
      </w:r>
      <w:r>
        <w:t xml:space="preserve">заполнения</w:t>
      </w:r>
      <w:r>
        <w:rPr>
          <w:spacing w:val="-15"/>
        </w:rPr>
        <w:t xml:space="preserve"> </w:t>
      </w:r>
      <w:r>
        <w:t xml:space="preserve">трубопроводов</w:t>
      </w:r>
      <w:r>
        <w:rPr>
          <w:spacing w:val="-15"/>
        </w:rPr>
        <w:t xml:space="preserve"> </w:t>
      </w:r>
      <w:r>
        <w:t xml:space="preserve">водой</w:t>
      </w:r>
      <w:r>
        <w:rPr>
          <w:spacing w:val="-15"/>
        </w:rPr>
        <w:t xml:space="preserve"> </w:t>
      </w:r>
      <w:r>
        <w:t xml:space="preserve">и</w:t>
      </w:r>
      <w:r>
        <w:rPr>
          <w:spacing w:val="-15"/>
        </w:rPr>
        <w:t xml:space="preserve"> </w:t>
      </w:r>
      <w:r>
        <w:t xml:space="preserve">хорошего</w:t>
      </w:r>
      <w:r>
        <w:rPr>
          <w:spacing w:val="-15"/>
        </w:rPr>
        <w:t xml:space="preserve"> </w:t>
      </w:r>
      <w:r>
        <w:t xml:space="preserve">удаления</w:t>
      </w:r>
      <w:r>
        <w:rPr>
          <w:spacing w:val="-15"/>
        </w:rPr>
        <w:t xml:space="preserve"> </w:t>
      </w:r>
      <w:r>
        <w:t xml:space="preserve">из</w:t>
      </w:r>
      <w:r>
        <w:rPr>
          <w:spacing w:val="-15"/>
        </w:rPr>
        <w:t xml:space="preserve"> </w:t>
      </w:r>
      <w:r>
        <w:t xml:space="preserve">труб</w:t>
      </w:r>
      <w:r>
        <w:rPr>
          <w:spacing w:val="-15"/>
        </w:rPr>
        <w:t xml:space="preserve"> </w:t>
      </w:r>
      <w:r>
        <w:t xml:space="preserve">воздуха</w:t>
      </w:r>
      <w:r>
        <w:rPr>
          <w:spacing w:val="-15"/>
        </w:rPr>
        <w:t xml:space="preserve"> </w:t>
      </w:r>
      <w:r>
        <w:t xml:space="preserve">водопровод присоединяют к нижней части теплопровода. Возле каждого воздушного крана необходимо выставить</w:t>
      </w:r>
      <w:r>
        <w:rPr>
          <w:spacing w:val="-10"/>
        </w:rPr>
        <w:t xml:space="preserve"> </w:t>
      </w:r>
      <w:r>
        <w:t xml:space="preserve">дежурного.</w:t>
      </w:r>
      <w:r>
        <w:rPr>
          <w:spacing w:val="-9"/>
        </w:rPr>
        <w:t xml:space="preserve"> </w:t>
      </w:r>
      <w:r>
        <w:t xml:space="preserve">Сначала,</w:t>
      </w:r>
      <w:r>
        <w:rPr>
          <w:spacing w:val="-12"/>
        </w:rPr>
        <w:t xml:space="preserve"> </w:t>
      </w:r>
      <w:r>
        <w:t xml:space="preserve">через</w:t>
      </w:r>
      <w:r>
        <w:rPr>
          <w:spacing w:val="-11"/>
        </w:rPr>
        <w:t xml:space="preserve"> </w:t>
      </w:r>
      <w:r>
        <w:t xml:space="preserve">воздушники,</w:t>
      </w:r>
      <w:r>
        <w:rPr>
          <w:spacing w:val="-10"/>
        </w:rPr>
        <w:t xml:space="preserve"> </w:t>
      </w:r>
      <w:r>
        <w:t xml:space="preserve">поступает</w:t>
      </w:r>
      <w:r>
        <w:rPr>
          <w:spacing w:val="-11"/>
        </w:rPr>
        <w:t xml:space="preserve"> </w:t>
      </w:r>
      <w:r>
        <w:t xml:space="preserve">только</w:t>
      </w:r>
      <w:r>
        <w:rPr>
          <w:spacing w:val="-12"/>
        </w:rPr>
        <w:t xml:space="preserve"> </w:t>
      </w:r>
      <w:r>
        <w:t xml:space="preserve">воздух,</w:t>
      </w:r>
      <w:r>
        <w:rPr>
          <w:spacing w:val="-12"/>
        </w:rPr>
        <w:t xml:space="preserve"> </w:t>
      </w:r>
      <w:r>
        <w:t xml:space="preserve">потом</w:t>
      </w:r>
      <w:r>
        <w:rPr>
          <w:spacing w:val="-12"/>
        </w:rPr>
        <w:t xml:space="preserve"> </w:t>
      </w:r>
      <w:r>
        <w:t xml:space="preserve">воздушно- водяная смесь и, наконец, только вода. По</w:t>
      </w:r>
      <w:r>
        <w:t xml:space="preserve"> достижении выхода только воды кран перекрывается. Далее кран ещё два-три раза периодически открывают для полного выпуска оставшейся части воздуха с верхних точек. Перед началом наполнения тепловой сети все воздушники необходимо открыть, а дренажи закрыть.</w:t>
      </w:r>
      <w:r/>
    </w:p>
    <w:p>
      <w:pPr>
        <w:pStyle w:val="1247"/>
        <w:ind w:left="118" w:right="273" w:firstLine="707"/>
        <w:jc w:val="both"/>
      </w:pPr>
      <w:r>
        <w:t xml:space="preserve">Испытание</w:t>
      </w:r>
      <w:r>
        <w:rPr>
          <w:spacing w:val="-12"/>
        </w:rPr>
        <w:t xml:space="preserve"> </w:t>
      </w:r>
      <w:r>
        <w:t xml:space="preserve">проводят</w:t>
      </w:r>
      <w:r>
        <w:rPr>
          <w:spacing w:val="-10"/>
        </w:rPr>
        <w:t xml:space="preserve"> </w:t>
      </w:r>
      <w:r>
        <w:t xml:space="preserve">давлением,</w:t>
      </w:r>
      <w:r>
        <w:rPr>
          <w:spacing w:val="-11"/>
        </w:rPr>
        <w:t xml:space="preserve"> </w:t>
      </w:r>
      <w:r>
        <w:t xml:space="preserve">равном</w:t>
      </w:r>
      <w:r>
        <w:rPr>
          <w:spacing w:val="-11"/>
        </w:rPr>
        <w:t xml:space="preserve"> </w:t>
      </w:r>
      <w:r>
        <w:t xml:space="preserve">рабочему</w:t>
      </w:r>
      <w:r>
        <w:rPr>
          <w:spacing w:val="-15"/>
        </w:rPr>
        <w:t xml:space="preserve"> </w:t>
      </w:r>
      <w:r>
        <w:t xml:space="preserve">с</w:t>
      </w:r>
      <w:r>
        <w:rPr>
          <w:spacing w:val="-12"/>
        </w:rPr>
        <w:t xml:space="preserve"> </w:t>
      </w:r>
      <w:r>
        <w:t xml:space="preserve">коэффициентом</w:t>
      </w:r>
      <w:r>
        <w:rPr>
          <w:spacing w:val="-11"/>
        </w:rPr>
        <w:t xml:space="preserve"> </w:t>
      </w:r>
      <w:r>
        <w:t xml:space="preserve">1,25.</w:t>
      </w:r>
      <w:r>
        <w:rPr>
          <w:spacing w:val="-11"/>
        </w:rPr>
        <w:t xml:space="preserve"> </w:t>
      </w:r>
      <w:r>
        <w:t xml:space="preserve">Под</w:t>
      </w:r>
      <w:r>
        <w:rPr>
          <w:spacing w:val="-11"/>
        </w:rPr>
        <w:t xml:space="preserve"> </w:t>
      </w:r>
      <w:r>
        <w:t xml:space="preserve">рабочим понимают максимальное давление, которое может возникнуть на данном участке в процессе </w:t>
      </w:r>
      <w:r>
        <w:rPr>
          <w:spacing w:val="-2"/>
        </w:rPr>
        <w:t xml:space="preserve">эксплуатации.</w:t>
      </w:r>
      <w:r/>
    </w:p>
    <w:p>
      <w:pPr>
        <w:pStyle w:val="1247"/>
        <w:ind w:left="118" w:right="272" w:firstLine="707"/>
        <w:jc w:val="both"/>
        <w:spacing w:before="1"/>
      </w:pPr>
      <w:r>
        <w:t xml:space="preserve">При случаях испытания теплопровода без оборудования и арматуры давление поднимают до расчётного и выдержив</w:t>
      </w:r>
      <w:r>
        <w:t xml:space="preserve">ают его на протяжении 10 мин, контролируя при этом падение давления, после снижают его до рабочего, проводят осмотр сварных соединений и обстукивают стыки. Испытания считают удовлетворительными, если отсутствует падение давления, нет течи и потения стыков.</w:t>
      </w:r>
      <w:r/>
    </w:p>
    <w:p>
      <w:pPr>
        <w:pStyle w:val="1247"/>
        <w:ind w:left="118" w:right="265" w:firstLine="707"/>
        <w:jc w:val="both"/>
      </w:pPr>
      <w:r>
        <w:t xml:space="preserve">Испытания с установленным оборудованием и арматурой проводят с выдержкой в</w:t>
      </w:r>
      <w:r>
        <w:t xml:space="preserve"> течение 15 мин, проводят осмотр фланцевых и сварных соединений, арматуры и оборудования, сальниковых уплотнений, после давление снижают до рабочего. Испытания считают удовлетворительными, если в течение 2 ч падение давления не превышает 10%. Испытательное</w:t>
      </w:r>
      <w:r>
        <w:rPr>
          <w:spacing w:val="-2"/>
        </w:rPr>
        <w:t xml:space="preserve"> </w:t>
      </w:r>
      <w:r>
        <w:t xml:space="preserve">давление</w:t>
      </w:r>
      <w:r>
        <w:rPr>
          <w:spacing w:val="-2"/>
        </w:rPr>
        <w:t xml:space="preserve"> </w:t>
      </w:r>
      <w:r>
        <w:t xml:space="preserve">проверяет</w:t>
      </w:r>
      <w:r>
        <w:rPr>
          <w:spacing w:val="-1"/>
        </w:rPr>
        <w:t xml:space="preserve"> </w:t>
      </w:r>
      <w:r>
        <w:t xml:space="preserve">не</w:t>
      </w:r>
      <w:r>
        <w:rPr>
          <w:spacing w:val="-4"/>
        </w:rPr>
        <w:t xml:space="preserve"> </w:t>
      </w:r>
      <w:r>
        <w:t xml:space="preserve">только</w:t>
      </w:r>
      <w:r>
        <w:rPr>
          <w:spacing w:val="-3"/>
        </w:rPr>
        <w:t xml:space="preserve"> </w:t>
      </w:r>
      <w:r>
        <w:t xml:space="preserve">герметичность,</w:t>
      </w:r>
      <w:r>
        <w:rPr>
          <w:spacing w:val="-1"/>
        </w:rPr>
        <w:t xml:space="preserve"> </w:t>
      </w:r>
      <w:r>
        <w:t xml:space="preserve">но</w:t>
      </w:r>
      <w:r>
        <w:rPr>
          <w:spacing w:val="-4"/>
        </w:rPr>
        <w:t xml:space="preserve"> </w:t>
      </w:r>
      <w:r>
        <w:t xml:space="preserve">и</w:t>
      </w:r>
      <w:r>
        <w:rPr>
          <w:spacing w:val="-3"/>
        </w:rPr>
        <w:t xml:space="preserve"> </w:t>
      </w:r>
      <w:r>
        <w:t xml:space="preserve">прочность оборудования</w:t>
      </w:r>
      <w:r>
        <w:rPr>
          <w:spacing w:val="-1"/>
        </w:rPr>
        <w:t xml:space="preserve"> </w:t>
      </w:r>
      <w:r>
        <w:t xml:space="preserve">и </w:t>
      </w:r>
      <w:r>
        <w:rPr>
          <w:spacing w:val="-2"/>
        </w:rPr>
        <w:t xml:space="preserve">трубопровода.</w:t>
      </w:r>
      <w:r/>
    </w:p>
    <w:p>
      <w:pPr>
        <w:pStyle w:val="1247"/>
        <w:ind w:left="118" w:right="274" w:firstLine="707"/>
        <w:jc w:val="both"/>
      </w:pPr>
      <w:r>
        <w:t xml:space="preserve">После испытания воду</w:t>
      </w:r>
      <w:r>
        <w:rPr>
          <w:spacing w:val="-1"/>
        </w:rPr>
        <w:t xml:space="preserve"> </w:t>
      </w:r>
      <w:r>
        <w:t xml:space="preserve">необходимо удалять из труб полностью. Как правило, вода для испытаний не проходит специальную подготовку и может снизить качество сетевой воды и быть причиной коррозии внутренних поверхностей труб.</w:t>
      </w:r>
      <w:r/>
    </w:p>
    <w:p>
      <w:pPr>
        <w:pStyle w:val="1247"/>
        <w:ind w:left="118" w:right="269" w:firstLine="707"/>
        <w:jc w:val="both"/>
      </w:pPr>
      <w:r>
        <w:t xml:space="preserve">Температурные испытания тепловых сетей на максимальную температуру теплоносителя, находящихся в эксплуатации длительное время и имеющих ненадёжные участки</w:t>
      </w:r>
      <w:r>
        <w:rPr>
          <w:spacing w:val="-7"/>
        </w:rPr>
        <w:t xml:space="preserve"> </w:t>
      </w:r>
      <w:r>
        <w:t xml:space="preserve">проводиться</w:t>
      </w:r>
      <w:r>
        <w:rPr>
          <w:spacing w:val="-8"/>
        </w:rPr>
        <w:t xml:space="preserve"> </w:t>
      </w:r>
      <w:r>
        <w:t xml:space="preserve">после</w:t>
      </w:r>
      <w:r>
        <w:rPr>
          <w:spacing w:val="-9"/>
        </w:rPr>
        <w:t xml:space="preserve"> </w:t>
      </w:r>
      <w:r>
        <w:t xml:space="preserve">ремонта</w:t>
      </w:r>
      <w:r>
        <w:rPr>
          <w:spacing w:val="-9"/>
        </w:rPr>
        <w:t xml:space="preserve"> </w:t>
      </w:r>
      <w:r>
        <w:t xml:space="preserve">и</w:t>
      </w:r>
      <w:r>
        <w:rPr>
          <w:spacing w:val="-7"/>
        </w:rPr>
        <w:t xml:space="preserve"> </w:t>
      </w:r>
      <w:r>
        <w:t xml:space="preserve">предварительного</w:t>
      </w:r>
      <w:r>
        <w:rPr>
          <w:spacing w:val="-8"/>
        </w:rPr>
        <w:t xml:space="preserve"> </w:t>
      </w:r>
      <w:r>
        <w:t xml:space="preserve">испытания</w:t>
      </w:r>
      <w:r>
        <w:rPr>
          <w:spacing w:val="-8"/>
        </w:rPr>
        <w:t xml:space="preserve"> </w:t>
      </w:r>
      <w:r>
        <w:t xml:space="preserve">этих</w:t>
      </w:r>
      <w:r>
        <w:rPr>
          <w:spacing w:val="-6"/>
        </w:rPr>
        <w:t xml:space="preserve"> </w:t>
      </w:r>
      <w:r>
        <w:t xml:space="preserve">сетей</w:t>
      </w:r>
      <w:r>
        <w:rPr>
          <w:spacing w:val="-8"/>
        </w:rPr>
        <w:t xml:space="preserve"> </w:t>
      </w:r>
      <w:r>
        <w:t xml:space="preserve">на</w:t>
      </w:r>
      <w:r>
        <w:rPr>
          <w:spacing w:val="-9"/>
        </w:rPr>
        <w:t xml:space="preserve"> </w:t>
      </w:r>
      <w:r>
        <w:t xml:space="preserve">прочность</w:t>
      </w:r>
      <w:r>
        <w:rPr>
          <w:spacing w:val="-7"/>
        </w:rPr>
        <w:t xml:space="preserve"> </w:t>
      </w:r>
      <w:r>
        <w:t xml:space="preserve">и плотность, но не позднее чем за 3 недели до начала отопительного периода.</w:t>
      </w:r>
      <w:r/>
    </w:p>
    <w:p>
      <w:pPr>
        <w:pStyle w:val="1247"/>
        <w:ind w:left="118" w:right="272" w:firstLine="707"/>
        <w:jc w:val="both"/>
      </w:pPr>
      <w:r>
        <w:t xml:space="preserve">Температурным испытаниям подвергаться вся сеть от источника тепловой энергии до индивидуальных</w:t>
      </w:r>
      <w:r>
        <w:rPr>
          <w:spacing w:val="-7"/>
        </w:rPr>
        <w:t xml:space="preserve"> </w:t>
      </w:r>
      <w:r>
        <w:t xml:space="preserve">тепловых</w:t>
      </w:r>
      <w:r>
        <w:rPr>
          <w:spacing w:val="-9"/>
        </w:rPr>
        <w:t xml:space="preserve"> </w:t>
      </w:r>
      <w:r>
        <w:t xml:space="preserve">пунктов</w:t>
      </w:r>
      <w:r>
        <w:rPr>
          <w:spacing w:val="-9"/>
        </w:rPr>
        <w:t xml:space="preserve"> </w:t>
      </w:r>
      <w:r>
        <w:t xml:space="preserve">потребителей.</w:t>
      </w:r>
      <w:r>
        <w:rPr>
          <w:spacing w:val="-9"/>
        </w:rPr>
        <w:t xml:space="preserve"> </w:t>
      </w:r>
      <w:r>
        <w:t xml:space="preserve">Температурные</w:t>
      </w:r>
      <w:r>
        <w:rPr>
          <w:spacing w:val="-10"/>
        </w:rPr>
        <w:t xml:space="preserve"> </w:t>
      </w:r>
      <w:r>
        <w:t xml:space="preserve">испытания</w:t>
      </w:r>
      <w:r>
        <w:rPr>
          <w:spacing w:val="-11"/>
        </w:rPr>
        <w:t xml:space="preserve"> </w:t>
      </w:r>
      <w:r>
        <w:t xml:space="preserve">проводятся</w:t>
      </w:r>
      <w:r>
        <w:rPr>
          <w:spacing w:val="-12"/>
        </w:rPr>
        <w:t xml:space="preserve"> </w:t>
      </w:r>
      <w:r>
        <w:t xml:space="preserve">при устойчивых суточных плюсовых температурах наружного воздуха.</w:t>
      </w:r>
      <w:r/>
    </w:p>
    <w:p>
      <w:pPr>
        <w:pStyle w:val="1247"/>
        <w:ind w:left="118" w:right="270" w:firstLine="707"/>
        <w:jc w:val="both"/>
      </w:pPr>
      <w:r>
        <w:t xml:space="preserve">Началу</w:t>
      </w:r>
      <w:r>
        <w:rPr>
          <w:spacing w:val="-15"/>
        </w:rPr>
        <w:t xml:space="preserve"> </w:t>
      </w:r>
      <w:r>
        <w:t xml:space="preserve">испытания</w:t>
      </w:r>
      <w:r>
        <w:rPr>
          <w:spacing w:val="-15"/>
        </w:rPr>
        <w:t xml:space="preserve"> </w:t>
      </w:r>
      <w:r>
        <w:t xml:space="preserve">тепловой</w:t>
      </w:r>
      <w:r>
        <w:rPr>
          <w:spacing w:val="-15"/>
        </w:rPr>
        <w:t xml:space="preserve"> </w:t>
      </w:r>
      <w:r>
        <w:t xml:space="preserve">сети</w:t>
      </w:r>
      <w:r>
        <w:rPr>
          <w:spacing w:val="-15"/>
        </w:rPr>
        <w:t xml:space="preserve"> </w:t>
      </w:r>
      <w:r>
        <w:t xml:space="preserve">на</w:t>
      </w:r>
      <w:r>
        <w:rPr>
          <w:spacing w:val="-15"/>
        </w:rPr>
        <w:t xml:space="preserve"> </w:t>
      </w:r>
      <w:r>
        <w:t xml:space="preserve">максимальную</w:t>
      </w:r>
      <w:r>
        <w:rPr>
          <w:spacing w:val="-15"/>
        </w:rPr>
        <w:t xml:space="preserve"> </w:t>
      </w:r>
      <w:r>
        <w:t xml:space="preserve">температуру</w:t>
      </w:r>
      <w:r>
        <w:rPr>
          <w:spacing w:val="-15"/>
        </w:rPr>
        <w:t xml:space="preserve"> </w:t>
      </w:r>
      <w:r>
        <w:t xml:space="preserve">теплоносителя</w:t>
      </w:r>
      <w:r>
        <w:rPr>
          <w:spacing w:val="-15"/>
        </w:rPr>
        <w:t xml:space="preserve"> </w:t>
      </w:r>
      <w:r>
        <w:t xml:space="preserve">должен предшествовать</w:t>
      </w:r>
      <w:r>
        <w:rPr>
          <w:spacing w:val="1"/>
        </w:rPr>
        <w:t xml:space="preserve"> </w:t>
      </w:r>
      <w:r>
        <w:t xml:space="preserve">прогрев</w:t>
      </w:r>
      <w:r>
        <w:rPr>
          <w:spacing w:val="2"/>
        </w:rPr>
        <w:t xml:space="preserve"> </w:t>
      </w:r>
      <w:r>
        <w:t xml:space="preserve">тепловой</w:t>
      </w:r>
      <w:r>
        <w:rPr>
          <w:spacing w:val="3"/>
        </w:rPr>
        <w:t xml:space="preserve"> </w:t>
      </w:r>
      <w:r>
        <w:t xml:space="preserve">сети</w:t>
      </w:r>
      <w:r>
        <w:rPr>
          <w:spacing w:val="2"/>
        </w:rPr>
        <w:t xml:space="preserve"> </w:t>
      </w:r>
      <w:r>
        <w:t xml:space="preserve">при температуре</w:t>
      </w:r>
      <w:r>
        <w:rPr>
          <w:spacing w:val="1"/>
        </w:rPr>
        <w:t xml:space="preserve"> </w:t>
      </w:r>
      <w:r>
        <w:t xml:space="preserve">воды</w:t>
      </w:r>
      <w:r>
        <w:rPr>
          <w:spacing w:val="1"/>
        </w:rPr>
        <w:t xml:space="preserve"> </w:t>
      </w:r>
      <w:r>
        <w:t xml:space="preserve">в</w:t>
      </w:r>
      <w:r>
        <w:rPr>
          <w:spacing w:val="2"/>
        </w:rPr>
        <w:t xml:space="preserve"> </w:t>
      </w:r>
      <w:r>
        <w:t xml:space="preserve">подающем</w:t>
      </w:r>
      <w:r>
        <w:rPr>
          <w:spacing w:val="1"/>
        </w:rPr>
        <w:t xml:space="preserve"> </w:t>
      </w:r>
      <w:r>
        <w:t xml:space="preserve">трубопроводе</w:t>
      </w:r>
      <w:r>
        <w:rPr>
          <w:spacing w:val="1"/>
        </w:rPr>
        <w:t xml:space="preserve"> </w:t>
      </w:r>
      <w:r>
        <w:rPr>
          <w:spacing w:val="-5"/>
        </w:rPr>
        <w:t xml:space="preserve">100</w:t>
      </w:r>
      <w:r/>
    </w:p>
    <w:p>
      <w:pPr>
        <w:pStyle w:val="1247"/>
        <w:ind w:left="118"/>
        <w:jc w:val="both"/>
        <w:spacing w:before="1"/>
      </w:pPr>
      <w:r>
        <w:t xml:space="preserve">°С.</w:t>
      </w:r>
      <w:r>
        <w:rPr>
          <w:spacing w:val="-5"/>
        </w:rPr>
        <w:t xml:space="preserve"> </w:t>
      </w:r>
      <w:r>
        <w:t xml:space="preserve">Продолжительность</w:t>
      </w:r>
      <w:r>
        <w:rPr>
          <w:spacing w:val="-4"/>
        </w:rPr>
        <w:t xml:space="preserve"> </w:t>
      </w:r>
      <w:r>
        <w:t xml:space="preserve">прогрева</w:t>
      </w:r>
      <w:r>
        <w:rPr>
          <w:spacing w:val="-6"/>
        </w:rPr>
        <w:t xml:space="preserve"> </w:t>
      </w:r>
      <w:r>
        <w:t xml:space="preserve">составляет</w:t>
      </w:r>
      <w:r>
        <w:rPr>
          <w:spacing w:val="-4"/>
        </w:rPr>
        <w:t xml:space="preserve"> </w:t>
      </w:r>
      <w:r>
        <w:t xml:space="preserve">порядка</w:t>
      </w:r>
      <w:r>
        <w:rPr>
          <w:spacing w:val="-5"/>
        </w:rPr>
        <w:t xml:space="preserve"> </w:t>
      </w:r>
      <w:r>
        <w:t xml:space="preserve">двух</w:t>
      </w:r>
      <w:r>
        <w:rPr>
          <w:spacing w:val="-2"/>
        </w:rPr>
        <w:t xml:space="preserve"> часов.</w:t>
      </w:r>
      <w:r/>
    </w:p>
    <w:p>
      <w:pPr>
        <w:pStyle w:val="1247"/>
        <w:ind w:left="118" w:right="270" w:firstLine="707"/>
        <w:jc w:val="both"/>
      </w:pPr>
      <w:r>
        <w:t xml:space="preserve">Перед</w:t>
      </w:r>
      <w:r>
        <w:rPr>
          <w:spacing w:val="-4"/>
        </w:rPr>
        <w:t xml:space="preserve"> </w:t>
      </w:r>
      <w:r>
        <w:t xml:space="preserve">началом</w:t>
      </w:r>
      <w:r>
        <w:rPr>
          <w:spacing w:val="-5"/>
        </w:rPr>
        <w:t xml:space="preserve"> </w:t>
      </w:r>
      <w:r>
        <w:t xml:space="preserve">испытания</w:t>
      </w:r>
      <w:r>
        <w:rPr>
          <w:spacing w:val="-7"/>
        </w:rPr>
        <w:t xml:space="preserve"> </w:t>
      </w:r>
      <w:r>
        <w:t xml:space="preserve">производится</w:t>
      </w:r>
      <w:r>
        <w:rPr>
          <w:spacing w:val="-4"/>
        </w:rPr>
        <w:t xml:space="preserve"> </w:t>
      </w:r>
      <w:r>
        <w:t xml:space="preserve">расстановка</w:t>
      </w:r>
      <w:r>
        <w:rPr>
          <w:spacing w:val="-4"/>
        </w:rPr>
        <w:t xml:space="preserve"> </w:t>
      </w:r>
      <w:r>
        <w:t xml:space="preserve">персонала</w:t>
      </w:r>
      <w:r>
        <w:rPr>
          <w:spacing w:val="-5"/>
        </w:rPr>
        <w:t xml:space="preserve"> </w:t>
      </w:r>
      <w:r>
        <w:t xml:space="preserve">в</w:t>
      </w:r>
      <w:r>
        <w:rPr>
          <w:spacing w:val="-5"/>
        </w:rPr>
        <w:t xml:space="preserve"> </w:t>
      </w:r>
      <w:r>
        <w:t xml:space="preserve">пунктах</w:t>
      </w:r>
      <w:r>
        <w:rPr>
          <w:spacing w:val="-5"/>
        </w:rPr>
        <w:t xml:space="preserve"> </w:t>
      </w:r>
      <w:r>
        <w:t xml:space="preserve">наблюдения и по трассе тепловой сети.</w:t>
      </w:r>
      <w:r/>
    </w:p>
    <w:p>
      <w:pPr>
        <w:pStyle w:val="1247"/>
        <w:ind w:left="118" w:right="272" w:firstLine="707"/>
        <w:jc w:val="both"/>
      </w:pPr>
      <w:r>
        <w:t xml:space="preserve">В предусмотренный программой </w:t>
      </w:r>
      <w:r>
        <w:t xml:space="preserve">срок на источнике тепловой энергии начинается постепенное повышение температуры воды до установленного максимального значения при строгом контроле за давлением в обратном коллекторе сетевой воды на источнике тепловой энергии и величиной подпитки (дренажа).</w:t>
      </w:r>
      <w:r/>
    </w:p>
    <w:p>
      <w:pPr>
        <w:pStyle w:val="1247"/>
        <w:ind w:left="826"/>
        <w:jc w:val="both"/>
      </w:pPr>
      <w:r>
        <w:t xml:space="preserve">Заданная</w:t>
      </w:r>
      <w:r>
        <w:rPr>
          <w:spacing w:val="68"/>
        </w:rPr>
        <w:t xml:space="preserve"> </w:t>
      </w:r>
      <w:r>
        <w:t xml:space="preserve">максимальная</w:t>
      </w:r>
      <w:r>
        <w:rPr>
          <w:spacing w:val="71"/>
        </w:rPr>
        <w:t xml:space="preserve"> </w:t>
      </w:r>
      <w:r>
        <w:t xml:space="preserve">температура</w:t>
      </w:r>
      <w:r>
        <w:rPr>
          <w:spacing w:val="70"/>
        </w:rPr>
        <w:t xml:space="preserve"> </w:t>
      </w:r>
      <w:r>
        <w:t xml:space="preserve">теплоносителя</w:t>
      </w:r>
      <w:r>
        <w:rPr>
          <w:spacing w:val="71"/>
        </w:rPr>
        <w:t xml:space="preserve"> </w:t>
      </w:r>
      <w:r>
        <w:t xml:space="preserve">поддерживается</w:t>
      </w:r>
      <w:r>
        <w:rPr>
          <w:spacing w:val="70"/>
        </w:rPr>
        <w:t xml:space="preserve"> </w:t>
      </w:r>
      <w:r>
        <w:t xml:space="preserve">постоянной</w:t>
      </w:r>
      <w:r>
        <w:rPr>
          <w:spacing w:val="69"/>
        </w:rPr>
        <w:t xml:space="preserve"> </w:t>
      </w:r>
      <w:r>
        <w:rPr>
          <w:spacing w:val="-10"/>
        </w:rPr>
        <w:t xml:space="preserve">в</w:t>
      </w:r>
      <w:r/>
    </w:p>
    <w:p>
      <w:pPr>
        <w:pStyle w:val="1247"/>
        <w:ind w:left="118" w:right="96"/>
        <w:spacing w:before="66"/>
      </w:pPr>
      <w:r>
        <w:t xml:space="preserve">течение</w:t>
      </w:r>
      <w:r>
        <w:rPr>
          <w:spacing w:val="-12"/>
        </w:rPr>
        <w:t xml:space="preserve"> </w:t>
      </w:r>
      <w:r>
        <w:t xml:space="preserve">установленного</w:t>
      </w:r>
      <w:r>
        <w:rPr>
          <w:spacing w:val="-13"/>
        </w:rPr>
        <w:t xml:space="preserve"> </w:t>
      </w:r>
      <w:r>
        <w:t xml:space="preserve">программой</w:t>
      </w:r>
      <w:r>
        <w:rPr>
          <w:spacing w:val="-12"/>
        </w:rPr>
        <w:t xml:space="preserve"> </w:t>
      </w:r>
      <w:r>
        <w:t xml:space="preserve">времени</w:t>
      </w:r>
      <w:r>
        <w:rPr>
          <w:spacing w:val="-12"/>
        </w:rPr>
        <w:t xml:space="preserve"> </w:t>
      </w:r>
      <w:r>
        <w:t xml:space="preserve">(не</w:t>
      </w:r>
      <w:r>
        <w:rPr>
          <w:spacing w:val="-14"/>
        </w:rPr>
        <w:t xml:space="preserve"> </w:t>
      </w:r>
      <w:r>
        <w:t xml:space="preserve">менее</w:t>
      </w:r>
      <w:r>
        <w:rPr>
          <w:spacing w:val="-14"/>
        </w:rPr>
        <w:t xml:space="preserve"> </w:t>
      </w:r>
      <w:r>
        <w:t xml:space="preserve">2</w:t>
      </w:r>
      <w:r>
        <w:rPr>
          <w:spacing w:val="-11"/>
        </w:rPr>
        <w:t xml:space="preserve"> </w:t>
      </w:r>
      <w:r>
        <w:t xml:space="preserve">ч),</w:t>
      </w:r>
      <w:r>
        <w:rPr>
          <w:spacing w:val="-11"/>
        </w:rPr>
        <w:t xml:space="preserve"> </w:t>
      </w:r>
      <w:r>
        <w:t xml:space="preserve">а</w:t>
      </w:r>
      <w:r>
        <w:rPr>
          <w:spacing w:val="-10"/>
        </w:rPr>
        <w:t xml:space="preserve"> </w:t>
      </w:r>
      <w:r>
        <w:t xml:space="preserve">затем</w:t>
      </w:r>
      <w:r>
        <w:rPr>
          <w:spacing w:val="-12"/>
        </w:rPr>
        <w:t xml:space="preserve"> </w:t>
      </w:r>
      <w:r>
        <w:t xml:space="preserve">плавно</w:t>
      </w:r>
      <w:r>
        <w:rPr>
          <w:spacing w:val="-13"/>
        </w:rPr>
        <w:t xml:space="preserve"> </w:t>
      </w:r>
      <w:r>
        <w:t xml:space="preserve">понижается</w:t>
      </w:r>
      <w:r>
        <w:rPr>
          <w:spacing w:val="-13"/>
        </w:rPr>
        <w:t xml:space="preserve"> </w:t>
      </w:r>
      <w:r>
        <w:t xml:space="preserve">до</w:t>
      </w:r>
      <w:r>
        <w:rPr>
          <w:spacing w:val="-13"/>
        </w:rPr>
        <w:t xml:space="preserve"> </w:t>
      </w:r>
      <w:r>
        <w:t xml:space="preserve">70- 80 °С.</w:t>
      </w:r>
      <w:r/>
    </w:p>
    <w:p>
      <w:pPr>
        <w:pStyle w:val="1247"/>
        <w:ind w:left="118" w:right="268" w:firstLine="707"/>
        <w:jc w:val="both"/>
      </w:pPr>
      <w:r>
        <w:t xml:space="preserve">Скорость повышения и понижения температуры воды в подающем трубопроводе выбирается</w:t>
      </w:r>
      <w:r>
        <w:rPr>
          <w:spacing w:val="-2"/>
        </w:rPr>
        <w:t xml:space="preserve"> </w:t>
      </w:r>
      <w:r>
        <w:t xml:space="preserve">такой,</w:t>
      </w:r>
      <w:r>
        <w:rPr>
          <w:spacing w:val="-1"/>
        </w:rPr>
        <w:t xml:space="preserve"> </w:t>
      </w:r>
      <w:r>
        <w:t xml:space="preserve">чтобы</w:t>
      </w:r>
      <w:r>
        <w:rPr>
          <w:spacing w:val="-2"/>
        </w:rPr>
        <w:t xml:space="preserve"> </w:t>
      </w:r>
      <w:r>
        <w:t xml:space="preserve">в</w:t>
      </w:r>
      <w:r>
        <w:rPr>
          <w:spacing w:val="-2"/>
        </w:rPr>
        <w:t xml:space="preserve"> </w:t>
      </w:r>
      <w:r>
        <w:t xml:space="preserve">течение</w:t>
      </w:r>
      <w:r>
        <w:rPr>
          <w:spacing w:val="-2"/>
        </w:rPr>
        <w:t xml:space="preserve"> </w:t>
      </w:r>
      <w:r>
        <w:t xml:space="preserve">всего</w:t>
      </w:r>
      <w:r>
        <w:rPr>
          <w:spacing w:val="-1"/>
        </w:rPr>
        <w:t xml:space="preserve"> </w:t>
      </w:r>
      <w:r>
        <w:t xml:space="preserve">периода</w:t>
      </w:r>
      <w:r>
        <w:rPr>
          <w:spacing w:val="-2"/>
        </w:rPr>
        <w:t xml:space="preserve"> </w:t>
      </w:r>
      <w:r>
        <w:t xml:space="preserve">испытания</w:t>
      </w:r>
      <w:r>
        <w:rPr>
          <w:spacing w:val="-1"/>
        </w:rPr>
        <w:t xml:space="preserve"> </w:t>
      </w:r>
      <w:r>
        <w:t xml:space="preserve">соблюдалось</w:t>
      </w:r>
      <w:r>
        <w:rPr>
          <w:spacing w:val="-1"/>
        </w:rPr>
        <w:t xml:space="preserve"> </w:t>
      </w:r>
      <w:r>
        <w:t xml:space="preserve">заданное</w:t>
      </w:r>
      <w:r>
        <w:rPr>
          <w:spacing w:val="-2"/>
        </w:rPr>
        <w:t xml:space="preserve"> </w:t>
      </w:r>
      <w:r>
        <w:t xml:space="preserve">давление в обратном коллекторе сетевой воды на источнике тепловой энергии. Поддержание давления в обратном коллекторе сетевой воды на источнике тепловой энергии при повышении температуры</w:t>
      </w:r>
      <w:r>
        <w:rPr>
          <w:spacing w:val="-10"/>
        </w:rPr>
        <w:t xml:space="preserve"> </w:t>
      </w:r>
      <w:r>
        <w:t xml:space="preserve">первоначально</w:t>
      </w:r>
      <w:r>
        <w:rPr>
          <w:spacing w:val="-10"/>
        </w:rPr>
        <w:t xml:space="preserve"> </w:t>
      </w:r>
      <w:r>
        <w:t xml:space="preserve">должно</w:t>
      </w:r>
      <w:r>
        <w:rPr>
          <w:spacing w:val="-12"/>
        </w:rPr>
        <w:t xml:space="preserve"> </w:t>
      </w:r>
      <w:r>
        <w:t xml:space="preserve">проводиться</w:t>
      </w:r>
      <w:r>
        <w:rPr>
          <w:spacing w:val="-10"/>
        </w:rPr>
        <w:t xml:space="preserve"> </w:t>
      </w:r>
      <w:r>
        <w:t xml:space="preserve">путём</w:t>
      </w:r>
      <w:r>
        <w:rPr>
          <w:spacing w:val="-10"/>
        </w:rPr>
        <w:t xml:space="preserve"> </w:t>
      </w:r>
      <w:r>
        <w:t xml:space="preserve">регулирования</w:t>
      </w:r>
      <w:r>
        <w:rPr>
          <w:spacing w:val="-10"/>
        </w:rPr>
        <w:t xml:space="preserve"> </w:t>
      </w:r>
      <w:r>
        <w:t xml:space="preserve">величины</w:t>
      </w:r>
      <w:r>
        <w:rPr>
          <w:spacing w:val="-10"/>
        </w:rPr>
        <w:t xml:space="preserve"> </w:t>
      </w:r>
      <w:r>
        <w:t xml:space="preserve">подпитки,</w:t>
      </w:r>
      <w:r>
        <w:rPr>
          <w:spacing w:val="-10"/>
        </w:rPr>
        <w:t xml:space="preserve"> </w:t>
      </w:r>
      <w:r>
        <w:t xml:space="preserve">а после</w:t>
      </w:r>
      <w:r>
        <w:rPr>
          <w:spacing w:val="-15"/>
        </w:rPr>
        <w:t xml:space="preserve"> </w:t>
      </w:r>
      <w:r>
        <w:t xml:space="preserve">полного</w:t>
      </w:r>
      <w:r>
        <w:rPr>
          <w:spacing w:val="-15"/>
        </w:rPr>
        <w:t xml:space="preserve"> </w:t>
      </w:r>
      <w:r>
        <w:t xml:space="preserve">прекращения</w:t>
      </w:r>
      <w:r>
        <w:rPr>
          <w:spacing w:val="-14"/>
        </w:rPr>
        <w:t xml:space="preserve"> </w:t>
      </w:r>
      <w:r>
        <w:t xml:space="preserve">подпитки</w:t>
      </w:r>
      <w:r>
        <w:rPr>
          <w:spacing w:val="-13"/>
        </w:rPr>
        <w:t xml:space="preserve"> </w:t>
      </w:r>
      <w:r>
        <w:t xml:space="preserve">в</w:t>
      </w:r>
      <w:r>
        <w:rPr>
          <w:spacing w:val="-15"/>
        </w:rPr>
        <w:t xml:space="preserve"> </w:t>
      </w:r>
      <w:r>
        <w:t xml:space="preserve">связи</w:t>
      </w:r>
      <w:r>
        <w:rPr>
          <w:spacing w:val="-13"/>
        </w:rPr>
        <w:t xml:space="preserve"> </w:t>
      </w:r>
      <w:r>
        <w:t xml:space="preserve">с</w:t>
      </w:r>
      <w:r>
        <w:rPr>
          <w:spacing w:val="-15"/>
        </w:rPr>
        <w:t xml:space="preserve"> </w:t>
      </w:r>
      <w:r>
        <w:t xml:space="preserve">увеличением</w:t>
      </w:r>
      <w:r>
        <w:rPr>
          <w:spacing w:val="-15"/>
        </w:rPr>
        <w:t xml:space="preserve"> </w:t>
      </w:r>
      <w:r>
        <w:t xml:space="preserve">объёма</w:t>
      </w:r>
      <w:r>
        <w:rPr>
          <w:spacing w:val="-10"/>
        </w:rPr>
        <w:t xml:space="preserve"> </w:t>
      </w:r>
      <w:r>
        <w:t xml:space="preserve">сетевой</w:t>
      </w:r>
      <w:r>
        <w:rPr>
          <w:spacing w:val="-13"/>
        </w:rPr>
        <w:t xml:space="preserve"> </w:t>
      </w:r>
      <w:r>
        <w:t xml:space="preserve">воды</w:t>
      </w:r>
      <w:r>
        <w:rPr>
          <w:spacing w:val="-15"/>
        </w:rPr>
        <w:t xml:space="preserve"> </w:t>
      </w:r>
      <w:r>
        <w:t xml:space="preserve">при</w:t>
      </w:r>
      <w:r>
        <w:rPr>
          <w:spacing w:val="-15"/>
        </w:rPr>
        <w:t xml:space="preserve"> </w:t>
      </w:r>
      <w:r>
        <w:t xml:space="preserve">нагреве путём дренирования воды из обратного коллектора.</w:t>
      </w:r>
      <w:r/>
    </w:p>
    <w:p>
      <w:pPr>
        <w:pStyle w:val="1247"/>
        <w:ind w:left="118" w:right="273" w:firstLine="707"/>
        <w:jc w:val="both"/>
        <w:spacing w:before="1"/>
      </w:pPr>
      <w:r>
        <w:t xml:space="preserve">С момента начала прогрева тепловой сети и до окончания испытания во всех пунктах наблюдения непрерывно (с интервалом 10 мин) ведутся измерения температур и давлений сетевой воды с записью в журналы.</w:t>
      </w:r>
      <w:r/>
    </w:p>
    <w:p>
      <w:pPr>
        <w:pStyle w:val="1247"/>
        <w:ind w:left="118" w:right="272" w:firstLine="707"/>
        <w:jc w:val="both"/>
      </w:pPr>
      <w:r>
        <w:t xml:space="preserve">Руководитель испытания по данным, поступающим из пунктов наблюдения, следит за повышением температуры сетевой воды на источнике тепловой энергии и в тепловой сети и прохождением температурной волны по участкам тепловой сети.</w:t>
      </w:r>
      <w:r/>
    </w:p>
    <w:p>
      <w:pPr>
        <w:pStyle w:val="1247"/>
        <w:ind w:left="118" w:right="271" w:firstLine="707"/>
        <w:jc w:val="both"/>
      </w:pPr>
      <w:r>
        <w:t xml:space="preserve">Для своевременного выявления повреждений, которые могут возникнуть в тепловой сети при испытании,</w:t>
      </w:r>
      <w:r>
        <w:rPr>
          <w:spacing w:val="-1"/>
        </w:rPr>
        <w:t xml:space="preserve"> </w:t>
      </w:r>
      <w:r>
        <w:t xml:space="preserve">особое</w:t>
      </w:r>
      <w:r>
        <w:rPr>
          <w:spacing w:val="-2"/>
        </w:rPr>
        <w:t xml:space="preserve"> </w:t>
      </w:r>
      <w:r>
        <w:t xml:space="preserve">внимание</w:t>
      </w:r>
      <w:r>
        <w:rPr>
          <w:spacing w:val="-2"/>
        </w:rPr>
        <w:t xml:space="preserve"> </w:t>
      </w:r>
      <w:r>
        <w:t xml:space="preserve">должно</w:t>
      </w:r>
      <w:r>
        <w:rPr>
          <w:spacing w:val="-1"/>
        </w:rPr>
        <w:t xml:space="preserve"> </w:t>
      </w:r>
      <w:r>
        <w:t xml:space="preserve">уделяться</w:t>
      </w:r>
      <w:r>
        <w:rPr>
          <w:spacing w:val="-1"/>
        </w:rPr>
        <w:t xml:space="preserve"> </w:t>
      </w:r>
      <w:r>
        <w:t xml:space="preserve">режимам</w:t>
      </w:r>
      <w:r>
        <w:rPr>
          <w:spacing w:val="-2"/>
        </w:rPr>
        <w:t xml:space="preserve"> </w:t>
      </w:r>
      <w:r>
        <w:t xml:space="preserve">подпитки и дренирования, которые связаны с увеличением объёма сетевой воды при её нагреве. Поскольку расходы подпиточной и дренируемой воды в процессе испытания значительно изменяются, это затрудняет</w:t>
      </w:r>
      <w:r>
        <w:rPr>
          <w:spacing w:val="-3"/>
        </w:rPr>
        <w:t xml:space="preserve"> </w:t>
      </w:r>
      <w:r>
        <w:t xml:space="preserve">определение</w:t>
      </w:r>
      <w:r>
        <w:rPr>
          <w:spacing w:val="-4"/>
        </w:rPr>
        <w:t xml:space="preserve"> </w:t>
      </w:r>
      <w:r>
        <w:t xml:space="preserve">по</w:t>
      </w:r>
      <w:r>
        <w:rPr>
          <w:spacing w:val="-3"/>
        </w:rPr>
        <w:t xml:space="preserve"> </w:t>
      </w:r>
      <w:r>
        <w:t xml:space="preserve">ним</w:t>
      </w:r>
      <w:r>
        <w:rPr>
          <w:spacing w:val="-4"/>
        </w:rPr>
        <w:t xml:space="preserve"> </w:t>
      </w:r>
      <w:r>
        <w:t xml:space="preserve">момента</w:t>
      </w:r>
      <w:r>
        <w:rPr>
          <w:spacing w:val="-3"/>
        </w:rPr>
        <w:t xml:space="preserve"> </w:t>
      </w:r>
      <w:r>
        <w:t xml:space="preserve">появления</w:t>
      </w:r>
      <w:r>
        <w:rPr>
          <w:spacing w:val="-3"/>
        </w:rPr>
        <w:t xml:space="preserve"> </w:t>
      </w:r>
      <w:r>
        <w:t xml:space="preserve">неплотностей</w:t>
      </w:r>
      <w:r>
        <w:rPr>
          <w:spacing w:val="-3"/>
        </w:rPr>
        <w:t xml:space="preserve"> </w:t>
      </w:r>
      <w:r>
        <w:t xml:space="preserve">в</w:t>
      </w:r>
      <w:r>
        <w:rPr>
          <w:spacing w:val="-4"/>
        </w:rPr>
        <w:t xml:space="preserve"> </w:t>
      </w:r>
      <w:r>
        <w:t xml:space="preserve">тепловой</w:t>
      </w:r>
      <w:r>
        <w:rPr>
          <w:spacing w:val="-3"/>
        </w:rPr>
        <w:t xml:space="preserve"> </w:t>
      </w:r>
      <w:r>
        <w:t xml:space="preserve">сети.</w:t>
      </w:r>
      <w:r>
        <w:rPr>
          <w:spacing w:val="-3"/>
        </w:rPr>
        <w:t xml:space="preserve"> </w:t>
      </w:r>
      <w:r>
        <w:t xml:space="preserve">Поэтому</w:t>
      </w:r>
      <w:r>
        <w:rPr>
          <w:spacing w:val="-6"/>
        </w:rPr>
        <w:t xml:space="preserve"> </w:t>
      </w:r>
      <w:r>
        <w:t xml:space="preserve">в период неустановившегося режима необходимо анализировать причины каждого резкого увеличения расхода подпиточной воды и уменьшения расхода дренируемой воды.</w:t>
      </w:r>
      <w:r/>
    </w:p>
    <w:p>
      <w:pPr>
        <w:pStyle w:val="1247"/>
        <w:ind w:left="118" w:right="266" w:firstLine="707"/>
        <w:jc w:val="both"/>
        <w:spacing w:before="1"/>
      </w:pPr>
      <w:r>
        <w:t xml:space="preserve">Нарушение плотности тепловой сети при испытании может быть выявлено с наибольшей дост</w:t>
      </w:r>
      <w:r>
        <w:t xml:space="preserve">оверностью в период установившейся максимальной температуры сетевой воды. Резкое отклонение величины подпитки от начальной в этот период свидетельствует о появлении неплотности в тепловой сети и необходимости принятия срочных мер по ликвидации повреждения.</w:t>
      </w:r>
      <w:r/>
    </w:p>
    <w:p>
      <w:pPr>
        <w:pStyle w:val="1247"/>
        <w:ind w:left="118" w:right="268" w:firstLine="707"/>
        <w:jc w:val="both"/>
      </w:pPr>
      <w:r>
        <w:t xml:space="preserve">Специально выделенный персонал во время испытания должен объезжать и осматривать трассу тепловой сети и о выявл</w:t>
      </w:r>
      <w:r>
        <w:t xml:space="preserve">енных повреждениях (появление парения, воды на трассе сети и др.) немедленно сообщать руководителю испытания. При обнаружении повреждений, которые могут привести к серьёзным последствиям, испытание должно быть приостановлено до устранения этих повреждений.</w:t>
      </w:r>
      <w:r/>
    </w:p>
    <w:p>
      <w:pPr>
        <w:pStyle w:val="1247"/>
        <w:ind w:left="118" w:right="275" w:firstLine="707"/>
        <w:jc w:val="both"/>
      </w:pPr>
      <w:r>
        <w:t xml:space="preserve">Системы теплопотребления, температура воды в которых при испытании превысила допустимые значения 95 °С должны быть немедленно отключены.</w:t>
      </w:r>
      <w:r/>
    </w:p>
    <w:p>
      <w:pPr>
        <w:pStyle w:val="1247"/>
        <w:ind w:left="118" w:right="267" w:firstLine="707"/>
        <w:jc w:val="both"/>
      </w:pPr>
      <w:r>
        <w:t xml:space="preserve">Измерения температуры и давления воды в пунктах наблюдения заканчиваются после прохождения</w:t>
      </w:r>
      <w:r>
        <w:rPr>
          <w:spacing w:val="-8"/>
        </w:rPr>
        <w:t xml:space="preserve"> </w:t>
      </w:r>
      <w:r>
        <w:t xml:space="preserve">в</w:t>
      </w:r>
      <w:r>
        <w:rPr>
          <w:spacing w:val="-9"/>
        </w:rPr>
        <w:t xml:space="preserve"> </w:t>
      </w:r>
      <w:r>
        <w:t xml:space="preserve">данном</w:t>
      </w:r>
      <w:r>
        <w:rPr>
          <w:spacing w:val="-11"/>
        </w:rPr>
        <w:t xml:space="preserve"> </w:t>
      </w:r>
      <w:r>
        <w:t xml:space="preserve">месте</w:t>
      </w:r>
      <w:r>
        <w:rPr>
          <w:spacing w:val="-9"/>
        </w:rPr>
        <w:t xml:space="preserve"> </w:t>
      </w:r>
      <w:r>
        <w:t xml:space="preserve">температурной</w:t>
      </w:r>
      <w:r>
        <w:rPr>
          <w:spacing w:val="-7"/>
        </w:rPr>
        <w:t xml:space="preserve"> </w:t>
      </w:r>
      <w:r>
        <w:t xml:space="preserve">волны</w:t>
      </w:r>
      <w:r>
        <w:rPr>
          <w:spacing w:val="-9"/>
        </w:rPr>
        <w:t xml:space="preserve"> </w:t>
      </w:r>
      <w:r>
        <w:t xml:space="preserve">и</w:t>
      </w:r>
      <w:r>
        <w:rPr>
          <w:spacing w:val="-7"/>
        </w:rPr>
        <w:t xml:space="preserve"> </w:t>
      </w:r>
      <w:r>
        <w:t xml:space="preserve">понижения</w:t>
      </w:r>
      <w:r>
        <w:rPr>
          <w:spacing w:val="-11"/>
        </w:rPr>
        <w:t xml:space="preserve"> </w:t>
      </w:r>
      <w:r>
        <w:t xml:space="preserve">температуры</w:t>
      </w:r>
      <w:r>
        <w:rPr>
          <w:spacing w:val="-6"/>
        </w:rPr>
        <w:t xml:space="preserve"> </w:t>
      </w:r>
      <w:r>
        <w:t xml:space="preserve">сетевой</w:t>
      </w:r>
      <w:r>
        <w:rPr>
          <w:spacing w:val="-7"/>
        </w:rPr>
        <w:t xml:space="preserve"> </w:t>
      </w:r>
      <w:r>
        <w:t xml:space="preserve">воды</w:t>
      </w:r>
      <w:r>
        <w:rPr>
          <w:spacing w:val="-4"/>
        </w:rPr>
        <w:t xml:space="preserve"> </w:t>
      </w:r>
      <w:r>
        <w:t xml:space="preserve">в подающем трубопроводе до 100 °С.</w:t>
      </w:r>
      <w:r/>
    </w:p>
    <w:p>
      <w:pPr>
        <w:pStyle w:val="1247"/>
        <w:ind w:left="118" w:right="276" w:firstLine="707"/>
        <w:jc w:val="both"/>
      </w:pPr>
      <w:r>
        <w:t xml:space="preserve">Испытание считается законченным после понижения температуры воды в подающем трубопроводе тепловой сети до 70-80 °С.</w:t>
      </w:r>
      <w:r/>
    </w:p>
    <w:p>
      <w:pPr>
        <w:pStyle w:val="1247"/>
        <w:ind w:left="118" w:right="266" w:firstLine="707"/>
        <w:jc w:val="both"/>
        <w:tabs>
          <w:tab w:val="left" w:pos="799" w:leader="none"/>
          <w:tab w:val="left" w:pos="1358" w:leader="none"/>
          <w:tab w:val="left" w:pos="1821" w:leader="none"/>
          <w:tab w:val="left" w:pos="2152" w:leader="none"/>
          <w:tab w:val="left" w:pos="3022" w:leader="none"/>
          <w:tab w:val="left" w:pos="4387" w:leader="none"/>
          <w:tab w:val="left" w:pos="6205" w:leader="none"/>
          <w:tab w:val="left" w:pos="7920" w:leader="none"/>
          <w:tab w:val="left" w:pos="8275" w:leader="none"/>
        </w:tabs>
      </w:pPr>
      <w:r>
        <w:t xml:space="preserve">Испытания по определению тепловых потерь в тепловых сетях проводятся один раз в </w:t>
      </w:r>
      <w:r>
        <w:rPr>
          <w:spacing w:val="-4"/>
        </w:rPr>
        <w:t xml:space="preserve">пять</w:t>
      </w:r>
      <w:r>
        <w:tab/>
      </w:r>
      <w:r>
        <w:rPr>
          <w:spacing w:val="-4"/>
        </w:rPr>
        <w:t xml:space="preserve">лет</w:t>
      </w:r>
      <w:r>
        <w:tab/>
      </w:r>
      <w:r>
        <w:rPr>
          <w:spacing w:val="-6"/>
        </w:rPr>
        <w:t xml:space="preserve">на</w:t>
      </w:r>
      <w:r>
        <w:tab/>
      </w:r>
      <w:r>
        <w:rPr>
          <w:spacing w:val="-10"/>
        </w:rPr>
        <w:t xml:space="preserve">с</w:t>
      </w:r>
      <w:r>
        <w:tab/>
      </w:r>
      <w:r>
        <w:rPr>
          <w:spacing w:val="-4"/>
        </w:rPr>
        <w:t xml:space="preserve">целью</w:t>
      </w:r>
      <w:r>
        <w:tab/>
      </w:r>
      <w:r>
        <w:rPr>
          <w:spacing w:val="-2"/>
        </w:rPr>
        <w:t xml:space="preserve">разработки</w:t>
      </w:r>
      <w:r>
        <w:tab/>
      </w:r>
      <w:r>
        <w:rPr>
          <w:spacing w:val="-2"/>
        </w:rPr>
        <w:t xml:space="preserve">энергетических</w:t>
      </w:r>
      <w:r>
        <w:tab/>
      </w:r>
      <w:r>
        <w:rPr>
          <w:spacing w:val="-2"/>
        </w:rPr>
        <w:t xml:space="preserve">характеристик</w:t>
      </w:r>
      <w:r>
        <w:tab/>
      </w:r>
      <w:r>
        <w:rPr>
          <w:spacing w:val="-10"/>
        </w:rPr>
        <w:t xml:space="preserve">и</w:t>
      </w:r>
      <w:r>
        <w:tab/>
      </w:r>
      <w:r>
        <w:rPr>
          <w:spacing w:val="-2"/>
        </w:rPr>
        <w:t xml:space="preserve">нормирования </w:t>
      </w:r>
      <w:r>
        <w:t xml:space="preserve">эксплуатационных</w:t>
      </w:r>
      <w:r>
        <w:rPr>
          <w:spacing w:val="-1"/>
        </w:rPr>
        <w:t xml:space="preserve"> </w:t>
      </w:r>
      <w:r>
        <w:t xml:space="preserve">тепловых потерь,</w:t>
      </w:r>
      <w:r>
        <w:rPr>
          <w:spacing w:val="-3"/>
        </w:rPr>
        <w:t xml:space="preserve"> </w:t>
      </w:r>
      <w:r>
        <w:t xml:space="preserve">а</w:t>
      </w:r>
      <w:r>
        <w:rPr>
          <w:spacing w:val="-2"/>
        </w:rPr>
        <w:t xml:space="preserve"> </w:t>
      </w:r>
      <w:r>
        <w:t xml:space="preserve">также</w:t>
      </w:r>
      <w:r>
        <w:rPr>
          <w:spacing w:val="-3"/>
        </w:rPr>
        <w:t xml:space="preserve"> </w:t>
      </w:r>
      <w:r>
        <w:t xml:space="preserve">оценки</w:t>
      </w:r>
      <w:r>
        <w:rPr>
          <w:spacing w:val="-5"/>
        </w:rPr>
        <w:t xml:space="preserve"> </w:t>
      </w:r>
      <w:r>
        <w:t xml:space="preserve">технического</w:t>
      </w:r>
      <w:r>
        <w:rPr>
          <w:spacing w:val="-2"/>
        </w:rPr>
        <w:t xml:space="preserve"> </w:t>
      </w:r>
      <w:r>
        <w:t xml:space="preserve">состояния</w:t>
      </w:r>
      <w:r>
        <w:rPr>
          <w:spacing w:val="-5"/>
        </w:rPr>
        <w:t xml:space="preserve"> </w:t>
      </w:r>
      <w:r>
        <w:t xml:space="preserve">тепловых</w:t>
      </w:r>
      <w:r>
        <w:rPr>
          <w:spacing w:val="-1"/>
        </w:rPr>
        <w:t xml:space="preserve"> </w:t>
      </w:r>
      <w:r>
        <w:rPr>
          <w:spacing w:val="-2"/>
        </w:rPr>
        <w:t xml:space="preserve">сетей.</w:t>
      </w:r>
      <w:r/>
    </w:p>
    <w:p>
      <w:pPr>
        <w:pStyle w:val="1247"/>
        <w:ind w:left="118" w:right="272" w:firstLine="707"/>
        <w:jc w:val="both"/>
      </w:pPr>
      <w:r>
        <w:t xml:space="preserve">Осуществление разработанных гидравлических и температурных режимов испытаний производится в следующем порядке:</w:t>
      </w:r>
      <w:r/>
    </w:p>
    <w:p>
      <w:pPr>
        <w:pStyle w:val="1250"/>
        <w:numPr>
          <w:ilvl w:val="0"/>
          <w:numId w:val="14"/>
        </w:numPr>
        <w:ind w:right="273" w:firstLine="707"/>
        <w:spacing w:before="1"/>
        <w:tabs>
          <w:tab w:val="left" w:pos="966" w:leader="none"/>
        </w:tabs>
        <w:rPr>
          <w:sz w:val="24"/>
        </w:rPr>
      </w:pPr>
      <w:r>
        <w:rPr>
          <w:sz w:val="24"/>
        </w:rPr>
        <w:t xml:space="preserve">включаются</w:t>
      </w:r>
      <w:r>
        <w:rPr>
          <w:spacing w:val="-4"/>
          <w:sz w:val="24"/>
        </w:rPr>
        <w:t xml:space="preserve"> </w:t>
      </w:r>
      <w:r>
        <w:rPr>
          <w:sz w:val="24"/>
        </w:rPr>
        <w:t xml:space="preserve">расходомеры</w:t>
      </w:r>
      <w:r>
        <w:rPr>
          <w:spacing w:val="-4"/>
          <w:sz w:val="24"/>
        </w:rPr>
        <w:t xml:space="preserve"> </w:t>
      </w:r>
      <w:r>
        <w:rPr>
          <w:sz w:val="24"/>
        </w:rPr>
        <w:t xml:space="preserve">на</w:t>
      </w:r>
      <w:r>
        <w:rPr>
          <w:spacing w:val="-5"/>
          <w:sz w:val="24"/>
        </w:rPr>
        <w:t xml:space="preserve"> </w:t>
      </w:r>
      <w:r>
        <w:rPr>
          <w:sz w:val="24"/>
        </w:rPr>
        <w:t xml:space="preserve">линиях</w:t>
      </w:r>
      <w:r>
        <w:rPr>
          <w:spacing w:val="-2"/>
          <w:sz w:val="24"/>
        </w:rPr>
        <w:t xml:space="preserve"> </w:t>
      </w:r>
      <w:r>
        <w:rPr>
          <w:sz w:val="24"/>
        </w:rPr>
        <w:t xml:space="preserve">сетевой</w:t>
      </w:r>
      <w:r>
        <w:rPr>
          <w:spacing w:val="-4"/>
          <w:sz w:val="24"/>
        </w:rPr>
        <w:t xml:space="preserve"> </w:t>
      </w:r>
      <w:r>
        <w:rPr>
          <w:sz w:val="24"/>
        </w:rPr>
        <w:t xml:space="preserve">и</w:t>
      </w:r>
      <w:r>
        <w:rPr>
          <w:spacing w:val="-4"/>
          <w:sz w:val="24"/>
        </w:rPr>
        <w:t xml:space="preserve"> </w:t>
      </w:r>
      <w:r>
        <w:rPr>
          <w:sz w:val="24"/>
        </w:rPr>
        <w:t xml:space="preserve">подпиточной</w:t>
      </w:r>
      <w:r>
        <w:rPr>
          <w:spacing w:val="-4"/>
          <w:sz w:val="24"/>
        </w:rPr>
        <w:t xml:space="preserve"> </w:t>
      </w:r>
      <w:r>
        <w:rPr>
          <w:sz w:val="24"/>
        </w:rPr>
        <w:t xml:space="preserve">воды</w:t>
      </w:r>
      <w:r>
        <w:rPr>
          <w:spacing w:val="-5"/>
          <w:sz w:val="24"/>
        </w:rPr>
        <w:t xml:space="preserve"> </w:t>
      </w:r>
      <w:r>
        <w:rPr>
          <w:sz w:val="24"/>
        </w:rPr>
        <w:t xml:space="preserve">и</w:t>
      </w:r>
      <w:r>
        <w:rPr>
          <w:spacing w:val="-6"/>
          <w:sz w:val="24"/>
        </w:rPr>
        <w:t xml:space="preserve"> </w:t>
      </w:r>
      <w:r>
        <w:rPr>
          <w:sz w:val="24"/>
        </w:rPr>
        <w:t xml:space="preserve">устанавливаются термометры на циркуляционной перемычке конечного участка кольца, на выходе трубопроводов из теплоподготовительной установки и на входе в неё;</w:t>
      </w:r>
      <w:r>
        <w:rPr>
          <w:sz w:val="24"/>
        </w:rPr>
      </w:r>
      <w:r>
        <w:rPr>
          <w:sz w:val="24"/>
        </w:rPr>
      </w:r>
    </w:p>
    <w:p>
      <w:pPr>
        <w:pStyle w:val="1250"/>
        <w:numPr>
          <w:ilvl w:val="0"/>
          <w:numId w:val="14"/>
        </w:numPr>
        <w:ind w:right="276" w:firstLine="707"/>
        <w:tabs>
          <w:tab w:val="left" w:pos="990" w:leader="none"/>
        </w:tabs>
        <w:rPr>
          <w:sz w:val="24"/>
        </w:rPr>
      </w:pPr>
      <w:r>
        <w:rPr>
          <w:sz w:val="24"/>
        </w:rPr>
        <w:t xml:space="preserve">устанавливается определённый расчётом расход воды по циркуляционному кольцу, который поддерживается постоянным в течение всего периода испытаний;</w:t>
      </w:r>
      <w:r>
        <w:rPr>
          <w:sz w:val="24"/>
        </w:rPr>
      </w:r>
      <w:r>
        <w:rPr>
          <w:sz w:val="24"/>
        </w:rPr>
      </w:r>
    </w:p>
    <w:p>
      <w:pPr>
        <w:pStyle w:val="1250"/>
        <w:numPr>
          <w:ilvl w:val="0"/>
          <w:numId w:val="14"/>
        </w:numPr>
        <w:ind w:right="267" w:firstLine="707"/>
        <w:tabs>
          <w:tab w:val="left" w:pos="964" w:leader="none"/>
        </w:tabs>
        <w:rPr>
          <w:sz w:val="24"/>
        </w:rPr>
      </w:pPr>
      <w:r>
        <w:rPr>
          <w:sz w:val="24"/>
        </w:rPr>
        <w:t xml:space="preserve">устанавливается</w:t>
      </w:r>
      <w:r>
        <w:rPr>
          <w:spacing w:val="-8"/>
          <w:sz w:val="24"/>
        </w:rPr>
        <w:t xml:space="preserve"> </w:t>
      </w:r>
      <w:r>
        <w:rPr>
          <w:sz w:val="24"/>
        </w:rPr>
        <w:t xml:space="preserve">давление</w:t>
      </w:r>
      <w:r>
        <w:rPr>
          <w:spacing w:val="-9"/>
          <w:sz w:val="24"/>
        </w:rPr>
        <w:t xml:space="preserve"> </w:t>
      </w:r>
      <w:r>
        <w:rPr>
          <w:sz w:val="24"/>
        </w:rPr>
        <w:t xml:space="preserve">в</w:t>
      </w:r>
      <w:r>
        <w:rPr>
          <w:spacing w:val="-9"/>
          <w:sz w:val="24"/>
        </w:rPr>
        <w:t xml:space="preserve"> </w:t>
      </w:r>
      <w:r>
        <w:rPr>
          <w:sz w:val="24"/>
        </w:rPr>
        <w:t xml:space="preserve">обратной</w:t>
      </w:r>
      <w:r>
        <w:rPr>
          <w:spacing w:val="-7"/>
          <w:sz w:val="24"/>
        </w:rPr>
        <w:t xml:space="preserve"> </w:t>
      </w:r>
      <w:r>
        <w:rPr>
          <w:sz w:val="24"/>
        </w:rPr>
        <w:t xml:space="preserve">линии</w:t>
      </w:r>
      <w:r>
        <w:rPr>
          <w:spacing w:val="-7"/>
          <w:sz w:val="24"/>
        </w:rPr>
        <w:t xml:space="preserve"> </w:t>
      </w:r>
      <w:r>
        <w:rPr>
          <w:sz w:val="24"/>
        </w:rPr>
        <w:t xml:space="preserve">испытываемого</w:t>
      </w:r>
      <w:r>
        <w:rPr>
          <w:spacing w:val="-8"/>
          <w:sz w:val="24"/>
        </w:rPr>
        <w:t xml:space="preserve"> </w:t>
      </w:r>
      <w:r>
        <w:rPr>
          <w:sz w:val="24"/>
        </w:rPr>
        <w:t xml:space="preserve">кольца</w:t>
      </w:r>
      <w:r>
        <w:rPr>
          <w:spacing w:val="-9"/>
          <w:sz w:val="24"/>
        </w:rPr>
        <w:t xml:space="preserve"> </w:t>
      </w:r>
      <w:r>
        <w:rPr>
          <w:sz w:val="24"/>
        </w:rPr>
        <w:t xml:space="preserve">на</w:t>
      </w:r>
      <w:r>
        <w:rPr>
          <w:spacing w:val="-9"/>
          <w:sz w:val="24"/>
        </w:rPr>
        <w:t xml:space="preserve"> </w:t>
      </w:r>
      <w:r>
        <w:rPr>
          <w:sz w:val="24"/>
        </w:rPr>
        <w:t xml:space="preserve">входе</w:t>
      </w:r>
      <w:r>
        <w:rPr>
          <w:spacing w:val="-9"/>
          <w:sz w:val="24"/>
        </w:rPr>
        <w:t xml:space="preserve"> </w:t>
      </w:r>
      <w:r>
        <w:rPr>
          <w:sz w:val="24"/>
        </w:rPr>
        <w:t xml:space="preserve">её</w:t>
      </w:r>
      <w:r>
        <w:rPr>
          <w:spacing w:val="-9"/>
          <w:sz w:val="24"/>
        </w:rPr>
        <w:t xml:space="preserve"> </w:t>
      </w:r>
      <w:r>
        <w:rPr>
          <w:sz w:val="24"/>
        </w:rPr>
        <w:t xml:space="preserve">в</w:t>
      </w:r>
      <w:r>
        <w:rPr>
          <w:spacing w:val="-9"/>
          <w:sz w:val="24"/>
        </w:rPr>
        <w:t xml:space="preserve"> </w:t>
      </w:r>
      <w:r>
        <w:rPr>
          <w:sz w:val="24"/>
        </w:rPr>
        <w:t xml:space="preserve">теп- лоподготовительную установку;</w:t>
      </w:r>
      <w:r>
        <w:rPr>
          <w:sz w:val="24"/>
        </w:rPr>
      </w:r>
      <w:r>
        <w:rPr>
          <w:sz w:val="24"/>
        </w:rPr>
      </w:r>
    </w:p>
    <w:p>
      <w:pPr>
        <w:pStyle w:val="1250"/>
        <w:numPr>
          <w:ilvl w:val="0"/>
          <w:numId w:val="14"/>
        </w:numPr>
        <w:ind w:left="1021" w:hanging="196"/>
        <w:tabs>
          <w:tab w:val="left" w:pos="1022" w:leader="none"/>
        </w:tabs>
        <w:rPr>
          <w:sz w:val="24"/>
        </w:rPr>
      </w:pPr>
      <w:r>
        <w:rPr>
          <w:sz w:val="24"/>
        </w:rPr>
        <w:t xml:space="preserve">устанавливается</w:t>
      </w:r>
      <w:r>
        <w:rPr>
          <w:spacing w:val="37"/>
          <w:sz w:val="24"/>
        </w:rPr>
        <w:t xml:space="preserve"> </w:t>
      </w:r>
      <w:r>
        <w:rPr>
          <w:sz w:val="24"/>
        </w:rPr>
        <w:t xml:space="preserve">температура</w:t>
      </w:r>
      <w:r>
        <w:rPr>
          <w:spacing w:val="37"/>
          <w:sz w:val="24"/>
        </w:rPr>
        <w:t xml:space="preserve"> </w:t>
      </w:r>
      <w:r>
        <w:rPr>
          <w:sz w:val="24"/>
        </w:rPr>
        <w:t xml:space="preserve">воды</w:t>
      </w:r>
      <w:r>
        <w:rPr>
          <w:spacing w:val="37"/>
          <w:sz w:val="24"/>
        </w:rPr>
        <w:t xml:space="preserve"> </w:t>
      </w:r>
      <w:r>
        <w:rPr>
          <w:sz w:val="24"/>
        </w:rPr>
        <w:t xml:space="preserve">в</w:t>
      </w:r>
      <w:r>
        <w:rPr>
          <w:spacing w:val="37"/>
          <w:sz w:val="24"/>
        </w:rPr>
        <w:t xml:space="preserve"> </w:t>
      </w:r>
      <w:r>
        <w:rPr>
          <w:sz w:val="24"/>
        </w:rPr>
        <w:t xml:space="preserve">подающей</w:t>
      </w:r>
      <w:r>
        <w:rPr>
          <w:spacing w:val="39"/>
          <w:sz w:val="24"/>
        </w:rPr>
        <w:t xml:space="preserve"> </w:t>
      </w:r>
      <w:r>
        <w:rPr>
          <w:sz w:val="24"/>
        </w:rPr>
        <w:t xml:space="preserve">линии</w:t>
      </w:r>
      <w:r>
        <w:rPr>
          <w:spacing w:val="36"/>
          <w:sz w:val="24"/>
        </w:rPr>
        <w:t xml:space="preserve"> </w:t>
      </w:r>
      <w:r>
        <w:rPr>
          <w:sz w:val="24"/>
        </w:rPr>
        <w:t xml:space="preserve">испытываемого</w:t>
      </w:r>
      <w:r>
        <w:rPr>
          <w:spacing w:val="38"/>
          <w:sz w:val="24"/>
        </w:rPr>
        <w:t xml:space="preserve"> </w:t>
      </w:r>
      <w:r>
        <w:rPr>
          <w:sz w:val="24"/>
        </w:rPr>
        <w:t xml:space="preserve">кольца</w:t>
      </w:r>
      <w:r>
        <w:rPr>
          <w:spacing w:val="37"/>
          <w:sz w:val="24"/>
        </w:rPr>
        <w:t xml:space="preserve"> </w:t>
      </w:r>
      <w:r>
        <w:rPr>
          <w:spacing w:val="-5"/>
          <w:sz w:val="24"/>
        </w:rPr>
        <w:t xml:space="preserve">на</w:t>
      </w:r>
      <w:r>
        <w:rPr>
          <w:sz w:val="24"/>
        </w:rPr>
      </w:r>
      <w:r>
        <w:rPr>
          <w:sz w:val="24"/>
        </w:rPr>
      </w:r>
    </w:p>
    <w:p>
      <w:pPr>
        <w:pStyle w:val="1247"/>
        <w:ind w:left="118"/>
        <w:jc w:val="both"/>
        <w:spacing w:before="66"/>
      </w:pPr>
      <w:r>
        <w:t xml:space="preserve">выходе</w:t>
      </w:r>
      <w:r>
        <w:rPr>
          <w:spacing w:val="-4"/>
        </w:rPr>
        <w:t xml:space="preserve"> </w:t>
      </w:r>
      <w:r>
        <w:t xml:space="preserve">из</w:t>
      </w:r>
      <w:r>
        <w:rPr>
          <w:spacing w:val="-4"/>
        </w:rPr>
        <w:t xml:space="preserve"> </w:t>
      </w:r>
      <w:r>
        <w:t xml:space="preserve">теплоподготовительной</w:t>
      </w:r>
      <w:r>
        <w:rPr>
          <w:spacing w:val="1"/>
        </w:rPr>
        <w:t xml:space="preserve"> </w:t>
      </w:r>
      <w:r>
        <w:rPr>
          <w:spacing w:val="-2"/>
        </w:rPr>
        <w:t xml:space="preserve">установки.</w:t>
      </w:r>
      <w:r/>
    </w:p>
    <w:p>
      <w:pPr>
        <w:pStyle w:val="1247"/>
        <w:ind w:left="826"/>
        <w:jc w:val="both"/>
      </w:pPr>
      <w:r>
        <w:t xml:space="preserve">Отклонение</w:t>
      </w:r>
      <w:r>
        <w:rPr>
          <w:spacing w:val="-1"/>
        </w:rPr>
        <w:t xml:space="preserve"> </w:t>
      </w:r>
      <w:r>
        <w:t xml:space="preserve">расхода</w:t>
      </w:r>
      <w:r>
        <w:rPr>
          <w:spacing w:val="-1"/>
        </w:rPr>
        <w:t xml:space="preserve"> </w:t>
      </w:r>
      <w:r>
        <w:t xml:space="preserve">сетевой</w:t>
      </w:r>
      <w:r>
        <w:rPr>
          <w:spacing w:val="1"/>
        </w:rPr>
        <w:t xml:space="preserve"> </w:t>
      </w:r>
      <w:r>
        <w:t xml:space="preserve">воды</w:t>
      </w:r>
      <w:r>
        <w:rPr>
          <w:spacing w:val="-1"/>
        </w:rPr>
        <w:t xml:space="preserve"> </w:t>
      </w:r>
      <w:r>
        <w:t xml:space="preserve">в</w:t>
      </w:r>
      <w:r>
        <w:rPr>
          <w:spacing w:val="-1"/>
        </w:rPr>
        <w:t xml:space="preserve"> </w:t>
      </w:r>
      <w:r>
        <w:t xml:space="preserve">циркуляционном</w:t>
      </w:r>
      <w:r>
        <w:rPr>
          <w:spacing w:val="-1"/>
        </w:rPr>
        <w:t xml:space="preserve"> </w:t>
      </w:r>
      <w:r>
        <w:t xml:space="preserve">кольце</w:t>
      </w:r>
      <w:r>
        <w:rPr>
          <w:spacing w:val="-1"/>
        </w:rPr>
        <w:t xml:space="preserve"> </w:t>
      </w:r>
      <w:r>
        <w:t xml:space="preserve">не</w:t>
      </w:r>
      <w:r>
        <w:rPr>
          <w:spacing w:val="-1"/>
        </w:rPr>
        <w:t xml:space="preserve"> </w:t>
      </w:r>
      <w:r>
        <w:t xml:space="preserve">должно превышать</w:t>
      </w:r>
      <w:r>
        <w:rPr>
          <w:spacing w:val="2"/>
        </w:rPr>
        <w:t xml:space="preserve"> </w:t>
      </w:r>
      <w:r>
        <w:rPr>
          <w:spacing w:val="-5"/>
        </w:rPr>
        <w:t xml:space="preserve">±2</w:t>
      </w:r>
      <w:r/>
    </w:p>
    <w:p>
      <w:pPr>
        <w:pStyle w:val="1247"/>
        <w:ind w:left="118"/>
        <w:jc w:val="both"/>
      </w:pPr>
      <w:r>
        <w:t xml:space="preserve">%</w:t>
      </w:r>
      <w:r>
        <w:rPr>
          <w:spacing w:val="-4"/>
        </w:rPr>
        <w:t xml:space="preserve"> </w:t>
      </w:r>
      <w:r>
        <w:t xml:space="preserve">расчётного </w:t>
      </w:r>
      <w:r>
        <w:rPr>
          <w:spacing w:val="-2"/>
        </w:rPr>
        <w:t xml:space="preserve">значения.</w:t>
      </w:r>
      <w:r/>
    </w:p>
    <w:p>
      <w:pPr>
        <w:pStyle w:val="1247"/>
        <w:ind w:left="826"/>
        <w:jc w:val="both"/>
        <w:spacing w:before="1"/>
      </w:pPr>
      <w:r>
        <w:t xml:space="preserve">Температура</w:t>
      </w:r>
      <w:r>
        <w:rPr>
          <w:spacing w:val="-15"/>
        </w:rPr>
        <w:t xml:space="preserve"> </w:t>
      </w:r>
      <w:r>
        <w:t xml:space="preserve">воды</w:t>
      </w:r>
      <w:r>
        <w:rPr>
          <w:spacing w:val="-13"/>
        </w:rPr>
        <w:t xml:space="preserve"> </w:t>
      </w:r>
      <w:r>
        <w:t xml:space="preserve">в</w:t>
      </w:r>
      <w:r>
        <w:rPr>
          <w:spacing w:val="-12"/>
        </w:rPr>
        <w:t xml:space="preserve"> </w:t>
      </w:r>
      <w:r>
        <w:t xml:space="preserve">подающей</w:t>
      </w:r>
      <w:r>
        <w:rPr>
          <w:spacing w:val="-11"/>
        </w:rPr>
        <w:t xml:space="preserve"> </w:t>
      </w:r>
      <w:r>
        <w:t xml:space="preserve">линии</w:t>
      </w:r>
      <w:r>
        <w:rPr>
          <w:spacing w:val="-13"/>
        </w:rPr>
        <w:t xml:space="preserve"> </w:t>
      </w:r>
      <w:r>
        <w:t xml:space="preserve">должна</w:t>
      </w:r>
      <w:r>
        <w:rPr>
          <w:spacing w:val="-14"/>
        </w:rPr>
        <w:t xml:space="preserve"> </w:t>
      </w:r>
      <w:r>
        <w:t xml:space="preserve">поддерживаться</w:t>
      </w:r>
      <w:r>
        <w:rPr>
          <w:spacing w:val="-12"/>
        </w:rPr>
        <w:t xml:space="preserve"> </w:t>
      </w:r>
      <w:r>
        <w:t xml:space="preserve">постоянной</w:t>
      </w:r>
      <w:r>
        <w:rPr>
          <w:spacing w:val="-13"/>
        </w:rPr>
        <w:t xml:space="preserve"> </w:t>
      </w:r>
      <w:r>
        <w:t xml:space="preserve">с</w:t>
      </w:r>
      <w:r>
        <w:rPr>
          <w:spacing w:val="-12"/>
        </w:rPr>
        <w:t xml:space="preserve"> </w:t>
      </w:r>
      <w:r>
        <w:rPr>
          <w:spacing w:val="-2"/>
        </w:rPr>
        <w:t xml:space="preserve">точностью</w:t>
      </w:r>
      <w:r/>
    </w:p>
    <w:p>
      <w:pPr>
        <w:pStyle w:val="1247"/>
        <w:ind w:left="118"/>
        <w:jc w:val="both"/>
      </w:pPr>
      <w:r>
        <w:t xml:space="preserve">±0,5 </w:t>
      </w:r>
      <w:r>
        <w:rPr>
          <w:spacing w:val="-5"/>
        </w:rPr>
        <w:t xml:space="preserve">°С.</w:t>
      </w:r>
      <w:r/>
    </w:p>
    <w:p>
      <w:pPr>
        <w:pStyle w:val="1247"/>
        <w:ind w:left="118" w:right="272" w:firstLine="707"/>
        <w:jc w:val="both"/>
      </w:pPr>
      <w:r>
        <w:t xml:space="preserve">Определение тепловых потерь при подземной прокладке сетей производится при установившемся тепловом состоянии, что достигается путём стабилизации температурного поля в окружающем теплопроводы грунте, при заданном режиме испытаний.</w:t>
      </w:r>
      <w:r/>
    </w:p>
    <w:p>
      <w:pPr>
        <w:pStyle w:val="1247"/>
        <w:ind w:left="118" w:right="270" w:firstLine="707"/>
        <w:jc w:val="both"/>
      </w:pPr>
      <w:r>
        <w:t xml:space="preserve">Показателем достижения установившегося теплового состояния грунта на испытываемом кольце является постоянство температуры воды в обратной линии кольца на входе в теплоподготовительную установку в течение 4 ч.</w:t>
      </w:r>
      <w:r/>
    </w:p>
    <w:p>
      <w:pPr>
        <w:pStyle w:val="1247"/>
        <w:ind w:left="118" w:right="272" w:firstLine="707"/>
        <w:jc w:val="both"/>
      </w:pPr>
      <w:r>
        <w:t xml:space="preserve">Во время прогрева грунта измеряются расходы циркулирующей и подпиточной воды, температура</w:t>
      </w:r>
      <w:r>
        <w:rPr>
          <w:spacing w:val="-3"/>
        </w:rPr>
        <w:t xml:space="preserve"> </w:t>
      </w:r>
      <w:r>
        <w:t xml:space="preserve">сетевой</w:t>
      </w:r>
      <w:r>
        <w:rPr>
          <w:spacing w:val="-2"/>
        </w:rPr>
        <w:t xml:space="preserve"> </w:t>
      </w:r>
      <w:r>
        <w:t xml:space="preserve">воды</w:t>
      </w:r>
      <w:r>
        <w:rPr>
          <w:spacing w:val="-2"/>
        </w:rPr>
        <w:t xml:space="preserve"> </w:t>
      </w:r>
      <w:r>
        <w:t xml:space="preserve">на</w:t>
      </w:r>
      <w:r>
        <w:rPr>
          <w:spacing w:val="-3"/>
        </w:rPr>
        <w:t xml:space="preserve"> </w:t>
      </w:r>
      <w:r>
        <w:t xml:space="preserve">входе</w:t>
      </w:r>
      <w:r>
        <w:rPr>
          <w:spacing w:val="-3"/>
        </w:rPr>
        <w:t xml:space="preserve"> </w:t>
      </w:r>
      <w:r>
        <w:t xml:space="preserve">в</w:t>
      </w:r>
      <w:r>
        <w:rPr>
          <w:spacing w:val="-3"/>
        </w:rPr>
        <w:t xml:space="preserve"> </w:t>
      </w:r>
      <w:r>
        <w:t xml:space="preserve">теплоподготовительную установку</w:t>
      </w:r>
      <w:r>
        <w:rPr>
          <w:spacing w:val="-7"/>
        </w:rPr>
        <w:t xml:space="preserve"> </w:t>
      </w:r>
      <w:r>
        <w:t xml:space="preserve">и</w:t>
      </w:r>
      <w:r>
        <w:rPr>
          <w:spacing w:val="-2"/>
        </w:rPr>
        <w:t xml:space="preserve"> </w:t>
      </w:r>
      <w:r>
        <w:t xml:space="preserve">выходе</w:t>
      </w:r>
      <w:r>
        <w:rPr>
          <w:spacing w:val="-3"/>
        </w:rPr>
        <w:t xml:space="preserve"> </w:t>
      </w:r>
      <w:r>
        <w:t xml:space="preserve">из</w:t>
      </w:r>
      <w:r>
        <w:rPr>
          <w:spacing w:val="-2"/>
        </w:rPr>
        <w:t xml:space="preserve"> </w:t>
      </w:r>
      <w:r>
        <w:t xml:space="preserve">неё</w:t>
      </w:r>
      <w:r>
        <w:rPr>
          <w:spacing w:val="-3"/>
        </w:rPr>
        <w:t xml:space="preserve"> </w:t>
      </w:r>
      <w:r>
        <w:t xml:space="preserve">и</w:t>
      </w:r>
      <w:r>
        <w:rPr>
          <w:spacing w:val="-2"/>
        </w:rPr>
        <w:t xml:space="preserve"> </w:t>
      </w:r>
      <w:r>
        <w:t xml:space="preserve">на перемычке конечного участка испытываемого кольца. Результаты измерений фиксируются одновременно через каждые 30 мин.</w:t>
      </w:r>
      <w:r/>
    </w:p>
    <w:p>
      <w:pPr>
        <w:pStyle w:val="1247"/>
        <w:ind w:left="118" w:right="272" w:firstLine="707"/>
        <w:jc w:val="both"/>
      </w:pPr>
      <w:r>
        <w:t xml:space="preserve">Продолжительность периода достижения установившегося теплового состояния кольца существенно сокращается, если перед испытанием горячее водоснабжение присоединенных</w:t>
      </w:r>
      <w:r>
        <w:rPr>
          <w:spacing w:val="-8"/>
        </w:rPr>
        <w:t xml:space="preserve"> </w:t>
      </w:r>
      <w:r>
        <w:t xml:space="preserve">к</w:t>
      </w:r>
      <w:r>
        <w:rPr>
          <w:spacing w:val="-11"/>
        </w:rPr>
        <w:t xml:space="preserve"> </w:t>
      </w:r>
      <w:r>
        <w:t xml:space="preserve">испытываемой</w:t>
      </w:r>
      <w:r>
        <w:rPr>
          <w:spacing w:val="-8"/>
        </w:rPr>
        <w:t xml:space="preserve"> </w:t>
      </w:r>
      <w:r>
        <w:t xml:space="preserve">магистрали</w:t>
      </w:r>
      <w:r>
        <w:rPr>
          <w:spacing w:val="-7"/>
        </w:rPr>
        <w:t xml:space="preserve"> </w:t>
      </w:r>
      <w:r>
        <w:t xml:space="preserve">потребителей</w:t>
      </w:r>
      <w:r>
        <w:rPr>
          <w:spacing w:val="-8"/>
        </w:rPr>
        <w:t xml:space="preserve"> </w:t>
      </w:r>
      <w:r>
        <w:t xml:space="preserve">осуществлялось</w:t>
      </w:r>
      <w:r>
        <w:rPr>
          <w:spacing w:val="-8"/>
        </w:rPr>
        <w:t xml:space="preserve"> </w:t>
      </w:r>
      <w:r>
        <w:t xml:space="preserve">при</w:t>
      </w:r>
      <w:r>
        <w:rPr>
          <w:spacing w:val="-10"/>
        </w:rPr>
        <w:t xml:space="preserve"> </w:t>
      </w:r>
      <w:r>
        <w:t xml:space="preserve">температуре воды в подающей линии, близкой к температуре испытаний.</w:t>
      </w:r>
      <w:r/>
    </w:p>
    <w:p>
      <w:pPr>
        <w:pStyle w:val="1247"/>
        <w:ind w:left="118" w:right="269" w:firstLine="707"/>
        <w:jc w:val="both"/>
      </w:pPr>
      <w:r>
        <w:t xml:space="preserve">Начиная с момента достижения установившегося теплового состояния во вс</w:t>
      </w:r>
      <w:r>
        <w:t xml:space="preserve">ех намеченных точках наблюдения устанавливаются термометры и измеряется температура воды. Запись показаний термометров и расходомеров ведётся одновременно с интервалом 10 мин. Продолжительность основного режима испытаний должна составлять не менее 8 часов.</w:t>
      </w:r>
      <w:r/>
    </w:p>
    <w:p>
      <w:pPr>
        <w:pStyle w:val="1247"/>
        <w:ind w:left="118" w:right="263" w:firstLine="707"/>
        <w:jc w:val="both"/>
        <w:spacing w:before="1"/>
      </w:pPr>
      <w:r>
        <w:t xml:space="preserve">На заключительном этапе испытаний методом "температурной волны" уточняется время - «продолжительность достижения установившегося теплового состояния испытываемого кольца». На этом этапе температура воды в подающей линии за 20-40 мин повыш</w:t>
      </w:r>
      <w:r>
        <w:t xml:space="preserve">ается на 10-20 °С по сравнению со значением температуры испытания и поддерживается постоянной на этом уровне в течение 1 ч. Затем с той же скоростью температура воды понижается до значения температуры испытания, которое и поддерживается до конца испытаний.</w:t>
      </w:r>
      <w:r/>
    </w:p>
    <w:p>
      <w:pPr>
        <w:pStyle w:val="1247"/>
        <w:ind w:left="118" w:right="271" w:firstLine="707"/>
        <w:jc w:val="both"/>
      </w:pPr>
      <w:r>
        <w:t xml:space="preserve">Расход воды при режиме "температурной волны" остаётся неизменным. Прохождение "температурной волны" по испытываемому</w:t>
      </w:r>
      <w:r>
        <w:rPr>
          <w:spacing w:val="-5"/>
        </w:rPr>
        <w:t xml:space="preserve"> </w:t>
      </w:r>
      <w:r>
        <w:t xml:space="preserve">кольцу</w:t>
      </w:r>
      <w:r>
        <w:rPr>
          <w:spacing w:val="-8"/>
        </w:rPr>
        <w:t xml:space="preserve"> </w:t>
      </w:r>
      <w:r>
        <w:t xml:space="preserve">фиксируется с</w:t>
      </w:r>
      <w:r>
        <w:rPr>
          <w:spacing w:val="-1"/>
        </w:rPr>
        <w:t xml:space="preserve"> </w:t>
      </w:r>
      <w:r>
        <w:t xml:space="preserve">интервалом</w:t>
      </w:r>
      <w:r>
        <w:rPr>
          <w:spacing w:val="-1"/>
        </w:rPr>
        <w:t xml:space="preserve"> </w:t>
      </w:r>
      <w:r>
        <w:t xml:space="preserve">10 мин во</w:t>
      </w:r>
      <w:r>
        <w:rPr>
          <w:spacing w:val="-1"/>
        </w:rPr>
        <w:t xml:space="preserve"> </w:t>
      </w:r>
      <w:r>
        <w:t xml:space="preserve">всех точках наблюдения, что даёт возможность определить фактическую продолжительность пробега частиц воды по каждому участку испытываемого кольца.</w:t>
      </w:r>
      <w:r/>
    </w:p>
    <w:p>
      <w:pPr>
        <w:pStyle w:val="1247"/>
        <w:ind w:left="118" w:right="277" w:firstLine="707"/>
        <w:jc w:val="both"/>
      </w:pPr>
      <w:r>
        <w:t xml:space="preserve">Испытания считаются законченными после того, как "температурная волна" будет отмечена в обратной линии кольца на входе в теплоподготовительную установку.</w:t>
      </w:r>
      <w:r/>
    </w:p>
    <w:p>
      <w:pPr>
        <w:pStyle w:val="1247"/>
        <w:ind w:left="118" w:right="270" w:firstLine="707"/>
        <w:jc w:val="both"/>
      </w:pPr>
      <w:r>
        <w:t xml:space="preserve">Суммарная продолжительность основного режима испытаний и периода пробега "температурной волны" составляет удвоенное время продолжительности достижения установившегося теплового состояния испытываемого кольца плюс 10-12 ч.</w:t>
      </w:r>
      <w:r/>
    </w:p>
    <w:p>
      <w:pPr>
        <w:pStyle w:val="1247"/>
        <w:ind w:left="118" w:right="272" w:firstLine="707"/>
        <w:jc w:val="both"/>
      </w:pPr>
      <w:r>
        <w:t xml:space="preserve">В результате испытаний определяются тепловые потери для каждого из участков испытываемого кольца отдельно по подающей и обратной линиям.</w:t>
      </w:r>
      <w:r/>
    </w:p>
    <w:p>
      <w:pPr>
        <w:pStyle w:val="1247"/>
        <w:ind w:left="118" w:right="272" w:firstLine="707"/>
        <w:jc w:val="both"/>
      </w:pPr>
      <w:r/>
      <w:r/>
    </w:p>
    <w:p>
      <w:pPr>
        <w:pStyle w:val="1248"/>
        <w:ind w:right="267" w:firstLine="733"/>
      </w:pPr>
      <w:r/>
      <w:bookmarkStart w:id="104" w:name="_bookmark75"/>
      <w:r/>
      <w:bookmarkStart w:id="105" w:name="_Toc130231900"/>
      <w:r/>
      <w:bookmarkStart w:id="106" w:name="_Toc165540683"/>
      <w:r/>
      <w:bookmarkEnd w:id="104"/>
      <w:r>
        <w:rPr>
          <w:lang w:eastAsia="ru-RU"/>
        </w:rPr>
        <w:t xml:space="preserve">1.3.12 </w:t>
      </w:r>
      <w:r>
        <w:t xml:space="preserve">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bookmarkEnd w:id="105"/>
      <w:r/>
      <w:bookmarkEnd w:id="106"/>
      <w:r/>
      <w:r/>
    </w:p>
    <w:p>
      <w:pPr>
        <w:pStyle w:val="1247"/>
        <w:ind w:left="118" w:right="266" w:firstLine="707"/>
        <w:jc w:val="both"/>
        <w:spacing w:before="116"/>
      </w:pPr>
      <w:r>
        <w:t xml:space="preserve">Под термином «летний ремонт» имеется в виду планово</w:t>
      </w:r>
      <w:r>
        <w:t xml:space="preserve">-</w:t>
      </w:r>
      <w:r>
        <w:t xml:space="preserve">предупредительный ремонт, проводимый в межотопительный период. В отношении периодичности проведения так называемых летних ремонтов, а также параметров и методов испытаний тепловых сетей требуется следующее:</w:t>
      </w:r>
      <w:r/>
    </w:p>
    <w:p>
      <w:pPr>
        <w:pStyle w:val="1250"/>
        <w:numPr>
          <w:ilvl w:val="0"/>
          <w:numId w:val="13"/>
        </w:numPr>
        <w:ind w:hanging="248"/>
        <w:tabs>
          <w:tab w:val="left" w:pos="1074" w:leader="none"/>
        </w:tabs>
        <w:rPr>
          <w:sz w:val="24"/>
        </w:rPr>
      </w:pPr>
      <w:r>
        <w:rPr>
          <w:sz w:val="24"/>
        </w:rPr>
        <w:t xml:space="preserve">Техническое</w:t>
      </w:r>
      <w:r>
        <w:rPr>
          <w:spacing w:val="4"/>
          <w:sz w:val="24"/>
        </w:rPr>
        <w:t xml:space="preserve"> </w:t>
      </w:r>
      <w:r>
        <w:rPr>
          <w:sz w:val="24"/>
        </w:rPr>
        <w:t xml:space="preserve">освидетельствование</w:t>
      </w:r>
      <w:r>
        <w:rPr>
          <w:spacing w:val="4"/>
          <w:sz w:val="24"/>
        </w:rPr>
        <w:t xml:space="preserve"> </w:t>
      </w:r>
      <w:r>
        <w:rPr>
          <w:sz w:val="24"/>
        </w:rPr>
        <w:t xml:space="preserve">тепловых</w:t>
      </w:r>
      <w:r>
        <w:rPr>
          <w:spacing w:val="6"/>
          <w:sz w:val="24"/>
        </w:rPr>
        <w:t xml:space="preserve"> </w:t>
      </w:r>
      <w:r>
        <w:rPr>
          <w:sz w:val="24"/>
        </w:rPr>
        <w:t xml:space="preserve">сетей</w:t>
      </w:r>
      <w:r>
        <w:rPr>
          <w:spacing w:val="5"/>
          <w:sz w:val="24"/>
        </w:rPr>
        <w:t xml:space="preserve"> </w:t>
      </w:r>
      <w:r>
        <w:rPr>
          <w:sz w:val="24"/>
        </w:rPr>
        <w:t xml:space="preserve">должно</w:t>
      </w:r>
      <w:r>
        <w:rPr>
          <w:spacing w:val="5"/>
          <w:sz w:val="24"/>
        </w:rPr>
        <w:t xml:space="preserve"> </w:t>
      </w:r>
      <w:r>
        <w:rPr>
          <w:sz w:val="24"/>
        </w:rPr>
        <w:t xml:space="preserve">производиться</w:t>
      </w:r>
      <w:r>
        <w:rPr>
          <w:spacing w:val="4"/>
          <w:sz w:val="24"/>
        </w:rPr>
        <w:t xml:space="preserve"> </w:t>
      </w:r>
      <w:r>
        <w:rPr>
          <w:sz w:val="24"/>
        </w:rPr>
        <w:t xml:space="preserve">не</w:t>
      </w:r>
      <w:r>
        <w:rPr>
          <w:spacing w:val="4"/>
          <w:sz w:val="24"/>
        </w:rPr>
        <w:t xml:space="preserve"> </w:t>
      </w:r>
      <w:r>
        <w:rPr>
          <w:sz w:val="24"/>
        </w:rPr>
        <w:t xml:space="preserve">реже</w:t>
      </w:r>
      <w:r>
        <w:rPr>
          <w:spacing w:val="4"/>
          <w:sz w:val="24"/>
        </w:rPr>
        <w:t xml:space="preserve"> </w:t>
      </w:r>
      <w:r>
        <w:rPr>
          <w:spacing w:val="-10"/>
          <w:sz w:val="24"/>
        </w:rPr>
        <w:t xml:space="preserve">1</w:t>
      </w:r>
      <w:r>
        <w:rPr>
          <w:sz w:val="24"/>
        </w:rPr>
      </w:r>
      <w:r>
        <w:rPr>
          <w:sz w:val="24"/>
        </w:rPr>
      </w:r>
    </w:p>
    <w:p>
      <w:pPr>
        <w:pStyle w:val="1247"/>
        <w:ind w:left="119" w:right="272"/>
        <w:jc w:val="both"/>
      </w:pPr>
      <w:r>
        <w:t xml:space="preserve">раза в 5 лет в соответствии с п. 2.5 МДК 4 - 02.2001 «Типовая инструкция по технической эксплуатации тепловых сетей систем коммунального теплоснабжения»;</w:t>
      </w:r>
      <w:r/>
    </w:p>
    <w:p>
      <w:pPr>
        <w:pStyle w:val="1250"/>
        <w:numPr>
          <w:ilvl w:val="0"/>
          <w:numId w:val="13"/>
        </w:numPr>
        <w:ind w:left="118" w:right="265" w:firstLine="707"/>
        <w:tabs>
          <w:tab w:val="left" w:pos="1201" w:leader="none"/>
        </w:tabs>
        <w:rPr>
          <w:sz w:val="24"/>
        </w:rPr>
      </w:pPr>
      <w:r>
        <w:rPr>
          <w:sz w:val="24"/>
        </w:rPr>
        <w:t xml:space="preserve">Оборудование тепловых сетей в том числе тепловые пункты и системы теплопотребления до проведения пуска после летних ремонтов должно быть подвергнуто</w:t>
      </w:r>
      <w:r>
        <w:rPr>
          <w:sz w:val="24"/>
        </w:rPr>
        <w:t xml:space="preserve"> гидравлическому испытанию на прочность и плотность, а именно: элеваторные узлы, калориферы и водоподогреватели отопления давлением 1,25 рабочего, но не ниже 1 МПа (10 кгс/см2), системы отопления с чугунными отопительными приборами давлением 1,25 рабочего,</w:t>
      </w:r>
      <w:r>
        <w:rPr>
          <w:spacing w:val="-3"/>
          <w:sz w:val="24"/>
        </w:rPr>
        <w:t xml:space="preserve"> </w:t>
      </w:r>
      <w:r>
        <w:rPr>
          <w:sz w:val="24"/>
        </w:rPr>
        <w:t xml:space="preserve">но</w:t>
      </w:r>
      <w:r>
        <w:rPr>
          <w:spacing w:val="-2"/>
          <w:sz w:val="24"/>
        </w:rPr>
        <w:t xml:space="preserve"> </w:t>
      </w:r>
      <w:r>
        <w:rPr>
          <w:sz w:val="24"/>
        </w:rPr>
        <w:t xml:space="preserve">не</w:t>
      </w:r>
      <w:r>
        <w:rPr>
          <w:spacing w:val="-3"/>
          <w:sz w:val="24"/>
        </w:rPr>
        <w:t xml:space="preserve"> </w:t>
      </w:r>
      <w:r>
        <w:rPr>
          <w:sz w:val="24"/>
        </w:rPr>
        <w:t xml:space="preserve">ниже</w:t>
      </w:r>
      <w:r>
        <w:rPr>
          <w:spacing w:val="-4"/>
          <w:sz w:val="24"/>
        </w:rPr>
        <w:t xml:space="preserve"> </w:t>
      </w:r>
      <w:r>
        <w:rPr>
          <w:sz w:val="24"/>
        </w:rPr>
        <w:t xml:space="preserve">0,6</w:t>
      </w:r>
      <w:r>
        <w:rPr>
          <w:spacing w:val="-2"/>
          <w:sz w:val="24"/>
        </w:rPr>
        <w:t xml:space="preserve"> </w:t>
      </w:r>
      <w:r>
        <w:rPr>
          <w:sz w:val="24"/>
        </w:rPr>
        <w:t xml:space="preserve">МПа</w:t>
      </w:r>
      <w:r>
        <w:rPr>
          <w:spacing w:val="-4"/>
          <w:sz w:val="24"/>
        </w:rPr>
        <w:t xml:space="preserve"> </w:t>
      </w:r>
      <w:r>
        <w:rPr>
          <w:sz w:val="24"/>
        </w:rPr>
        <w:t xml:space="preserve">(6</w:t>
      </w:r>
      <w:r>
        <w:rPr>
          <w:spacing w:val="-1"/>
          <w:sz w:val="24"/>
        </w:rPr>
        <w:t xml:space="preserve"> </w:t>
      </w:r>
      <w:r>
        <w:rPr>
          <w:sz w:val="24"/>
        </w:rPr>
        <w:t xml:space="preserve">кгс/см2),</w:t>
      </w:r>
      <w:r>
        <w:rPr>
          <w:spacing w:val="-1"/>
          <w:sz w:val="24"/>
        </w:rPr>
        <w:t xml:space="preserve"> </w:t>
      </w:r>
      <w:r>
        <w:rPr>
          <w:sz w:val="24"/>
        </w:rPr>
        <w:t xml:space="preserve">а</w:t>
      </w:r>
      <w:r>
        <w:rPr>
          <w:spacing w:val="-1"/>
          <w:sz w:val="24"/>
        </w:rPr>
        <w:t xml:space="preserve"> </w:t>
      </w:r>
      <w:r>
        <w:rPr>
          <w:sz w:val="24"/>
        </w:rPr>
        <w:t xml:space="preserve">системы</w:t>
      </w:r>
      <w:r>
        <w:rPr>
          <w:spacing w:val="-2"/>
          <w:sz w:val="24"/>
        </w:rPr>
        <w:t xml:space="preserve"> </w:t>
      </w:r>
      <w:r>
        <w:rPr>
          <w:sz w:val="24"/>
        </w:rPr>
        <w:t xml:space="preserve">панельного</w:t>
      </w:r>
      <w:r>
        <w:rPr>
          <w:spacing w:val="-2"/>
          <w:sz w:val="24"/>
        </w:rPr>
        <w:t xml:space="preserve"> </w:t>
      </w:r>
      <w:r>
        <w:rPr>
          <w:sz w:val="24"/>
        </w:rPr>
        <w:t xml:space="preserve">отопления</w:t>
      </w:r>
      <w:r>
        <w:rPr>
          <w:spacing w:val="-2"/>
          <w:sz w:val="24"/>
        </w:rPr>
        <w:t xml:space="preserve"> </w:t>
      </w:r>
      <w:r>
        <w:rPr>
          <w:sz w:val="24"/>
        </w:rPr>
        <w:t xml:space="preserve">давлением</w:t>
      </w:r>
      <w:r>
        <w:rPr>
          <w:spacing w:val="-3"/>
          <w:sz w:val="24"/>
        </w:rPr>
        <w:t xml:space="preserve"> </w:t>
      </w:r>
      <w:r>
        <w:rPr>
          <w:sz w:val="24"/>
        </w:rPr>
        <w:t xml:space="preserve">1</w:t>
      </w:r>
      <w:r>
        <w:rPr>
          <w:spacing w:val="-2"/>
          <w:sz w:val="24"/>
        </w:rPr>
        <w:t xml:space="preserve"> </w:t>
      </w:r>
      <w:r>
        <w:rPr>
          <w:sz w:val="24"/>
        </w:rPr>
        <w:t xml:space="preserve">МПа (10 кгс/см2) (п.5.28 МДК 4 - 02.2001);</w:t>
      </w:r>
      <w:r>
        <w:rPr>
          <w:sz w:val="24"/>
        </w:rPr>
      </w:r>
      <w:r>
        <w:rPr>
          <w:sz w:val="24"/>
        </w:rPr>
      </w:r>
    </w:p>
    <w:p>
      <w:pPr>
        <w:pStyle w:val="1250"/>
        <w:numPr>
          <w:ilvl w:val="0"/>
          <w:numId w:val="13"/>
        </w:numPr>
        <w:ind w:left="118" w:right="265" w:firstLine="707"/>
        <w:spacing w:before="1"/>
        <w:tabs>
          <w:tab w:val="left" w:pos="1067" w:leader="none"/>
        </w:tabs>
        <w:rPr>
          <w:sz w:val="24"/>
        </w:rPr>
      </w:pPr>
      <w:r>
        <w:rPr>
          <w:sz w:val="24"/>
        </w:rPr>
        <w:t xml:space="preserve">Испытанию</w:t>
      </w:r>
      <w:r>
        <w:rPr>
          <w:spacing w:val="-3"/>
          <w:sz w:val="24"/>
        </w:rPr>
        <w:t xml:space="preserve"> </w:t>
      </w:r>
      <w:r>
        <w:rPr>
          <w:sz w:val="24"/>
        </w:rPr>
        <w:t xml:space="preserve">на</w:t>
      </w:r>
      <w:r>
        <w:rPr>
          <w:spacing w:val="-4"/>
          <w:sz w:val="24"/>
        </w:rPr>
        <w:t xml:space="preserve"> </w:t>
      </w:r>
      <w:r>
        <w:rPr>
          <w:sz w:val="24"/>
        </w:rPr>
        <w:t xml:space="preserve">максимальную</w:t>
      </w:r>
      <w:r>
        <w:rPr>
          <w:spacing w:val="-1"/>
          <w:sz w:val="24"/>
        </w:rPr>
        <w:t xml:space="preserve"> </w:t>
      </w:r>
      <w:r>
        <w:rPr>
          <w:sz w:val="24"/>
        </w:rPr>
        <w:t xml:space="preserve">температуру</w:t>
      </w:r>
      <w:r>
        <w:rPr>
          <w:spacing w:val="-8"/>
          <w:sz w:val="24"/>
        </w:rPr>
        <w:t xml:space="preserve"> </w:t>
      </w:r>
      <w:r>
        <w:rPr>
          <w:sz w:val="24"/>
        </w:rPr>
        <w:t xml:space="preserve">теплоносителя</w:t>
      </w:r>
      <w:r>
        <w:rPr>
          <w:spacing w:val="-3"/>
          <w:sz w:val="24"/>
        </w:rPr>
        <w:t xml:space="preserve"> </w:t>
      </w:r>
      <w:r>
        <w:rPr>
          <w:sz w:val="24"/>
        </w:rPr>
        <w:t xml:space="preserve">должны</w:t>
      </w:r>
      <w:r>
        <w:rPr>
          <w:spacing w:val="-3"/>
          <w:sz w:val="24"/>
        </w:rPr>
        <w:t xml:space="preserve"> </w:t>
      </w:r>
      <w:r>
        <w:rPr>
          <w:sz w:val="24"/>
        </w:rPr>
        <w:t xml:space="preserve">подвергаться</w:t>
      </w:r>
      <w:r>
        <w:rPr>
          <w:spacing w:val="-3"/>
          <w:sz w:val="24"/>
        </w:rPr>
        <w:t xml:space="preserve"> </w:t>
      </w:r>
      <w:r>
        <w:rPr>
          <w:sz w:val="24"/>
        </w:rPr>
        <w:t xml:space="preserve">все тепловые</w:t>
      </w:r>
      <w:r>
        <w:rPr>
          <w:spacing w:val="-15"/>
          <w:sz w:val="24"/>
        </w:rPr>
        <w:t xml:space="preserve"> </w:t>
      </w:r>
      <w:r>
        <w:rPr>
          <w:sz w:val="24"/>
        </w:rPr>
        <w:t xml:space="preserve">сети</w:t>
      </w:r>
      <w:r>
        <w:rPr>
          <w:spacing w:val="-11"/>
          <w:sz w:val="24"/>
        </w:rPr>
        <w:t xml:space="preserve"> </w:t>
      </w:r>
      <w:r>
        <w:rPr>
          <w:sz w:val="24"/>
        </w:rPr>
        <w:t xml:space="preserve">от</w:t>
      </w:r>
      <w:r>
        <w:rPr>
          <w:spacing w:val="-12"/>
          <w:sz w:val="24"/>
        </w:rPr>
        <w:t xml:space="preserve"> </w:t>
      </w:r>
      <w:r>
        <w:rPr>
          <w:sz w:val="24"/>
        </w:rPr>
        <w:t xml:space="preserve">источника</w:t>
      </w:r>
      <w:r>
        <w:rPr>
          <w:spacing w:val="-14"/>
          <w:sz w:val="24"/>
        </w:rPr>
        <w:t xml:space="preserve"> </w:t>
      </w:r>
      <w:r>
        <w:rPr>
          <w:sz w:val="24"/>
        </w:rPr>
        <w:t xml:space="preserve">тепловой</w:t>
      </w:r>
      <w:r>
        <w:rPr>
          <w:spacing w:val="-12"/>
          <w:sz w:val="24"/>
        </w:rPr>
        <w:t xml:space="preserve"> </w:t>
      </w:r>
      <w:r>
        <w:rPr>
          <w:sz w:val="24"/>
        </w:rPr>
        <w:t xml:space="preserve">энергии</w:t>
      </w:r>
      <w:r>
        <w:rPr>
          <w:spacing w:val="-15"/>
          <w:sz w:val="24"/>
        </w:rPr>
        <w:t xml:space="preserve"> </w:t>
      </w:r>
      <w:r>
        <w:rPr>
          <w:sz w:val="24"/>
        </w:rPr>
        <w:t xml:space="preserve">до</w:t>
      </w:r>
      <w:r>
        <w:rPr>
          <w:spacing w:val="-13"/>
          <w:sz w:val="24"/>
        </w:rPr>
        <w:t xml:space="preserve"> </w:t>
      </w:r>
      <w:r>
        <w:rPr>
          <w:sz w:val="24"/>
        </w:rPr>
        <w:t xml:space="preserve">тепловых</w:t>
      </w:r>
      <w:r>
        <w:rPr>
          <w:spacing w:val="-11"/>
          <w:sz w:val="24"/>
        </w:rPr>
        <w:t xml:space="preserve"> </w:t>
      </w:r>
      <w:r>
        <w:rPr>
          <w:sz w:val="24"/>
        </w:rPr>
        <w:t xml:space="preserve">пунктов</w:t>
      </w:r>
      <w:r>
        <w:rPr>
          <w:spacing w:val="-13"/>
          <w:sz w:val="24"/>
        </w:rPr>
        <w:t xml:space="preserve"> </w:t>
      </w:r>
      <w:r>
        <w:rPr>
          <w:sz w:val="24"/>
        </w:rPr>
        <w:t xml:space="preserve">систем</w:t>
      </w:r>
      <w:r>
        <w:rPr>
          <w:spacing w:val="-14"/>
          <w:sz w:val="24"/>
        </w:rPr>
        <w:t xml:space="preserve"> </w:t>
      </w:r>
      <w:r>
        <w:rPr>
          <w:sz w:val="24"/>
        </w:rPr>
        <w:t xml:space="preserve">теплопотребления, данное испытание следует проводить, как правило, непосредственно перед окончанием отопительного сезона</w:t>
      </w:r>
      <w:r>
        <w:rPr>
          <w:spacing w:val="-2"/>
          <w:sz w:val="24"/>
        </w:rPr>
        <w:t xml:space="preserve"> </w:t>
      </w:r>
      <w:r>
        <w:rPr>
          <w:sz w:val="24"/>
        </w:rPr>
        <w:t xml:space="preserve">при устойчивых суточных плюсовых температурах наружного воздуха в соответствии с п. 1.3, 1.4 РД 153-34.1-20.329-2001 «Методические указания по испытанию водяных тепловых сетей на максимальную температуру теплоносителя».</w:t>
      </w:r>
      <w:r>
        <w:rPr>
          <w:sz w:val="24"/>
        </w:rPr>
      </w:r>
      <w:r>
        <w:rPr>
          <w:sz w:val="24"/>
        </w:rPr>
      </w:r>
    </w:p>
    <w:p>
      <w:pPr>
        <w:pStyle w:val="1247"/>
        <w:spacing w:before="1"/>
        <w:rPr>
          <w:sz w:val="27"/>
        </w:rPr>
      </w:pPr>
      <w:r>
        <w:rPr>
          <w:sz w:val="27"/>
        </w:rPr>
      </w:r>
      <w:r>
        <w:rPr>
          <w:sz w:val="27"/>
        </w:rPr>
      </w:r>
      <w:r>
        <w:rPr>
          <w:sz w:val="27"/>
        </w:rPr>
      </w:r>
    </w:p>
    <w:p>
      <w:pPr>
        <w:pStyle w:val="1248"/>
        <w:ind w:right="267" w:firstLine="733"/>
      </w:pPr>
      <w:r/>
      <w:bookmarkStart w:id="107" w:name="_bookmark76"/>
      <w:r/>
      <w:bookmarkStart w:id="108" w:name="_Toc130231901"/>
      <w:r/>
      <w:bookmarkStart w:id="109" w:name="_Toc165540684"/>
      <w:r/>
      <w:bookmarkEnd w:id="107"/>
      <w:r>
        <w:rPr>
          <w:lang w:eastAsia="ru-RU"/>
        </w:rPr>
        <w:t xml:space="preserve">1.3.13 </w:t>
      </w:r>
      <w:r>
        <w:t xml:space="preserve">Описание нормативов технологических потерь (в ценовых зонах </w:t>
      </w:r>
      <w:r>
        <w:t xml:space="preserve">теплоснабжения - плановых потерь, определяемых в соответствии с методическими указаниями по разработке схем теплоснабжения) при передаче тепловой энергии (мощности) и теплоносителя, включаемых в расчёт отпущенных тепловой энергии (мощности) и теплоносителя</w:t>
      </w:r>
      <w:bookmarkEnd w:id="108"/>
      <w:r/>
      <w:bookmarkEnd w:id="109"/>
      <w:r/>
      <w:r/>
    </w:p>
    <w:p>
      <w:pPr>
        <w:ind w:left="142" w:right="272" w:firstLine="709"/>
        <w:jc w:val="both"/>
        <w:spacing w:before="200"/>
        <w:rPr>
          <w:sz w:val="24"/>
          <w:szCs w:val="24"/>
        </w:rPr>
      </w:pPr>
      <w:r>
        <w:rPr>
          <w:sz w:val="24"/>
          <w:szCs w:val="24"/>
        </w:rPr>
        <w:t xml:space="preserve">Нормативы технологических потерь при передаче тепловой энергии разрабатываются по следующим показателям:</w:t>
      </w:r>
      <w:r>
        <w:rPr>
          <w:sz w:val="24"/>
          <w:szCs w:val="24"/>
        </w:rPr>
      </w:r>
      <w:r>
        <w:rPr>
          <w:sz w:val="24"/>
          <w:szCs w:val="24"/>
        </w:rPr>
      </w:r>
    </w:p>
    <w:p>
      <w:pPr>
        <w:ind w:left="142" w:right="271" w:firstLine="709"/>
        <w:jc w:val="both"/>
        <w:rPr>
          <w:sz w:val="24"/>
          <w:szCs w:val="24"/>
        </w:rPr>
      </w:pPr>
      <w:r>
        <w:rPr>
          <w:sz w:val="24"/>
          <w:szCs w:val="24"/>
        </w:rPr>
        <w:t xml:space="preserve">- потери и затраты теплоносителей (пар, конденсат, вода);</w:t>
      </w:r>
      <w:r>
        <w:rPr>
          <w:sz w:val="24"/>
          <w:szCs w:val="24"/>
        </w:rPr>
      </w:r>
      <w:r>
        <w:rPr>
          <w:sz w:val="24"/>
          <w:szCs w:val="24"/>
        </w:rPr>
      </w:r>
    </w:p>
    <w:p>
      <w:pPr>
        <w:ind w:left="142" w:right="271" w:firstLine="709"/>
        <w:jc w:val="both"/>
        <w:rPr>
          <w:sz w:val="24"/>
          <w:szCs w:val="24"/>
        </w:rPr>
      </w:pPr>
      <w:r>
        <w:rPr>
          <w:sz w:val="24"/>
          <w:szCs w:val="24"/>
        </w:rPr>
        <w:t xml:space="preserve">- потери тепловой энергии в тепловых сетях теплопередачей через теплоизоляционные конструкции теплопроводов и с потерями и затратами теплоносителей (пар, конденсат, вода);</w:t>
      </w:r>
      <w:r>
        <w:rPr>
          <w:sz w:val="24"/>
          <w:szCs w:val="24"/>
        </w:rPr>
      </w:r>
      <w:r>
        <w:rPr>
          <w:sz w:val="24"/>
          <w:szCs w:val="24"/>
        </w:rPr>
      </w:r>
    </w:p>
    <w:p>
      <w:pPr>
        <w:ind w:left="142" w:right="271" w:firstLine="709"/>
        <w:jc w:val="both"/>
        <w:rPr>
          <w:sz w:val="24"/>
          <w:szCs w:val="24"/>
        </w:rPr>
      </w:pPr>
      <w:r>
        <w:rPr>
          <w:sz w:val="24"/>
          <w:szCs w:val="24"/>
        </w:rPr>
        <w:t xml:space="preserve">- затраты электрической энергии на передачу тепловой энергии.</w:t>
      </w:r>
      <w:r>
        <w:rPr>
          <w:sz w:val="24"/>
          <w:szCs w:val="24"/>
        </w:rPr>
      </w:r>
      <w:r>
        <w:rPr>
          <w:sz w:val="24"/>
          <w:szCs w:val="24"/>
        </w:rPr>
      </w:r>
    </w:p>
    <w:p>
      <w:pPr>
        <w:ind w:left="142" w:right="271" w:firstLine="709"/>
        <w:jc w:val="both"/>
        <w:rPr>
          <w:sz w:val="24"/>
          <w:szCs w:val="24"/>
        </w:rPr>
      </w:pPr>
      <w:r>
        <w:rPr>
          <w:sz w:val="24"/>
          <w:szCs w:val="24"/>
        </w:rPr>
        <w:t xml:space="preserve">Нормы тепловых потерь представлены в таблицах ниже.</w:t>
      </w:r>
      <w:r>
        <w:rPr>
          <w:sz w:val="24"/>
          <w:szCs w:val="24"/>
        </w:rPr>
      </w:r>
      <w:r>
        <w:rPr>
          <w:sz w:val="24"/>
          <w:szCs w:val="24"/>
        </w:rPr>
      </w:r>
    </w:p>
    <w:p>
      <w:r/>
      <w:r/>
    </w:p>
    <w:p>
      <w:pPr>
        <w:rPr>
          <w:szCs w:val="24"/>
          <w:lang w:eastAsia="ru-RU"/>
        </w:rPr>
      </w:pPr>
      <w:r>
        <w:rPr>
          <w:szCs w:val="24"/>
          <w:lang w:eastAsia="ru-RU"/>
        </w:rPr>
        <w:br w:type="page" w:clear="all"/>
      </w:r>
      <w:r>
        <w:rPr>
          <w:szCs w:val="24"/>
          <w:lang w:eastAsia="ru-RU"/>
        </w:rPr>
      </w:r>
      <w:r>
        <w:rPr>
          <w:szCs w:val="24"/>
          <w:lang w:eastAsia="ru-RU"/>
        </w:rPr>
      </w:r>
    </w:p>
    <w:p>
      <w:pPr>
        <w:jc w:val="center"/>
        <w:spacing w:line="360" w:lineRule="auto"/>
        <w:widowControl/>
        <w:rPr>
          <w:szCs w:val="24"/>
          <w:lang w:eastAsia="ru-RU"/>
        </w:rPr>
      </w:pPr>
      <w:r>
        <w:rPr>
          <w:szCs w:val="24"/>
          <w:lang w:eastAsia="ru-RU"/>
        </w:rPr>
        <w:t xml:space="preserve">НОРМЫ ТЕПЛОВЫХ ПОТЕРЬ (ПЛОТНОСТИ ТЕПЛОВОГО ПОТОКА) ТЕПЛОПРОВОДАМИ, СПРОЕКТИРОВАННЫМИ В ПЕРИОД</w:t>
      </w:r>
      <w:r>
        <w:rPr>
          <w:szCs w:val="24"/>
          <w:lang w:eastAsia="ru-RU"/>
        </w:rPr>
      </w:r>
      <w:r>
        <w:rPr>
          <w:szCs w:val="24"/>
          <w:lang w:eastAsia="ru-RU"/>
        </w:rPr>
      </w:r>
    </w:p>
    <w:p>
      <w:pPr>
        <w:jc w:val="center"/>
        <w:spacing w:line="360" w:lineRule="auto"/>
        <w:widowControl/>
        <w:rPr>
          <w:szCs w:val="24"/>
          <w:lang w:eastAsia="ru-RU"/>
        </w:rPr>
      </w:pPr>
      <w:r>
        <w:rPr>
          <w:szCs w:val="24"/>
          <w:lang w:eastAsia="ru-RU"/>
        </w:rPr>
        <w:t xml:space="preserve">С 1959 Г. ПО 1989 Г. ВКЛЮЧИТЕЛЬНО</w:t>
      </w:r>
      <w:r>
        <w:rPr>
          <w:szCs w:val="24"/>
          <w:lang w:eastAsia="ru-RU"/>
        </w:rPr>
      </w:r>
      <w:r>
        <w:rPr>
          <w:szCs w:val="24"/>
          <w:lang w:eastAsia="ru-RU"/>
        </w:rPr>
      </w:r>
    </w:p>
    <w:p>
      <w:pPr>
        <w:pStyle w:val="1274"/>
        <w:jc w:val="right"/>
        <w:keepNext/>
        <w:rPr>
          <w:b w:val="0"/>
          <w:sz w:val="24"/>
          <w:szCs w:val="24"/>
        </w:rPr>
      </w:pPr>
      <w:r/>
      <w:bookmarkStart w:id="110" w:name="_Toc40787808"/>
      <w:r/>
      <w:bookmarkStart w:id="111" w:name="_Toc71031197"/>
      <w:r>
        <w:rPr>
          <w:b w:val="0"/>
          <w:sz w:val="24"/>
          <w:szCs w:val="24"/>
        </w:rPr>
        <w:t xml:space="preserve">Таблица </w:t>
      </w:r>
      <w:r>
        <w:rPr>
          <w:b w:val="0"/>
          <w:sz w:val="24"/>
          <w:szCs w:val="24"/>
        </w:rPr>
        <w:t xml:space="preserve">1.</w:t>
      </w:r>
      <w:r>
        <w:rPr>
          <w:b w:val="0"/>
          <w:sz w:val="24"/>
          <w:szCs w:val="24"/>
        </w:rPr>
        <w:t xml:space="preserve">3.13.1</w:t>
      </w:r>
      <w:r>
        <w:rPr>
          <w:b w:val="0"/>
          <w:sz w:val="24"/>
          <w:szCs w:val="24"/>
        </w:rPr>
      </w:r>
      <w:r>
        <w:rPr>
          <w:b w:val="0"/>
          <w:sz w:val="24"/>
          <w:szCs w:val="24"/>
        </w:rPr>
      </w:r>
    </w:p>
    <w:p>
      <w:pPr>
        <w:pStyle w:val="1274"/>
        <w:keepNext/>
        <w:rPr>
          <w:b w:val="0"/>
          <w:sz w:val="24"/>
          <w:szCs w:val="24"/>
        </w:rPr>
      </w:pPr>
      <w:r>
        <w:rPr>
          <w:b w:val="0"/>
          <w:sz w:val="24"/>
          <w:szCs w:val="24"/>
        </w:rPr>
        <w:t xml:space="preserve">Нормы тепловых потерь трубопроводов внутри помещений с расчетной температурой воздуха t  = +21 °C</w:t>
      </w:r>
      <w:bookmarkEnd w:id="110"/>
      <w:r/>
      <w:bookmarkEnd w:id="111"/>
      <w:r>
        <w:rPr>
          <w:b w:val="0"/>
          <w:sz w:val="24"/>
          <w:szCs w:val="24"/>
        </w:rPr>
      </w:r>
      <w:r>
        <w:rPr>
          <w:b w:val="0"/>
          <w:sz w:val="24"/>
          <w:szCs w:val="24"/>
        </w:rPr>
      </w:r>
    </w:p>
    <w:tbl>
      <w:tblPr>
        <w:tblW w:w="5000" w:type="pct"/>
        <w:jc w:val="center"/>
        <w:tblLayout w:type="fixed"/>
        <w:tblCellMar>
          <w:left w:w="70" w:type="dxa"/>
          <w:right w:w="70" w:type="dxa"/>
        </w:tblCellMar>
        <w:tblLook w:val="0000" w:firstRow="0" w:lastRow="0" w:firstColumn="0" w:lastColumn="0" w:noHBand="0" w:noVBand="0"/>
      </w:tblPr>
      <w:tblGrid>
        <w:gridCol w:w="1365"/>
        <w:gridCol w:w="753"/>
        <w:gridCol w:w="753"/>
        <w:gridCol w:w="754"/>
        <w:gridCol w:w="754"/>
        <w:gridCol w:w="753"/>
        <w:gridCol w:w="875"/>
        <w:gridCol w:w="753"/>
        <w:gridCol w:w="753"/>
        <w:gridCol w:w="875"/>
        <w:gridCol w:w="753"/>
        <w:gridCol w:w="753"/>
      </w:tblGrid>
      <w:tr>
        <w:tblPrEx/>
        <w:trPr>
          <w:cantSplit/>
          <w:jc w:val="center"/>
          <w:trHeight w:val="240"/>
        </w:trPr>
        <w:tc>
          <w:tcPr>
            <w:tcBorders>
              <w:top w:val="single" w:color="auto" w:sz="6" w:space="0"/>
              <w:left w:val="single" w:color="auto" w:sz="6" w:space="0"/>
              <w:bottom w:val="none" w:color="000000" w:sz="4" w:space="0"/>
              <w:right w:val="single" w:color="auto" w:sz="6" w:space="0"/>
            </w:tcBorders>
            <w:tcW w:w="1328" w:type="dxa"/>
            <w:vAlign w:val="center"/>
            <w:vMerge w:val="restart"/>
            <w:textDirection w:val="lrTb"/>
            <w:noWrap w:val="false"/>
          </w:tcPr>
          <w:p>
            <w:pPr>
              <w:jc w:val="center"/>
              <w:spacing w:line="360" w:lineRule="auto"/>
              <w:widowControl/>
              <w:rPr>
                <w:szCs w:val="24"/>
                <w:lang w:eastAsia="ru-RU"/>
              </w:rPr>
            </w:pPr>
            <w:r>
              <w:rPr>
                <w:szCs w:val="24"/>
                <w:lang w:eastAsia="ru-RU"/>
              </w:rPr>
              <w:t xml:space="preserve">Условный </w:t>
            </w:r>
            <w:r>
              <w:rPr>
                <w:szCs w:val="24"/>
                <w:lang w:eastAsia="ru-RU"/>
              </w:rPr>
              <w:br/>
              <w:t xml:space="preserve">диаметр, </w:t>
            </w:r>
            <w:r>
              <w:rPr>
                <w:szCs w:val="24"/>
                <w:lang w:eastAsia="ru-RU"/>
              </w:rPr>
              <w:br/>
              <w:t xml:space="preserve">мм</w:t>
            </w:r>
            <w:r>
              <w:rPr>
                <w:szCs w:val="24"/>
                <w:lang w:eastAsia="ru-RU"/>
              </w:rPr>
            </w:r>
            <w:r>
              <w:rPr>
                <w:szCs w:val="24"/>
                <w:lang w:eastAsia="ru-RU"/>
              </w:rPr>
            </w:r>
          </w:p>
        </w:tc>
        <w:tc>
          <w:tcPr>
            <w:gridSpan w:val="11"/>
            <w:tcBorders>
              <w:top w:val="single" w:color="auto" w:sz="6" w:space="0"/>
              <w:left w:val="single" w:color="auto" w:sz="6" w:space="0"/>
              <w:bottom w:val="single" w:color="auto" w:sz="6" w:space="0"/>
              <w:right w:val="single" w:color="auto" w:sz="6" w:space="0"/>
            </w:tcBorders>
            <w:tcW w:w="8294" w:type="dxa"/>
            <w:vAlign w:val="center"/>
            <w:textDirection w:val="lrTb"/>
            <w:noWrap w:val="false"/>
          </w:tcPr>
          <w:p>
            <w:pPr>
              <w:jc w:val="center"/>
              <w:spacing w:line="360" w:lineRule="auto"/>
              <w:widowControl/>
              <w:rPr>
                <w:szCs w:val="24"/>
                <w:lang w:eastAsia="ru-RU"/>
              </w:rPr>
            </w:pPr>
            <w:r>
              <w:rPr>
                <w:szCs w:val="24"/>
                <w:lang w:eastAsia="ru-RU"/>
              </w:rPr>
              <w:t xml:space="preserve">Температура теплоносителя, °C</w:t>
            </w:r>
            <w:r>
              <w:rPr>
                <w:szCs w:val="24"/>
                <w:lang w:eastAsia="ru-RU"/>
              </w:rPr>
            </w:r>
            <w:r>
              <w:rPr>
                <w:szCs w:val="24"/>
                <w:lang w:eastAsia="ru-RU"/>
              </w:rPr>
            </w:r>
          </w:p>
        </w:tc>
      </w:tr>
      <w:tr>
        <w:tblPrEx/>
        <w:trPr>
          <w:cantSplit/>
          <w:jc w:val="center"/>
          <w:trHeight w:val="240"/>
        </w:trPr>
        <w:tc>
          <w:tcPr>
            <w:tcBorders>
              <w:top w:val="none" w:color="000000" w:sz="4" w:space="0"/>
              <w:left w:val="single" w:color="auto" w:sz="6" w:space="0"/>
              <w:bottom w:val="none" w:color="000000" w:sz="4" w:space="0"/>
              <w:right w:val="single" w:color="auto" w:sz="6" w:space="0"/>
            </w:tcBorders>
            <w:tcW w:w="1328" w:type="dxa"/>
            <w:vAlign w:val="center"/>
            <w:vMerge w:val="continue"/>
            <w:textDirection w:val="lrTb"/>
            <w:noWrap w:val="false"/>
          </w:tcPr>
          <w:p>
            <w:pPr>
              <w:jc w:val="center"/>
              <w:spacing w:line="360" w:lineRule="auto"/>
              <w:widowControl/>
              <w:rPr>
                <w:szCs w:val="24"/>
                <w:lang w:eastAsia="ru-RU"/>
              </w:rPr>
            </w:pPr>
            <w:r>
              <w:rPr>
                <w:szCs w:val="24"/>
                <w:lang w:eastAsia="ru-RU"/>
              </w:rPr>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33" w:type="dxa"/>
            <w:vAlign w:val="center"/>
            <w:textDirection w:val="lrTb"/>
            <w:noWrap w:val="false"/>
          </w:tcPr>
          <w:p>
            <w:pPr>
              <w:jc w:val="center"/>
              <w:spacing w:line="360" w:lineRule="auto"/>
              <w:widowControl/>
              <w:rPr>
                <w:szCs w:val="24"/>
                <w:lang w:eastAsia="ru-RU"/>
              </w:rPr>
            </w:pPr>
            <w:r>
              <w:rPr>
                <w:szCs w:val="24"/>
                <w:lang w:eastAsia="ru-RU"/>
              </w:rPr>
              <w:t xml:space="preserve">50</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33" w:type="dxa"/>
            <w:vAlign w:val="center"/>
            <w:textDirection w:val="lrTb"/>
            <w:noWrap w:val="false"/>
          </w:tcPr>
          <w:p>
            <w:pPr>
              <w:jc w:val="center"/>
              <w:spacing w:line="360" w:lineRule="auto"/>
              <w:widowControl/>
              <w:rPr>
                <w:szCs w:val="24"/>
                <w:lang w:eastAsia="ru-RU"/>
              </w:rPr>
            </w:pPr>
            <w:r>
              <w:rPr>
                <w:szCs w:val="24"/>
                <w:lang w:eastAsia="ru-RU"/>
              </w:rPr>
              <w:t xml:space="preserve">75</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33" w:type="dxa"/>
            <w:vAlign w:val="center"/>
            <w:textDirection w:val="lrTb"/>
            <w:noWrap w:val="false"/>
          </w:tcPr>
          <w:p>
            <w:pPr>
              <w:jc w:val="center"/>
              <w:spacing w:line="360" w:lineRule="auto"/>
              <w:widowControl/>
              <w:rPr>
                <w:szCs w:val="24"/>
                <w:lang w:eastAsia="ru-RU"/>
              </w:rPr>
            </w:pPr>
            <w:r>
              <w:rPr>
                <w:szCs w:val="24"/>
                <w:lang w:eastAsia="ru-RU"/>
              </w:rPr>
              <w:t xml:space="preserve">100</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33" w:type="dxa"/>
            <w:vAlign w:val="center"/>
            <w:textDirection w:val="lrTb"/>
            <w:noWrap w:val="false"/>
          </w:tcPr>
          <w:p>
            <w:pPr>
              <w:jc w:val="center"/>
              <w:spacing w:line="360" w:lineRule="auto"/>
              <w:widowControl/>
              <w:rPr>
                <w:szCs w:val="24"/>
                <w:lang w:eastAsia="ru-RU"/>
              </w:rPr>
            </w:pPr>
            <w:r>
              <w:rPr>
                <w:szCs w:val="24"/>
                <w:lang w:eastAsia="ru-RU"/>
              </w:rPr>
              <w:t xml:space="preserve">125</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32" w:type="dxa"/>
            <w:vAlign w:val="center"/>
            <w:textDirection w:val="lrTb"/>
            <w:noWrap w:val="false"/>
          </w:tcPr>
          <w:p>
            <w:pPr>
              <w:jc w:val="center"/>
              <w:spacing w:line="360" w:lineRule="auto"/>
              <w:widowControl/>
              <w:rPr>
                <w:szCs w:val="24"/>
                <w:lang w:eastAsia="ru-RU"/>
              </w:rPr>
            </w:pPr>
            <w:r>
              <w:rPr>
                <w:szCs w:val="24"/>
                <w:lang w:eastAsia="ru-RU"/>
              </w:rPr>
              <w:t xml:space="preserve">150</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851" w:type="dxa"/>
            <w:vAlign w:val="center"/>
            <w:textDirection w:val="lrTb"/>
            <w:noWrap w:val="false"/>
          </w:tcPr>
          <w:p>
            <w:pPr>
              <w:jc w:val="center"/>
              <w:spacing w:line="360" w:lineRule="auto"/>
              <w:widowControl/>
              <w:rPr>
                <w:szCs w:val="24"/>
                <w:lang w:eastAsia="ru-RU"/>
              </w:rPr>
            </w:pPr>
            <w:r>
              <w:rPr>
                <w:szCs w:val="24"/>
                <w:lang w:eastAsia="ru-RU"/>
              </w:rPr>
              <w:t xml:space="preserve">200</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32" w:type="dxa"/>
            <w:vAlign w:val="center"/>
            <w:textDirection w:val="lrTb"/>
            <w:noWrap w:val="false"/>
          </w:tcPr>
          <w:p>
            <w:pPr>
              <w:jc w:val="center"/>
              <w:spacing w:line="360" w:lineRule="auto"/>
              <w:widowControl/>
              <w:rPr>
                <w:szCs w:val="24"/>
                <w:lang w:eastAsia="ru-RU"/>
              </w:rPr>
            </w:pPr>
            <w:r>
              <w:rPr>
                <w:szCs w:val="24"/>
                <w:lang w:eastAsia="ru-RU"/>
              </w:rPr>
              <w:t xml:space="preserve">250</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32" w:type="dxa"/>
            <w:vAlign w:val="center"/>
            <w:textDirection w:val="lrTb"/>
            <w:noWrap w:val="false"/>
          </w:tcPr>
          <w:p>
            <w:pPr>
              <w:jc w:val="center"/>
              <w:spacing w:line="360" w:lineRule="auto"/>
              <w:widowControl/>
              <w:rPr>
                <w:szCs w:val="24"/>
                <w:lang w:eastAsia="ru-RU"/>
              </w:rPr>
            </w:pPr>
            <w:r>
              <w:rPr>
                <w:szCs w:val="24"/>
                <w:lang w:eastAsia="ru-RU"/>
              </w:rPr>
              <w:t xml:space="preserve">300</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851" w:type="dxa"/>
            <w:vAlign w:val="center"/>
            <w:textDirection w:val="lrTb"/>
            <w:noWrap w:val="false"/>
          </w:tcPr>
          <w:p>
            <w:pPr>
              <w:jc w:val="center"/>
              <w:spacing w:line="360" w:lineRule="auto"/>
              <w:widowControl/>
              <w:rPr>
                <w:szCs w:val="24"/>
                <w:lang w:eastAsia="ru-RU"/>
              </w:rPr>
            </w:pPr>
            <w:r>
              <w:rPr>
                <w:szCs w:val="24"/>
                <w:lang w:eastAsia="ru-RU"/>
              </w:rPr>
              <w:t xml:space="preserve">350</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32" w:type="dxa"/>
            <w:vAlign w:val="center"/>
            <w:textDirection w:val="lrTb"/>
            <w:noWrap w:val="false"/>
          </w:tcPr>
          <w:p>
            <w:pPr>
              <w:jc w:val="center"/>
              <w:spacing w:line="360" w:lineRule="auto"/>
              <w:widowControl/>
              <w:rPr>
                <w:szCs w:val="24"/>
                <w:lang w:eastAsia="ru-RU"/>
              </w:rPr>
            </w:pPr>
            <w:r>
              <w:rPr>
                <w:szCs w:val="24"/>
                <w:lang w:eastAsia="ru-RU"/>
              </w:rPr>
              <w:t xml:space="preserve">400</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32" w:type="dxa"/>
            <w:vAlign w:val="center"/>
            <w:textDirection w:val="lrTb"/>
            <w:noWrap w:val="false"/>
          </w:tcPr>
          <w:p>
            <w:pPr>
              <w:jc w:val="center"/>
              <w:spacing w:line="360" w:lineRule="auto"/>
              <w:widowControl/>
              <w:rPr>
                <w:szCs w:val="24"/>
                <w:lang w:eastAsia="ru-RU"/>
              </w:rPr>
            </w:pPr>
            <w:r>
              <w:rPr>
                <w:szCs w:val="24"/>
                <w:lang w:eastAsia="ru-RU"/>
              </w:rPr>
              <w:t xml:space="preserve">450</w:t>
            </w:r>
            <w:r>
              <w:rPr>
                <w:szCs w:val="24"/>
                <w:lang w:eastAsia="ru-RU"/>
              </w:rPr>
            </w:r>
            <w:r>
              <w:rPr>
                <w:szCs w:val="24"/>
                <w:lang w:eastAsia="ru-RU"/>
              </w:rPr>
            </w:r>
          </w:p>
        </w:tc>
      </w:tr>
      <w:tr>
        <w:tblPrEx/>
        <w:trPr>
          <w:cantSplit/>
          <w:jc w:val="center"/>
          <w:trHeight w:val="240"/>
        </w:trPr>
        <w:tc>
          <w:tcPr>
            <w:tcBorders>
              <w:top w:val="none" w:color="000000" w:sz="4" w:space="0"/>
              <w:left w:val="single" w:color="auto" w:sz="6" w:space="0"/>
              <w:bottom w:val="single" w:color="auto" w:sz="6" w:space="0"/>
              <w:right w:val="single" w:color="auto" w:sz="6" w:space="0"/>
            </w:tcBorders>
            <w:tcW w:w="1328" w:type="dxa"/>
            <w:vAlign w:val="center"/>
            <w:vMerge w:val="continue"/>
            <w:textDirection w:val="lrTb"/>
            <w:noWrap w:val="false"/>
          </w:tcPr>
          <w:p>
            <w:pPr>
              <w:jc w:val="center"/>
              <w:spacing w:line="360" w:lineRule="auto"/>
              <w:widowControl/>
              <w:rPr>
                <w:szCs w:val="24"/>
                <w:lang w:eastAsia="ru-RU"/>
              </w:rPr>
            </w:pPr>
            <w:r>
              <w:rPr>
                <w:szCs w:val="24"/>
                <w:lang w:eastAsia="ru-RU"/>
              </w:rPr>
            </w:r>
            <w:r>
              <w:rPr>
                <w:szCs w:val="24"/>
                <w:lang w:eastAsia="ru-RU"/>
              </w:rPr>
            </w:r>
            <w:r>
              <w:rPr>
                <w:szCs w:val="24"/>
                <w:lang w:eastAsia="ru-RU"/>
              </w:rPr>
            </w:r>
          </w:p>
        </w:tc>
        <w:tc>
          <w:tcPr>
            <w:gridSpan w:val="11"/>
            <w:tcBorders>
              <w:top w:val="single" w:color="auto" w:sz="6" w:space="0"/>
              <w:left w:val="single" w:color="auto" w:sz="6" w:space="0"/>
              <w:bottom w:val="single" w:color="auto" w:sz="6" w:space="0"/>
              <w:right w:val="single" w:color="auto" w:sz="6" w:space="0"/>
            </w:tcBorders>
            <w:tcW w:w="8294" w:type="dxa"/>
            <w:vAlign w:val="center"/>
            <w:textDirection w:val="lrTb"/>
            <w:noWrap w:val="false"/>
          </w:tcPr>
          <w:p>
            <w:pPr>
              <w:jc w:val="center"/>
              <w:spacing w:line="360" w:lineRule="auto"/>
              <w:widowControl/>
              <w:rPr>
                <w:szCs w:val="24"/>
                <w:lang w:eastAsia="ru-RU"/>
              </w:rPr>
            </w:pPr>
            <w:r>
              <w:rPr>
                <w:szCs w:val="24"/>
                <w:lang w:eastAsia="ru-RU"/>
              </w:rPr>
              <w:t xml:space="preserve">Тепловые потери, ккал/ч</w:t>
            </w:r>
            <w:r>
              <w:rPr>
                <w:szCs w:val="24"/>
                <w:lang w:eastAsia="ru-RU"/>
              </w:rPr>
            </w:r>
            <w:r>
              <w:rPr>
                <w:szCs w:val="24"/>
                <w:lang w:eastAsia="ru-RU"/>
              </w:rPr>
            </w:r>
          </w:p>
        </w:tc>
      </w:tr>
      <w:tr>
        <w:tblPrEx/>
        <w:trPr>
          <w:cantSplit/>
          <w:jc w:val="center"/>
          <w:trHeight w:val="2760"/>
        </w:trPr>
        <w:tc>
          <w:tcPr>
            <w:tcBorders>
              <w:top w:val="single" w:color="auto" w:sz="6" w:space="0"/>
              <w:left w:val="single" w:color="auto" w:sz="6" w:space="0"/>
              <w:bottom w:val="single" w:color="auto" w:sz="6" w:space="0"/>
              <w:right w:val="single" w:color="auto" w:sz="6" w:space="0"/>
            </w:tcBorders>
            <w:tcW w:w="1328" w:type="dxa"/>
            <w:vAlign w:val="center"/>
            <w:textDirection w:val="lrTb"/>
            <w:noWrap w:val="false"/>
          </w:tcPr>
          <w:p>
            <w:pPr>
              <w:jc w:val="center"/>
              <w:spacing w:line="360" w:lineRule="auto"/>
              <w:widowControl/>
              <w:rPr>
                <w:szCs w:val="24"/>
                <w:lang w:eastAsia="ru-RU"/>
              </w:rPr>
            </w:pPr>
            <w:r>
              <w:rPr>
                <w:szCs w:val="24"/>
                <w:lang w:eastAsia="ru-RU"/>
              </w:rPr>
              <w:t xml:space="preserve">25    </w:t>
            </w:r>
            <w:r>
              <w:rPr>
                <w:szCs w:val="24"/>
                <w:lang w:eastAsia="ru-RU"/>
              </w:rPr>
              <w:br/>
              <w:t xml:space="preserve">40    </w:t>
            </w:r>
            <w:r>
              <w:rPr>
                <w:szCs w:val="24"/>
                <w:lang w:eastAsia="ru-RU"/>
              </w:rPr>
              <w:br/>
              <w:t xml:space="preserve">50    </w:t>
            </w:r>
            <w:r>
              <w:rPr>
                <w:szCs w:val="24"/>
                <w:lang w:eastAsia="ru-RU"/>
              </w:rPr>
              <w:br/>
              <w:t xml:space="preserve">65    </w:t>
            </w:r>
            <w:r>
              <w:rPr>
                <w:szCs w:val="24"/>
                <w:lang w:eastAsia="ru-RU"/>
              </w:rPr>
              <w:br/>
              <w:t xml:space="preserve">80    </w:t>
            </w:r>
            <w:r>
              <w:rPr>
                <w:szCs w:val="24"/>
                <w:lang w:eastAsia="ru-RU"/>
              </w:rPr>
              <w:br/>
              <w:t xml:space="preserve">100    </w:t>
            </w:r>
            <w:r>
              <w:rPr>
                <w:szCs w:val="24"/>
                <w:lang w:eastAsia="ru-RU"/>
              </w:rPr>
              <w:br/>
              <w:t xml:space="preserve">125    </w:t>
            </w:r>
            <w:r>
              <w:rPr>
                <w:szCs w:val="24"/>
                <w:lang w:eastAsia="ru-RU"/>
              </w:rPr>
              <w:br/>
              <w:t xml:space="preserve">150    </w:t>
            </w:r>
            <w:r>
              <w:rPr>
                <w:szCs w:val="24"/>
                <w:lang w:eastAsia="ru-RU"/>
              </w:rPr>
              <w:br/>
              <w:t xml:space="preserve">175    </w:t>
            </w:r>
            <w:r>
              <w:rPr>
                <w:szCs w:val="24"/>
                <w:lang w:eastAsia="ru-RU"/>
              </w:rPr>
              <w:br/>
              <w:t xml:space="preserve">200    </w:t>
            </w:r>
            <w:r>
              <w:rPr>
                <w:szCs w:val="24"/>
                <w:lang w:eastAsia="ru-RU"/>
              </w:rPr>
              <w:br/>
              <w:t xml:space="preserve">250    </w:t>
            </w:r>
            <w:r>
              <w:rPr>
                <w:szCs w:val="24"/>
                <w:lang w:eastAsia="ru-RU"/>
              </w:rPr>
              <w:br/>
              <w:t xml:space="preserve">300    </w:t>
            </w:r>
            <w:r>
              <w:rPr>
                <w:szCs w:val="24"/>
                <w:lang w:eastAsia="ru-RU"/>
              </w:rPr>
              <w:br/>
              <w:t xml:space="preserve">350    </w:t>
            </w:r>
            <w:r>
              <w:rPr>
                <w:szCs w:val="24"/>
                <w:lang w:eastAsia="ru-RU"/>
              </w:rPr>
              <w:br/>
              <w:t xml:space="preserve">400    </w:t>
            </w:r>
            <w:r>
              <w:rPr>
                <w:szCs w:val="24"/>
                <w:lang w:eastAsia="ru-RU"/>
              </w:rPr>
              <w:br/>
              <w:t xml:space="preserve">450    </w:t>
            </w:r>
            <w:r>
              <w:rPr>
                <w:szCs w:val="24"/>
                <w:lang w:eastAsia="ru-RU"/>
              </w:rPr>
              <w:br/>
              <w:t xml:space="preserve">500    </w:t>
            </w:r>
            <w:r>
              <w:rPr>
                <w:szCs w:val="24"/>
                <w:lang w:eastAsia="ru-RU"/>
              </w:rPr>
              <w:br/>
              <w:t xml:space="preserve">600    </w:t>
            </w:r>
            <w:r>
              <w:rPr>
                <w:szCs w:val="24"/>
                <w:lang w:eastAsia="ru-RU"/>
              </w:rPr>
              <w:br/>
              <w:t xml:space="preserve">700    </w:t>
            </w:r>
            <w:r>
              <w:rPr>
                <w:szCs w:val="24"/>
                <w:lang w:eastAsia="ru-RU"/>
              </w:rPr>
              <w:br/>
              <w:t xml:space="preserve">800</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33" w:type="dxa"/>
            <w:vAlign w:val="center"/>
            <w:textDirection w:val="lrTb"/>
            <w:noWrap w:val="false"/>
          </w:tcPr>
          <w:p>
            <w:pPr>
              <w:jc w:val="center"/>
              <w:spacing w:line="360" w:lineRule="auto"/>
              <w:widowControl/>
              <w:rPr>
                <w:szCs w:val="24"/>
                <w:lang w:eastAsia="ru-RU"/>
              </w:rPr>
            </w:pPr>
            <w:r>
              <w:rPr>
                <w:szCs w:val="24"/>
                <w:lang w:eastAsia="ru-RU"/>
              </w:rPr>
              <w:t xml:space="preserve">12  </w:t>
            </w:r>
            <w:r>
              <w:rPr>
                <w:szCs w:val="24"/>
                <w:lang w:eastAsia="ru-RU"/>
              </w:rPr>
              <w:br/>
              <w:t xml:space="preserve">13  </w:t>
            </w:r>
            <w:r>
              <w:rPr>
                <w:szCs w:val="24"/>
                <w:lang w:eastAsia="ru-RU"/>
              </w:rPr>
              <w:br/>
              <w:t xml:space="preserve">14  </w:t>
            </w:r>
            <w:r>
              <w:rPr>
                <w:szCs w:val="24"/>
                <w:lang w:eastAsia="ru-RU"/>
              </w:rPr>
              <w:br/>
              <w:t xml:space="preserve">15  </w:t>
            </w:r>
            <w:r>
              <w:rPr>
                <w:szCs w:val="24"/>
                <w:lang w:eastAsia="ru-RU"/>
              </w:rPr>
              <w:br/>
              <w:t xml:space="preserve">16  </w:t>
            </w:r>
            <w:r>
              <w:rPr>
                <w:szCs w:val="24"/>
                <w:lang w:eastAsia="ru-RU"/>
              </w:rPr>
              <w:br/>
              <w:t xml:space="preserve">22  </w:t>
            </w:r>
            <w:r>
              <w:rPr>
                <w:szCs w:val="24"/>
                <w:lang w:eastAsia="ru-RU"/>
              </w:rPr>
              <w:br/>
              <w:t xml:space="preserve">27  </w:t>
            </w:r>
            <w:r>
              <w:rPr>
                <w:szCs w:val="24"/>
                <w:lang w:eastAsia="ru-RU"/>
              </w:rPr>
              <w:br/>
              <w:t xml:space="preserve">31  </w:t>
            </w:r>
            <w:r>
              <w:rPr>
                <w:szCs w:val="24"/>
                <w:lang w:eastAsia="ru-RU"/>
              </w:rPr>
              <w:br/>
              <w:t xml:space="preserve">35  </w:t>
            </w:r>
            <w:r>
              <w:rPr>
                <w:szCs w:val="24"/>
                <w:lang w:eastAsia="ru-RU"/>
              </w:rPr>
              <w:br/>
              <w:t xml:space="preserve">38  </w:t>
            </w:r>
            <w:r>
              <w:rPr>
                <w:szCs w:val="24"/>
                <w:lang w:eastAsia="ru-RU"/>
              </w:rPr>
              <w:br/>
              <w:t xml:space="preserve">42  </w:t>
            </w:r>
            <w:r>
              <w:rPr>
                <w:szCs w:val="24"/>
                <w:lang w:eastAsia="ru-RU"/>
              </w:rPr>
              <w:br/>
              <w:t xml:space="preserve">45  </w:t>
            </w:r>
            <w:r>
              <w:rPr>
                <w:szCs w:val="24"/>
                <w:lang w:eastAsia="ru-RU"/>
              </w:rPr>
              <w:br/>
              <w:t xml:space="preserve">50  </w:t>
            </w:r>
            <w:r>
              <w:rPr>
                <w:szCs w:val="24"/>
                <w:lang w:eastAsia="ru-RU"/>
              </w:rPr>
              <w:br/>
              <w:t xml:space="preserve">53  </w:t>
            </w:r>
            <w:r>
              <w:rPr>
                <w:szCs w:val="24"/>
                <w:lang w:eastAsia="ru-RU"/>
              </w:rPr>
              <w:br/>
              <w:t xml:space="preserve">60  </w:t>
            </w:r>
            <w:r>
              <w:rPr>
                <w:szCs w:val="24"/>
                <w:lang w:eastAsia="ru-RU"/>
              </w:rPr>
              <w:br/>
              <w:t xml:space="preserve">66  </w:t>
            </w:r>
            <w:r>
              <w:rPr>
                <w:szCs w:val="24"/>
                <w:lang w:eastAsia="ru-RU"/>
              </w:rPr>
              <w:br/>
              <w:t xml:space="preserve">82  </w:t>
            </w:r>
            <w:r>
              <w:rPr>
                <w:szCs w:val="24"/>
                <w:lang w:eastAsia="ru-RU"/>
              </w:rPr>
              <w:br/>
              <w:t xml:space="preserve">95  </w:t>
            </w:r>
            <w:r>
              <w:rPr>
                <w:szCs w:val="24"/>
                <w:lang w:eastAsia="ru-RU"/>
              </w:rPr>
              <w:br/>
              <w:t xml:space="preserve">110 </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33" w:type="dxa"/>
            <w:vAlign w:val="center"/>
            <w:textDirection w:val="lrTb"/>
            <w:noWrap w:val="false"/>
          </w:tcPr>
          <w:p>
            <w:pPr>
              <w:jc w:val="center"/>
              <w:spacing w:line="360" w:lineRule="auto"/>
              <w:widowControl/>
              <w:rPr>
                <w:szCs w:val="24"/>
                <w:lang w:eastAsia="ru-RU"/>
              </w:rPr>
            </w:pPr>
            <w:r>
              <w:rPr>
                <w:szCs w:val="24"/>
                <w:lang w:eastAsia="ru-RU"/>
              </w:rPr>
              <w:t xml:space="preserve">20  </w:t>
            </w:r>
            <w:r>
              <w:rPr>
                <w:szCs w:val="24"/>
                <w:lang w:eastAsia="ru-RU"/>
              </w:rPr>
              <w:br/>
              <w:t xml:space="preserve">22  </w:t>
            </w:r>
            <w:r>
              <w:rPr>
                <w:szCs w:val="24"/>
                <w:lang w:eastAsia="ru-RU"/>
              </w:rPr>
              <w:br/>
              <w:t xml:space="preserve">23  </w:t>
            </w:r>
            <w:r>
              <w:rPr>
                <w:szCs w:val="24"/>
                <w:lang w:eastAsia="ru-RU"/>
              </w:rPr>
              <w:br/>
              <w:t xml:space="preserve">26  </w:t>
            </w:r>
            <w:r>
              <w:rPr>
                <w:szCs w:val="24"/>
                <w:lang w:eastAsia="ru-RU"/>
              </w:rPr>
              <w:br/>
              <w:t xml:space="preserve">27  </w:t>
            </w:r>
            <w:r>
              <w:rPr>
                <w:szCs w:val="24"/>
                <w:lang w:eastAsia="ru-RU"/>
              </w:rPr>
              <w:br/>
              <w:t xml:space="preserve">34  </w:t>
            </w:r>
            <w:r>
              <w:rPr>
                <w:szCs w:val="24"/>
                <w:lang w:eastAsia="ru-RU"/>
              </w:rPr>
              <w:br/>
              <w:t xml:space="preserve">40  </w:t>
            </w:r>
            <w:r>
              <w:rPr>
                <w:szCs w:val="24"/>
                <w:lang w:eastAsia="ru-RU"/>
              </w:rPr>
              <w:br/>
              <w:t xml:space="preserve">45  </w:t>
            </w:r>
            <w:r>
              <w:rPr>
                <w:szCs w:val="24"/>
                <w:lang w:eastAsia="ru-RU"/>
              </w:rPr>
              <w:br/>
              <w:t xml:space="preserve">50  </w:t>
            </w:r>
            <w:r>
              <w:rPr>
                <w:szCs w:val="24"/>
                <w:lang w:eastAsia="ru-RU"/>
              </w:rPr>
              <w:br/>
              <w:t xml:space="preserve">52  </w:t>
            </w:r>
            <w:r>
              <w:rPr>
                <w:szCs w:val="24"/>
                <w:lang w:eastAsia="ru-RU"/>
              </w:rPr>
              <w:br/>
              <w:t xml:space="preserve">59  </w:t>
            </w:r>
            <w:r>
              <w:rPr>
                <w:szCs w:val="24"/>
                <w:lang w:eastAsia="ru-RU"/>
              </w:rPr>
              <w:br/>
              <w:t xml:space="preserve">65  </w:t>
            </w:r>
            <w:r>
              <w:rPr>
                <w:szCs w:val="24"/>
                <w:lang w:eastAsia="ru-RU"/>
              </w:rPr>
              <w:br/>
              <w:t xml:space="preserve">70  </w:t>
            </w:r>
            <w:r>
              <w:rPr>
                <w:szCs w:val="24"/>
                <w:lang w:eastAsia="ru-RU"/>
              </w:rPr>
              <w:br/>
              <w:t xml:space="preserve">75  </w:t>
            </w:r>
            <w:r>
              <w:rPr>
                <w:szCs w:val="24"/>
                <w:lang w:eastAsia="ru-RU"/>
              </w:rPr>
              <w:br/>
              <w:t xml:space="preserve">83  </w:t>
            </w:r>
            <w:r>
              <w:rPr>
                <w:szCs w:val="24"/>
                <w:lang w:eastAsia="ru-RU"/>
              </w:rPr>
              <w:br/>
              <w:t xml:space="preserve">90  </w:t>
            </w:r>
            <w:r>
              <w:rPr>
                <w:szCs w:val="24"/>
                <w:lang w:eastAsia="ru-RU"/>
              </w:rPr>
              <w:br/>
              <w:t xml:space="preserve">110 </w:t>
            </w:r>
            <w:r>
              <w:rPr>
                <w:szCs w:val="24"/>
                <w:lang w:eastAsia="ru-RU"/>
              </w:rPr>
              <w:br/>
              <w:t xml:space="preserve">125 </w:t>
            </w:r>
            <w:r>
              <w:rPr>
                <w:szCs w:val="24"/>
                <w:lang w:eastAsia="ru-RU"/>
              </w:rPr>
              <w:br/>
              <w:t xml:space="preserve">145 </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33" w:type="dxa"/>
            <w:vAlign w:val="center"/>
            <w:textDirection w:val="lrTb"/>
            <w:noWrap w:val="false"/>
          </w:tcPr>
          <w:p>
            <w:pPr>
              <w:jc w:val="center"/>
              <w:spacing w:line="360" w:lineRule="auto"/>
              <w:widowControl/>
              <w:rPr>
                <w:szCs w:val="24"/>
                <w:lang w:eastAsia="ru-RU"/>
              </w:rPr>
            </w:pPr>
            <w:r>
              <w:rPr>
                <w:szCs w:val="24"/>
                <w:lang w:eastAsia="ru-RU"/>
              </w:rPr>
              <w:t xml:space="preserve">28  </w:t>
            </w:r>
            <w:r>
              <w:rPr>
                <w:szCs w:val="24"/>
                <w:lang w:eastAsia="ru-RU"/>
              </w:rPr>
              <w:br/>
              <w:t xml:space="preserve">31  </w:t>
            </w:r>
            <w:r>
              <w:rPr>
                <w:szCs w:val="24"/>
                <w:lang w:eastAsia="ru-RU"/>
              </w:rPr>
              <w:br/>
              <w:t xml:space="preserve">32  </w:t>
            </w:r>
            <w:r>
              <w:rPr>
                <w:szCs w:val="24"/>
                <w:lang w:eastAsia="ru-RU"/>
              </w:rPr>
              <w:br/>
              <w:t xml:space="preserve">37  </w:t>
            </w:r>
            <w:r>
              <w:rPr>
                <w:szCs w:val="24"/>
                <w:lang w:eastAsia="ru-RU"/>
              </w:rPr>
              <w:br/>
              <w:t xml:space="preserve">39  </w:t>
            </w:r>
            <w:r>
              <w:rPr>
                <w:szCs w:val="24"/>
                <w:lang w:eastAsia="ru-RU"/>
              </w:rPr>
              <w:br/>
              <w:t xml:space="preserve">45  </w:t>
            </w:r>
            <w:r>
              <w:rPr>
                <w:szCs w:val="24"/>
                <w:lang w:eastAsia="ru-RU"/>
              </w:rPr>
              <w:br/>
              <w:t xml:space="preserve">53  </w:t>
            </w:r>
            <w:r>
              <w:rPr>
                <w:szCs w:val="24"/>
                <w:lang w:eastAsia="ru-RU"/>
              </w:rPr>
              <w:br/>
              <w:t xml:space="preserve">60  </w:t>
            </w:r>
            <w:r>
              <w:rPr>
                <w:szCs w:val="24"/>
                <w:lang w:eastAsia="ru-RU"/>
              </w:rPr>
              <w:br/>
              <w:t xml:space="preserve">66  </w:t>
            </w:r>
            <w:r>
              <w:rPr>
                <w:szCs w:val="24"/>
                <w:lang w:eastAsia="ru-RU"/>
              </w:rPr>
              <w:br/>
              <w:t xml:space="preserve">70  </w:t>
            </w:r>
            <w:r>
              <w:rPr>
                <w:szCs w:val="24"/>
                <w:lang w:eastAsia="ru-RU"/>
              </w:rPr>
              <w:br/>
              <w:t xml:space="preserve">78  </w:t>
            </w:r>
            <w:r>
              <w:rPr>
                <w:szCs w:val="24"/>
                <w:lang w:eastAsia="ru-RU"/>
              </w:rPr>
              <w:br/>
              <w:t xml:space="preserve">85  </w:t>
            </w:r>
            <w:r>
              <w:rPr>
                <w:szCs w:val="24"/>
                <w:lang w:eastAsia="ru-RU"/>
              </w:rPr>
              <w:br/>
              <w:t xml:space="preserve">92  </w:t>
            </w:r>
            <w:r>
              <w:rPr>
                <w:szCs w:val="24"/>
                <w:lang w:eastAsia="ru-RU"/>
              </w:rPr>
              <w:br/>
              <w:t xml:space="preserve">98  </w:t>
            </w:r>
            <w:r>
              <w:rPr>
                <w:szCs w:val="24"/>
                <w:lang w:eastAsia="ru-RU"/>
              </w:rPr>
              <w:br/>
              <w:t xml:space="preserve">109 </w:t>
            </w:r>
            <w:r>
              <w:rPr>
                <w:szCs w:val="24"/>
                <w:lang w:eastAsia="ru-RU"/>
              </w:rPr>
              <w:br/>
              <w:t xml:space="preserve">120 </w:t>
            </w:r>
            <w:r>
              <w:rPr>
                <w:szCs w:val="24"/>
                <w:lang w:eastAsia="ru-RU"/>
              </w:rPr>
              <w:br/>
              <w:t xml:space="preserve">140 </w:t>
            </w:r>
            <w:r>
              <w:rPr>
                <w:szCs w:val="24"/>
                <w:lang w:eastAsia="ru-RU"/>
              </w:rPr>
              <w:br/>
              <w:t xml:space="preserve">160 </w:t>
            </w:r>
            <w:r>
              <w:rPr>
                <w:szCs w:val="24"/>
                <w:lang w:eastAsia="ru-RU"/>
              </w:rPr>
              <w:br/>
              <w:t xml:space="preserve">180 </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33" w:type="dxa"/>
            <w:vAlign w:val="center"/>
            <w:textDirection w:val="lrTb"/>
            <w:noWrap w:val="false"/>
          </w:tcPr>
          <w:p>
            <w:pPr>
              <w:jc w:val="center"/>
              <w:spacing w:line="360" w:lineRule="auto"/>
              <w:widowControl/>
              <w:rPr>
                <w:szCs w:val="24"/>
                <w:lang w:eastAsia="ru-RU"/>
              </w:rPr>
            </w:pPr>
            <w:r>
              <w:rPr>
                <w:szCs w:val="24"/>
                <w:lang w:eastAsia="ru-RU"/>
              </w:rPr>
              <w:t xml:space="preserve">35  </w:t>
            </w:r>
            <w:r>
              <w:rPr>
                <w:szCs w:val="24"/>
                <w:lang w:eastAsia="ru-RU"/>
              </w:rPr>
              <w:br/>
              <w:t xml:space="preserve">40  </w:t>
            </w:r>
            <w:r>
              <w:rPr>
                <w:szCs w:val="24"/>
                <w:lang w:eastAsia="ru-RU"/>
              </w:rPr>
              <w:br/>
              <w:t xml:space="preserve">43  </w:t>
            </w:r>
            <w:r>
              <w:rPr>
                <w:szCs w:val="24"/>
                <w:lang w:eastAsia="ru-RU"/>
              </w:rPr>
              <w:br/>
              <w:t xml:space="preserve">49  </w:t>
            </w:r>
            <w:r>
              <w:rPr>
                <w:szCs w:val="24"/>
                <w:lang w:eastAsia="ru-RU"/>
              </w:rPr>
              <w:br/>
              <w:t xml:space="preserve">52  </w:t>
            </w:r>
            <w:r>
              <w:rPr>
                <w:szCs w:val="24"/>
                <w:lang w:eastAsia="ru-RU"/>
              </w:rPr>
              <w:br/>
              <w:t xml:space="preserve">57  </w:t>
            </w:r>
            <w:r>
              <w:rPr>
                <w:szCs w:val="24"/>
                <w:lang w:eastAsia="ru-RU"/>
              </w:rPr>
              <w:br/>
              <w:t xml:space="preserve">65  </w:t>
            </w:r>
            <w:r>
              <w:rPr>
                <w:szCs w:val="24"/>
                <w:lang w:eastAsia="ru-RU"/>
              </w:rPr>
              <w:br/>
              <w:t xml:space="preserve">72  </w:t>
            </w:r>
            <w:r>
              <w:rPr>
                <w:szCs w:val="24"/>
                <w:lang w:eastAsia="ru-RU"/>
              </w:rPr>
              <w:br/>
              <w:t xml:space="preserve">80  </w:t>
            </w:r>
            <w:r>
              <w:rPr>
                <w:szCs w:val="24"/>
                <w:lang w:eastAsia="ru-RU"/>
              </w:rPr>
              <w:br/>
              <w:t xml:space="preserve">85  </w:t>
            </w:r>
            <w:r>
              <w:rPr>
                <w:szCs w:val="24"/>
                <w:lang w:eastAsia="ru-RU"/>
              </w:rPr>
              <w:br/>
              <w:t xml:space="preserve">95  </w:t>
            </w:r>
            <w:r>
              <w:rPr>
                <w:szCs w:val="24"/>
                <w:lang w:eastAsia="ru-RU"/>
              </w:rPr>
              <w:br/>
              <w:t xml:space="preserve">104 </w:t>
            </w:r>
            <w:r>
              <w:rPr>
                <w:szCs w:val="24"/>
                <w:lang w:eastAsia="ru-RU"/>
              </w:rPr>
              <w:br/>
              <w:t xml:space="preserve">112 </w:t>
            </w:r>
            <w:r>
              <w:rPr>
                <w:szCs w:val="24"/>
                <w:lang w:eastAsia="ru-RU"/>
              </w:rPr>
              <w:br/>
              <w:t xml:space="preserve">120 </w:t>
            </w:r>
            <w:r>
              <w:rPr>
                <w:szCs w:val="24"/>
                <w:lang w:eastAsia="ru-RU"/>
              </w:rPr>
              <w:br/>
              <w:t xml:space="preserve">133 </w:t>
            </w:r>
            <w:r>
              <w:rPr>
                <w:szCs w:val="24"/>
                <w:lang w:eastAsia="ru-RU"/>
              </w:rPr>
              <w:br/>
              <w:t xml:space="preserve">145 </w:t>
            </w:r>
            <w:r>
              <w:rPr>
                <w:szCs w:val="24"/>
                <w:lang w:eastAsia="ru-RU"/>
              </w:rPr>
              <w:br/>
              <w:t xml:space="preserve">170 </w:t>
            </w:r>
            <w:r>
              <w:rPr>
                <w:szCs w:val="24"/>
                <w:lang w:eastAsia="ru-RU"/>
              </w:rPr>
              <w:br/>
              <w:t xml:space="preserve">190 </w:t>
            </w:r>
            <w:r>
              <w:rPr>
                <w:szCs w:val="24"/>
                <w:lang w:eastAsia="ru-RU"/>
              </w:rPr>
              <w:br/>
              <w:t xml:space="preserve">220 </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32" w:type="dxa"/>
            <w:vAlign w:val="center"/>
            <w:textDirection w:val="lrTb"/>
            <w:noWrap w:val="false"/>
          </w:tcPr>
          <w:p>
            <w:pPr>
              <w:jc w:val="center"/>
              <w:spacing w:line="360" w:lineRule="auto"/>
              <w:widowControl/>
              <w:rPr>
                <w:szCs w:val="24"/>
                <w:lang w:eastAsia="ru-RU"/>
              </w:rPr>
            </w:pPr>
            <w:r>
              <w:rPr>
                <w:szCs w:val="24"/>
                <w:lang w:eastAsia="ru-RU"/>
              </w:rPr>
              <w:t xml:space="preserve">43  </w:t>
            </w:r>
            <w:r>
              <w:rPr>
                <w:szCs w:val="24"/>
                <w:lang w:eastAsia="ru-RU"/>
              </w:rPr>
              <w:br/>
              <w:t xml:space="preserve">49  </w:t>
            </w:r>
            <w:r>
              <w:rPr>
                <w:szCs w:val="24"/>
                <w:lang w:eastAsia="ru-RU"/>
              </w:rPr>
              <w:br/>
              <w:t xml:space="preserve">53  </w:t>
            </w:r>
            <w:r>
              <w:rPr>
                <w:szCs w:val="24"/>
                <w:lang w:eastAsia="ru-RU"/>
              </w:rPr>
              <w:br/>
              <w:t xml:space="preserve">58  </w:t>
            </w:r>
            <w:r>
              <w:rPr>
                <w:szCs w:val="24"/>
                <w:lang w:eastAsia="ru-RU"/>
              </w:rPr>
              <w:br/>
              <w:t xml:space="preserve">62  </w:t>
            </w:r>
            <w:r>
              <w:rPr>
                <w:szCs w:val="24"/>
                <w:lang w:eastAsia="ru-RU"/>
              </w:rPr>
              <w:br/>
              <w:t xml:space="preserve">68  </w:t>
            </w:r>
            <w:r>
              <w:rPr>
                <w:szCs w:val="24"/>
                <w:lang w:eastAsia="ru-RU"/>
              </w:rPr>
              <w:br/>
              <w:t xml:space="preserve">76  </w:t>
            </w:r>
            <w:r>
              <w:rPr>
                <w:szCs w:val="24"/>
                <w:lang w:eastAsia="ru-RU"/>
              </w:rPr>
              <w:br/>
              <w:t xml:space="preserve">84  </w:t>
            </w:r>
            <w:r>
              <w:rPr>
                <w:szCs w:val="24"/>
                <w:lang w:eastAsia="ru-RU"/>
              </w:rPr>
              <w:br/>
              <w:t xml:space="preserve">93  </w:t>
            </w:r>
            <w:r>
              <w:rPr>
                <w:szCs w:val="24"/>
                <w:lang w:eastAsia="ru-RU"/>
              </w:rPr>
              <w:br/>
              <w:t xml:space="preserve">100 </w:t>
            </w:r>
            <w:r>
              <w:rPr>
                <w:szCs w:val="24"/>
                <w:lang w:eastAsia="ru-RU"/>
              </w:rPr>
              <w:br/>
              <w:t xml:space="preserve">111 </w:t>
            </w:r>
            <w:r>
              <w:rPr>
                <w:szCs w:val="24"/>
                <w:lang w:eastAsia="ru-RU"/>
              </w:rPr>
              <w:br/>
              <w:t xml:space="preserve">122 </w:t>
            </w:r>
            <w:r>
              <w:rPr>
                <w:szCs w:val="24"/>
                <w:lang w:eastAsia="ru-RU"/>
              </w:rPr>
              <w:br/>
              <w:t xml:space="preserve">131 </w:t>
            </w:r>
            <w:r>
              <w:rPr>
                <w:szCs w:val="24"/>
                <w:lang w:eastAsia="ru-RU"/>
              </w:rPr>
              <w:br/>
              <w:t xml:space="preserve">140 </w:t>
            </w:r>
            <w:r>
              <w:rPr>
                <w:szCs w:val="24"/>
                <w:lang w:eastAsia="ru-RU"/>
              </w:rPr>
              <w:br/>
              <w:t xml:space="preserve">155 </w:t>
            </w:r>
            <w:r>
              <w:rPr>
                <w:szCs w:val="24"/>
                <w:lang w:eastAsia="ru-RU"/>
              </w:rPr>
              <w:br/>
              <w:t xml:space="preserve">170 </w:t>
            </w:r>
            <w:r>
              <w:rPr>
                <w:szCs w:val="24"/>
                <w:lang w:eastAsia="ru-RU"/>
              </w:rPr>
              <w:br/>
              <w:t xml:space="preserve">195 </w:t>
            </w:r>
            <w:r>
              <w:rPr>
                <w:szCs w:val="24"/>
                <w:lang w:eastAsia="ru-RU"/>
              </w:rPr>
              <w:br/>
              <w:t xml:space="preserve">220 </w:t>
            </w:r>
            <w:r>
              <w:rPr>
                <w:szCs w:val="24"/>
                <w:lang w:eastAsia="ru-RU"/>
              </w:rPr>
              <w:br/>
              <w:t xml:space="preserve">250 </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851" w:type="dxa"/>
            <w:vAlign w:val="center"/>
            <w:textDirection w:val="lrTb"/>
            <w:noWrap w:val="false"/>
          </w:tcPr>
          <w:p>
            <w:pPr>
              <w:jc w:val="center"/>
              <w:spacing w:line="360" w:lineRule="auto"/>
              <w:widowControl/>
              <w:rPr>
                <w:szCs w:val="24"/>
                <w:lang w:eastAsia="ru-RU"/>
              </w:rPr>
            </w:pPr>
            <w:r>
              <w:rPr>
                <w:szCs w:val="24"/>
                <w:lang w:eastAsia="ru-RU"/>
              </w:rPr>
              <w:t xml:space="preserve">58  </w:t>
            </w:r>
            <w:r>
              <w:rPr>
                <w:szCs w:val="24"/>
                <w:lang w:eastAsia="ru-RU"/>
              </w:rPr>
              <w:br/>
              <w:t xml:space="preserve">65  </w:t>
            </w:r>
            <w:r>
              <w:rPr>
                <w:szCs w:val="24"/>
                <w:lang w:eastAsia="ru-RU"/>
              </w:rPr>
              <w:br/>
              <w:t xml:space="preserve">70  </w:t>
            </w:r>
            <w:r>
              <w:rPr>
                <w:szCs w:val="24"/>
                <w:lang w:eastAsia="ru-RU"/>
              </w:rPr>
              <w:br/>
              <w:t xml:space="preserve">78  </w:t>
            </w:r>
            <w:r>
              <w:rPr>
                <w:szCs w:val="24"/>
                <w:lang w:eastAsia="ru-RU"/>
              </w:rPr>
              <w:br/>
              <w:t xml:space="preserve">82  </w:t>
            </w:r>
            <w:r>
              <w:rPr>
                <w:szCs w:val="24"/>
                <w:lang w:eastAsia="ru-RU"/>
              </w:rPr>
              <w:br/>
              <w:t xml:space="preserve">90  </w:t>
            </w:r>
            <w:r>
              <w:rPr>
                <w:szCs w:val="24"/>
                <w:lang w:eastAsia="ru-RU"/>
              </w:rPr>
              <w:br/>
              <w:t xml:space="preserve">101  </w:t>
            </w:r>
            <w:r>
              <w:rPr>
                <w:szCs w:val="24"/>
                <w:lang w:eastAsia="ru-RU"/>
              </w:rPr>
              <w:br/>
              <w:t xml:space="preserve">112  </w:t>
            </w:r>
            <w:r>
              <w:rPr>
                <w:szCs w:val="24"/>
                <w:lang w:eastAsia="ru-RU"/>
              </w:rPr>
              <w:br/>
              <w:t xml:space="preserve">124  </w:t>
            </w:r>
            <w:r>
              <w:rPr>
                <w:szCs w:val="24"/>
                <w:lang w:eastAsia="ru-RU"/>
              </w:rPr>
              <w:br/>
              <w:t xml:space="preserve">132  </w:t>
            </w:r>
            <w:r>
              <w:rPr>
                <w:szCs w:val="24"/>
                <w:lang w:eastAsia="ru-RU"/>
              </w:rPr>
              <w:br/>
              <w:t xml:space="preserve">146  </w:t>
            </w:r>
            <w:r>
              <w:rPr>
                <w:szCs w:val="24"/>
                <w:lang w:eastAsia="ru-RU"/>
              </w:rPr>
              <w:br/>
              <w:t xml:space="preserve">160  </w:t>
            </w:r>
            <w:r>
              <w:rPr>
                <w:szCs w:val="24"/>
                <w:lang w:eastAsia="ru-RU"/>
              </w:rPr>
              <w:br/>
              <w:t xml:space="preserve">175  </w:t>
            </w:r>
            <w:r>
              <w:rPr>
                <w:szCs w:val="24"/>
                <w:lang w:eastAsia="ru-RU"/>
              </w:rPr>
              <w:br/>
              <w:t xml:space="preserve">190  </w:t>
            </w:r>
            <w:r>
              <w:rPr>
                <w:szCs w:val="24"/>
                <w:lang w:eastAsia="ru-RU"/>
              </w:rPr>
              <w:br/>
              <w:t xml:space="preserve">205  </w:t>
            </w:r>
            <w:r>
              <w:rPr>
                <w:szCs w:val="24"/>
                <w:lang w:eastAsia="ru-RU"/>
              </w:rPr>
              <w:br/>
              <w:t xml:space="preserve">220  </w:t>
            </w:r>
            <w:r>
              <w:rPr>
                <w:szCs w:val="24"/>
                <w:lang w:eastAsia="ru-RU"/>
              </w:rPr>
              <w:br/>
              <w:t xml:space="preserve">253  </w:t>
            </w:r>
            <w:r>
              <w:rPr>
                <w:szCs w:val="24"/>
                <w:lang w:eastAsia="ru-RU"/>
              </w:rPr>
              <w:br/>
              <w:t xml:space="preserve">280  </w:t>
            </w:r>
            <w:r>
              <w:rPr>
                <w:szCs w:val="24"/>
                <w:lang w:eastAsia="ru-RU"/>
              </w:rPr>
              <w:br/>
              <w:t xml:space="preserve">315  </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32" w:type="dxa"/>
            <w:vAlign w:val="center"/>
            <w:textDirection w:val="lrTb"/>
            <w:noWrap w:val="false"/>
          </w:tcPr>
          <w:p>
            <w:pPr>
              <w:jc w:val="center"/>
              <w:spacing w:line="360" w:lineRule="auto"/>
              <w:widowControl/>
              <w:rPr>
                <w:szCs w:val="24"/>
                <w:lang w:eastAsia="ru-RU"/>
              </w:rPr>
            </w:pPr>
            <w:r>
              <w:rPr>
                <w:szCs w:val="24"/>
                <w:lang w:eastAsia="ru-RU"/>
              </w:rPr>
              <w:t xml:space="preserve">74  </w:t>
            </w:r>
            <w:r>
              <w:rPr>
                <w:szCs w:val="24"/>
                <w:lang w:eastAsia="ru-RU"/>
              </w:rPr>
              <w:br/>
              <w:t xml:space="preserve">84  </w:t>
            </w:r>
            <w:r>
              <w:rPr>
                <w:szCs w:val="24"/>
                <w:lang w:eastAsia="ru-RU"/>
              </w:rPr>
              <w:br/>
              <w:t xml:space="preserve">90  </w:t>
            </w:r>
            <w:r>
              <w:rPr>
                <w:szCs w:val="24"/>
                <w:lang w:eastAsia="ru-RU"/>
              </w:rPr>
              <w:br/>
              <w:t xml:space="preserve">99  </w:t>
            </w:r>
            <w:r>
              <w:rPr>
                <w:szCs w:val="24"/>
                <w:lang w:eastAsia="ru-RU"/>
              </w:rPr>
              <w:br/>
              <w:t xml:space="preserve">105 </w:t>
            </w:r>
            <w:r>
              <w:rPr>
                <w:szCs w:val="24"/>
                <w:lang w:eastAsia="ru-RU"/>
              </w:rPr>
              <w:br/>
              <w:t xml:space="preserve">113 </w:t>
            </w:r>
            <w:r>
              <w:rPr>
                <w:szCs w:val="24"/>
                <w:lang w:eastAsia="ru-RU"/>
              </w:rPr>
              <w:br/>
              <w:t xml:space="preserve">126 </w:t>
            </w:r>
            <w:r>
              <w:rPr>
                <w:szCs w:val="24"/>
                <w:lang w:eastAsia="ru-RU"/>
              </w:rPr>
              <w:br/>
              <w:t xml:space="preserve">140 </w:t>
            </w:r>
            <w:r>
              <w:rPr>
                <w:szCs w:val="24"/>
                <w:lang w:eastAsia="ru-RU"/>
              </w:rPr>
              <w:br/>
              <w:t xml:space="preserve">153 </w:t>
            </w:r>
            <w:r>
              <w:rPr>
                <w:szCs w:val="24"/>
                <w:lang w:eastAsia="ru-RU"/>
              </w:rPr>
              <w:br/>
              <w:t xml:space="preserve">165 </w:t>
            </w:r>
            <w:r>
              <w:rPr>
                <w:szCs w:val="24"/>
                <w:lang w:eastAsia="ru-RU"/>
              </w:rPr>
              <w:br/>
              <w:t xml:space="preserve">183 </w:t>
            </w:r>
            <w:r>
              <w:rPr>
                <w:szCs w:val="24"/>
                <w:lang w:eastAsia="ru-RU"/>
              </w:rPr>
              <w:br/>
              <w:t xml:space="preserve">200 </w:t>
            </w:r>
            <w:r>
              <w:rPr>
                <w:szCs w:val="24"/>
                <w:lang w:eastAsia="ru-RU"/>
              </w:rPr>
              <w:br/>
              <w:t xml:space="preserve">218 </w:t>
            </w:r>
            <w:r>
              <w:rPr>
                <w:szCs w:val="24"/>
                <w:lang w:eastAsia="ru-RU"/>
              </w:rPr>
              <w:br/>
              <w:t xml:space="preserve">235 </w:t>
            </w:r>
            <w:r>
              <w:rPr>
                <w:szCs w:val="24"/>
                <w:lang w:eastAsia="ru-RU"/>
              </w:rPr>
              <w:br/>
              <w:t xml:space="preserve">253 </w:t>
            </w:r>
            <w:r>
              <w:rPr>
                <w:szCs w:val="24"/>
                <w:lang w:eastAsia="ru-RU"/>
              </w:rPr>
              <w:br/>
              <w:t xml:space="preserve">270 </w:t>
            </w:r>
            <w:r>
              <w:rPr>
                <w:szCs w:val="24"/>
                <w:lang w:eastAsia="ru-RU"/>
              </w:rPr>
              <w:br/>
              <w:t xml:space="preserve">310 </w:t>
            </w:r>
            <w:r>
              <w:rPr>
                <w:szCs w:val="24"/>
                <w:lang w:eastAsia="ru-RU"/>
              </w:rPr>
              <w:br/>
              <w:t xml:space="preserve">340 </w:t>
            </w:r>
            <w:r>
              <w:rPr>
                <w:szCs w:val="24"/>
                <w:lang w:eastAsia="ru-RU"/>
              </w:rPr>
              <w:br/>
              <w:t xml:space="preserve">380 </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32" w:type="dxa"/>
            <w:vAlign w:val="center"/>
            <w:textDirection w:val="lrTb"/>
            <w:noWrap w:val="false"/>
          </w:tcPr>
          <w:p>
            <w:pPr>
              <w:jc w:val="center"/>
              <w:spacing w:line="360" w:lineRule="auto"/>
              <w:widowControl/>
              <w:rPr>
                <w:szCs w:val="24"/>
                <w:lang w:eastAsia="ru-RU"/>
              </w:rPr>
            </w:pPr>
            <w:r>
              <w:rPr>
                <w:szCs w:val="24"/>
                <w:lang w:eastAsia="ru-RU"/>
              </w:rPr>
              <w:t xml:space="preserve">90  </w:t>
            </w:r>
            <w:r>
              <w:rPr>
                <w:szCs w:val="24"/>
                <w:lang w:eastAsia="ru-RU"/>
              </w:rPr>
              <w:br/>
              <w:t xml:space="preserve">102 </w:t>
            </w:r>
            <w:r>
              <w:rPr>
                <w:szCs w:val="24"/>
                <w:lang w:eastAsia="ru-RU"/>
              </w:rPr>
              <w:br/>
              <w:t xml:space="preserve">108 </w:t>
            </w:r>
            <w:r>
              <w:rPr>
                <w:szCs w:val="24"/>
                <w:lang w:eastAsia="ru-RU"/>
              </w:rPr>
              <w:br/>
              <w:t xml:space="preserve">120 </w:t>
            </w:r>
            <w:r>
              <w:rPr>
                <w:szCs w:val="24"/>
                <w:lang w:eastAsia="ru-RU"/>
              </w:rPr>
              <w:br/>
              <w:t xml:space="preserve">126 </w:t>
            </w:r>
            <w:r>
              <w:rPr>
                <w:szCs w:val="24"/>
                <w:lang w:eastAsia="ru-RU"/>
              </w:rPr>
              <w:br/>
              <w:t xml:space="preserve">137 </w:t>
            </w:r>
            <w:r>
              <w:rPr>
                <w:szCs w:val="24"/>
                <w:lang w:eastAsia="ru-RU"/>
              </w:rPr>
              <w:br/>
              <w:t xml:space="preserve">152 </w:t>
            </w:r>
            <w:r>
              <w:rPr>
                <w:szCs w:val="24"/>
                <w:lang w:eastAsia="ru-RU"/>
              </w:rPr>
              <w:br/>
              <w:t xml:space="preserve">166 </w:t>
            </w:r>
            <w:r>
              <w:rPr>
                <w:szCs w:val="24"/>
                <w:lang w:eastAsia="ru-RU"/>
              </w:rPr>
              <w:br/>
              <w:t xml:space="preserve">182 </w:t>
            </w:r>
            <w:r>
              <w:rPr>
                <w:szCs w:val="24"/>
                <w:lang w:eastAsia="ru-RU"/>
              </w:rPr>
              <w:br/>
              <w:t xml:space="preserve">196 </w:t>
            </w:r>
            <w:r>
              <w:rPr>
                <w:szCs w:val="24"/>
                <w:lang w:eastAsia="ru-RU"/>
              </w:rPr>
              <w:br/>
              <w:t xml:space="preserve">218 </w:t>
            </w:r>
            <w:r>
              <w:rPr>
                <w:szCs w:val="24"/>
                <w:lang w:eastAsia="ru-RU"/>
              </w:rPr>
              <w:br/>
              <w:t xml:space="preserve">240 </w:t>
            </w:r>
            <w:r>
              <w:rPr>
                <w:szCs w:val="24"/>
                <w:lang w:eastAsia="ru-RU"/>
              </w:rPr>
              <w:br/>
              <w:t xml:space="preserve">260 </w:t>
            </w:r>
            <w:r>
              <w:rPr>
                <w:szCs w:val="24"/>
                <w:lang w:eastAsia="ru-RU"/>
              </w:rPr>
              <w:br/>
              <w:t xml:space="preserve">280 </w:t>
            </w:r>
            <w:r>
              <w:rPr>
                <w:szCs w:val="24"/>
                <w:lang w:eastAsia="ru-RU"/>
              </w:rPr>
              <w:br/>
              <w:t xml:space="preserve">303 </w:t>
            </w:r>
            <w:r>
              <w:rPr>
                <w:szCs w:val="24"/>
                <w:lang w:eastAsia="ru-RU"/>
              </w:rPr>
              <w:br/>
              <w:t xml:space="preserve">325 </w:t>
            </w:r>
            <w:r>
              <w:rPr>
                <w:szCs w:val="24"/>
                <w:lang w:eastAsia="ru-RU"/>
              </w:rPr>
              <w:br/>
              <w:t xml:space="preserve">370 </w:t>
            </w:r>
            <w:r>
              <w:rPr>
                <w:szCs w:val="24"/>
                <w:lang w:eastAsia="ru-RU"/>
              </w:rPr>
              <w:br/>
              <w:t xml:space="preserve">405 </w:t>
            </w:r>
            <w:r>
              <w:rPr>
                <w:szCs w:val="24"/>
                <w:lang w:eastAsia="ru-RU"/>
              </w:rPr>
              <w:br/>
              <w:t xml:space="preserve">445 </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851" w:type="dxa"/>
            <w:vAlign w:val="center"/>
            <w:textDirection w:val="lrTb"/>
            <w:noWrap w:val="false"/>
          </w:tcPr>
          <w:p>
            <w:pPr>
              <w:jc w:val="center"/>
              <w:spacing w:line="360" w:lineRule="auto"/>
              <w:widowControl/>
              <w:rPr>
                <w:szCs w:val="24"/>
                <w:lang w:eastAsia="ru-RU"/>
              </w:rPr>
            </w:pPr>
            <w:r>
              <w:rPr>
                <w:szCs w:val="24"/>
                <w:lang w:eastAsia="ru-RU"/>
              </w:rPr>
              <w:t xml:space="preserve">105  </w:t>
            </w:r>
            <w:r>
              <w:rPr>
                <w:szCs w:val="24"/>
                <w:lang w:eastAsia="ru-RU"/>
              </w:rPr>
              <w:br/>
              <w:t xml:space="preserve">119  </w:t>
            </w:r>
            <w:r>
              <w:rPr>
                <w:szCs w:val="24"/>
                <w:lang w:eastAsia="ru-RU"/>
              </w:rPr>
              <w:br/>
              <w:t xml:space="preserve">127  </w:t>
            </w:r>
            <w:r>
              <w:rPr>
                <w:szCs w:val="24"/>
                <w:lang w:eastAsia="ru-RU"/>
              </w:rPr>
              <w:br/>
              <w:t xml:space="preserve">141  </w:t>
            </w:r>
            <w:r>
              <w:rPr>
                <w:szCs w:val="24"/>
                <w:lang w:eastAsia="ru-RU"/>
              </w:rPr>
              <w:br/>
              <w:t xml:space="preserve">149  </w:t>
            </w:r>
            <w:r>
              <w:rPr>
                <w:szCs w:val="24"/>
                <w:lang w:eastAsia="ru-RU"/>
              </w:rPr>
              <w:br/>
              <w:t xml:space="preserve">160  </w:t>
            </w:r>
            <w:r>
              <w:rPr>
                <w:szCs w:val="24"/>
                <w:lang w:eastAsia="ru-RU"/>
              </w:rPr>
              <w:br/>
              <w:t xml:space="preserve">176  </w:t>
            </w:r>
            <w:r>
              <w:rPr>
                <w:szCs w:val="24"/>
                <w:lang w:eastAsia="ru-RU"/>
              </w:rPr>
              <w:br/>
              <w:t xml:space="preserve">192  </w:t>
            </w:r>
            <w:r>
              <w:rPr>
                <w:szCs w:val="24"/>
                <w:lang w:eastAsia="ru-RU"/>
              </w:rPr>
              <w:br/>
              <w:t xml:space="preserve">212  </w:t>
            </w:r>
            <w:r>
              <w:rPr>
                <w:szCs w:val="24"/>
                <w:lang w:eastAsia="ru-RU"/>
              </w:rPr>
              <w:br/>
              <w:t xml:space="preserve">227  </w:t>
            </w:r>
            <w:r>
              <w:rPr>
                <w:szCs w:val="24"/>
                <w:lang w:eastAsia="ru-RU"/>
              </w:rPr>
              <w:br/>
              <w:t xml:space="preserve">253  </w:t>
            </w:r>
            <w:r>
              <w:rPr>
                <w:szCs w:val="24"/>
                <w:lang w:eastAsia="ru-RU"/>
              </w:rPr>
              <w:br/>
              <w:t xml:space="preserve">278  </w:t>
            </w:r>
            <w:r>
              <w:rPr>
                <w:szCs w:val="24"/>
                <w:lang w:eastAsia="ru-RU"/>
              </w:rPr>
              <w:br/>
              <w:t xml:space="preserve">300  </w:t>
            </w:r>
            <w:r>
              <w:rPr>
                <w:szCs w:val="24"/>
                <w:lang w:eastAsia="ru-RU"/>
              </w:rPr>
              <w:br/>
              <w:t xml:space="preserve">322  </w:t>
            </w:r>
            <w:r>
              <w:rPr>
                <w:szCs w:val="24"/>
                <w:lang w:eastAsia="ru-RU"/>
              </w:rPr>
              <w:br/>
              <w:t xml:space="preserve">349  </w:t>
            </w:r>
            <w:r>
              <w:rPr>
                <w:szCs w:val="24"/>
                <w:lang w:eastAsia="ru-RU"/>
              </w:rPr>
              <w:br/>
              <w:t xml:space="preserve">375  </w:t>
            </w:r>
            <w:r>
              <w:rPr>
                <w:szCs w:val="24"/>
                <w:lang w:eastAsia="ru-RU"/>
              </w:rPr>
              <w:br/>
              <w:t xml:space="preserve">425  </w:t>
            </w:r>
            <w:r>
              <w:rPr>
                <w:szCs w:val="24"/>
                <w:lang w:eastAsia="ru-RU"/>
              </w:rPr>
              <w:br/>
              <w:t xml:space="preserve">470  </w:t>
            </w:r>
            <w:r>
              <w:rPr>
                <w:szCs w:val="24"/>
                <w:lang w:eastAsia="ru-RU"/>
              </w:rPr>
              <w:br/>
              <w:t xml:space="preserve">515  </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32" w:type="dxa"/>
            <w:vAlign w:val="center"/>
            <w:textDirection w:val="lrTb"/>
            <w:noWrap w:val="false"/>
          </w:tcPr>
          <w:p>
            <w:pPr>
              <w:jc w:val="center"/>
              <w:spacing w:line="360" w:lineRule="auto"/>
              <w:widowControl/>
              <w:rPr>
                <w:szCs w:val="24"/>
                <w:lang w:eastAsia="ru-RU"/>
              </w:rPr>
            </w:pPr>
            <w:r>
              <w:rPr>
                <w:szCs w:val="24"/>
                <w:lang w:eastAsia="ru-RU"/>
              </w:rPr>
              <w:t xml:space="preserve">120 </w:t>
            </w:r>
            <w:r>
              <w:rPr>
                <w:szCs w:val="24"/>
                <w:lang w:eastAsia="ru-RU"/>
              </w:rPr>
              <w:br/>
              <w:t xml:space="preserve">136 </w:t>
            </w:r>
            <w:r>
              <w:rPr>
                <w:szCs w:val="24"/>
                <w:lang w:eastAsia="ru-RU"/>
              </w:rPr>
              <w:br/>
              <w:t xml:space="preserve">145 </w:t>
            </w:r>
            <w:r>
              <w:rPr>
                <w:szCs w:val="24"/>
                <w:lang w:eastAsia="ru-RU"/>
              </w:rPr>
              <w:br/>
              <w:t xml:space="preserve">162 </w:t>
            </w:r>
            <w:r>
              <w:rPr>
                <w:szCs w:val="24"/>
                <w:lang w:eastAsia="ru-RU"/>
              </w:rPr>
              <w:br/>
              <w:t xml:space="preserve">170 </w:t>
            </w:r>
            <w:r>
              <w:rPr>
                <w:szCs w:val="24"/>
                <w:lang w:eastAsia="ru-RU"/>
              </w:rPr>
              <w:br/>
              <w:t xml:space="preserve">182 </w:t>
            </w:r>
            <w:r>
              <w:rPr>
                <w:szCs w:val="24"/>
                <w:lang w:eastAsia="ru-RU"/>
              </w:rPr>
              <w:br/>
              <w:t xml:space="preserve">201 </w:t>
            </w:r>
            <w:r>
              <w:rPr>
                <w:szCs w:val="24"/>
                <w:lang w:eastAsia="ru-RU"/>
              </w:rPr>
              <w:br/>
              <w:t xml:space="preserve">220 </w:t>
            </w:r>
            <w:r>
              <w:rPr>
                <w:szCs w:val="24"/>
                <w:lang w:eastAsia="ru-RU"/>
              </w:rPr>
              <w:br/>
              <w:t xml:space="preserve">242 </w:t>
            </w:r>
            <w:r>
              <w:rPr>
                <w:szCs w:val="24"/>
                <w:lang w:eastAsia="ru-RU"/>
              </w:rPr>
              <w:br/>
              <w:t xml:space="preserve">260 </w:t>
            </w:r>
            <w:r>
              <w:rPr>
                <w:szCs w:val="24"/>
                <w:lang w:eastAsia="ru-RU"/>
              </w:rPr>
              <w:br/>
              <w:t xml:space="preserve">289 </w:t>
            </w:r>
            <w:r>
              <w:rPr>
                <w:szCs w:val="24"/>
                <w:lang w:eastAsia="ru-RU"/>
              </w:rPr>
              <w:br/>
              <w:t xml:space="preserve">317 </w:t>
            </w:r>
            <w:r>
              <w:rPr>
                <w:szCs w:val="24"/>
                <w:lang w:eastAsia="ru-RU"/>
              </w:rPr>
              <w:br/>
              <w:t xml:space="preserve">344 </w:t>
            </w:r>
            <w:r>
              <w:rPr>
                <w:szCs w:val="24"/>
                <w:lang w:eastAsia="ru-RU"/>
              </w:rPr>
              <w:br/>
              <w:t xml:space="preserve">370 </w:t>
            </w:r>
            <w:r>
              <w:rPr>
                <w:szCs w:val="24"/>
                <w:lang w:eastAsia="ru-RU"/>
              </w:rPr>
              <w:br/>
              <w:t xml:space="preserve">400 </w:t>
            </w:r>
            <w:r>
              <w:rPr>
                <w:szCs w:val="24"/>
                <w:lang w:eastAsia="ru-RU"/>
              </w:rPr>
              <w:br/>
              <w:t xml:space="preserve">430 </w:t>
            </w:r>
            <w:r>
              <w:rPr>
                <w:szCs w:val="24"/>
                <w:lang w:eastAsia="ru-RU"/>
              </w:rPr>
              <w:br/>
              <w:t xml:space="preserve">485 </w:t>
            </w:r>
            <w:r>
              <w:rPr>
                <w:szCs w:val="24"/>
                <w:lang w:eastAsia="ru-RU"/>
              </w:rPr>
              <w:br/>
              <w:t xml:space="preserve">530 </w:t>
            </w:r>
            <w:r>
              <w:rPr>
                <w:szCs w:val="24"/>
                <w:lang w:eastAsia="ru-RU"/>
              </w:rPr>
              <w:br/>
              <w:t xml:space="preserve">580 </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32" w:type="dxa"/>
            <w:vAlign w:val="center"/>
            <w:textDirection w:val="lrTb"/>
            <w:noWrap w:val="false"/>
          </w:tcPr>
          <w:p>
            <w:pPr>
              <w:jc w:val="center"/>
              <w:spacing w:line="360" w:lineRule="auto"/>
              <w:widowControl/>
              <w:rPr>
                <w:szCs w:val="24"/>
                <w:lang w:eastAsia="ru-RU"/>
              </w:rPr>
            </w:pPr>
            <w:r>
              <w:rPr>
                <w:szCs w:val="24"/>
                <w:lang w:eastAsia="ru-RU"/>
              </w:rPr>
              <w:t xml:space="preserve">136 </w:t>
            </w:r>
            <w:r>
              <w:rPr>
                <w:szCs w:val="24"/>
                <w:lang w:eastAsia="ru-RU"/>
              </w:rPr>
              <w:br/>
              <w:t xml:space="preserve">154 </w:t>
            </w:r>
            <w:r>
              <w:rPr>
                <w:szCs w:val="24"/>
                <w:lang w:eastAsia="ru-RU"/>
              </w:rPr>
              <w:br/>
              <w:t xml:space="preserve">165 </w:t>
            </w:r>
            <w:r>
              <w:rPr>
                <w:szCs w:val="24"/>
                <w:lang w:eastAsia="ru-RU"/>
              </w:rPr>
              <w:br/>
              <w:t xml:space="preserve">183 </w:t>
            </w:r>
            <w:r>
              <w:rPr>
                <w:szCs w:val="24"/>
                <w:lang w:eastAsia="ru-RU"/>
              </w:rPr>
              <w:br/>
              <w:t xml:space="preserve">193 </w:t>
            </w:r>
            <w:r>
              <w:rPr>
                <w:szCs w:val="24"/>
                <w:lang w:eastAsia="ru-RU"/>
              </w:rPr>
              <w:br/>
              <w:t xml:space="preserve">205 </w:t>
            </w:r>
            <w:r>
              <w:rPr>
                <w:szCs w:val="24"/>
                <w:lang w:eastAsia="ru-RU"/>
              </w:rPr>
              <w:br/>
              <w:t xml:space="preserve">226 </w:t>
            </w:r>
            <w:r>
              <w:rPr>
                <w:szCs w:val="24"/>
                <w:lang w:eastAsia="ru-RU"/>
              </w:rPr>
              <w:br/>
              <w:t xml:space="preserve">247 </w:t>
            </w:r>
            <w:r>
              <w:rPr>
                <w:szCs w:val="24"/>
                <w:lang w:eastAsia="ru-RU"/>
              </w:rPr>
              <w:br/>
              <w:t xml:space="preserve">273 </w:t>
            </w:r>
            <w:r>
              <w:rPr>
                <w:szCs w:val="24"/>
                <w:lang w:eastAsia="ru-RU"/>
              </w:rPr>
              <w:br/>
              <w:t xml:space="preserve">290 </w:t>
            </w:r>
            <w:r>
              <w:rPr>
                <w:szCs w:val="24"/>
                <w:lang w:eastAsia="ru-RU"/>
              </w:rPr>
              <w:br/>
              <w:t xml:space="preserve">323 </w:t>
            </w:r>
            <w:r>
              <w:rPr>
                <w:szCs w:val="24"/>
                <w:lang w:eastAsia="ru-RU"/>
              </w:rPr>
              <w:br/>
              <w:t xml:space="preserve">355 </w:t>
            </w:r>
            <w:r>
              <w:rPr>
                <w:szCs w:val="24"/>
                <w:lang w:eastAsia="ru-RU"/>
              </w:rPr>
              <w:br/>
              <w:t xml:space="preserve">385 </w:t>
            </w:r>
            <w:r>
              <w:rPr>
                <w:szCs w:val="24"/>
                <w:lang w:eastAsia="ru-RU"/>
              </w:rPr>
              <w:br/>
              <w:t xml:space="preserve">415 </w:t>
            </w:r>
            <w:r>
              <w:rPr>
                <w:szCs w:val="24"/>
                <w:lang w:eastAsia="ru-RU"/>
              </w:rPr>
              <w:br/>
              <w:t xml:space="preserve">448 </w:t>
            </w:r>
            <w:r>
              <w:rPr>
                <w:szCs w:val="24"/>
                <w:lang w:eastAsia="ru-RU"/>
              </w:rPr>
              <w:br/>
              <w:t xml:space="preserve">480 </w:t>
            </w:r>
            <w:r>
              <w:rPr>
                <w:szCs w:val="24"/>
                <w:lang w:eastAsia="ru-RU"/>
              </w:rPr>
              <w:br/>
              <w:t xml:space="preserve">540 </w:t>
            </w:r>
            <w:r>
              <w:rPr>
                <w:szCs w:val="24"/>
                <w:lang w:eastAsia="ru-RU"/>
              </w:rPr>
              <w:br/>
              <w:t xml:space="preserve">590 </w:t>
            </w:r>
            <w:r>
              <w:rPr>
                <w:szCs w:val="24"/>
                <w:lang w:eastAsia="ru-RU"/>
              </w:rPr>
              <w:br/>
              <w:t xml:space="preserve">645 </w:t>
            </w:r>
            <w:r>
              <w:rPr>
                <w:szCs w:val="24"/>
                <w:lang w:eastAsia="ru-RU"/>
              </w:rPr>
            </w:r>
            <w:r>
              <w:rPr>
                <w:szCs w:val="24"/>
                <w:lang w:eastAsia="ru-RU"/>
              </w:rPr>
            </w:r>
          </w:p>
        </w:tc>
      </w:tr>
    </w:tbl>
    <w:p>
      <w:pPr>
        <w:jc w:val="center"/>
        <w:spacing w:line="360" w:lineRule="auto"/>
        <w:widowControl/>
        <w:rPr>
          <w:szCs w:val="24"/>
          <w:lang w:eastAsia="ru-RU"/>
        </w:rPr>
      </w:pPr>
      <w:r>
        <w:rPr>
          <w:szCs w:val="24"/>
          <w:lang w:eastAsia="ru-RU"/>
        </w:rPr>
        <w:br w:type="page" w:clear="all"/>
      </w:r>
      <w:r>
        <w:rPr>
          <w:szCs w:val="24"/>
          <w:lang w:eastAsia="ru-RU"/>
        </w:rPr>
      </w:r>
      <w:r>
        <w:rPr>
          <w:szCs w:val="24"/>
          <w:lang w:eastAsia="ru-RU"/>
        </w:rPr>
      </w:r>
    </w:p>
    <w:p>
      <w:pPr>
        <w:jc w:val="center"/>
        <w:spacing w:line="360" w:lineRule="auto"/>
        <w:widowControl/>
        <w:rPr>
          <w:szCs w:val="24"/>
          <w:lang w:eastAsia="ru-RU"/>
        </w:rPr>
      </w:pPr>
      <w:r>
        <w:rPr>
          <w:szCs w:val="24"/>
          <w:lang w:eastAsia="ru-RU"/>
        </w:rPr>
        <w:t xml:space="preserve">НОРМЫ ТЕПЛОВЫХ ПОТЕРЬ (ПЛОТНОСТИ ТЕПЛОВОГО ПОТОКА) ТЕПЛОПРОВОДАМИ, СПРОЕКТИРОВАННЫМИ В ПЕРИОД</w:t>
      </w:r>
      <w:r>
        <w:rPr>
          <w:szCs w:val="24"/>
          <w:lang w:eastAsia="ru-RU"/>
        </w:rPr>
      </w:r>
      <w:r>
        <w:rPr>
          <w:szCs w:val="24"/>
          <w:lang w:eastAsia="ru-RU"/>
        </w:rPr>
      </w:r>
    </w:p>
    <w:p>
      <w:pPr>
        <w:jc w:val="center"/>
        <w:spacing w:line="360" w:lineRule="auto"/>
        <w:widowControl/>
        <w:rPr>
          <w:szCs w:val="24"/>
          <w:lang w:eastAsia="ru-RU"/>
        </w:rPr>
      </w:pPr>
      <w:r>
        <w:rPr>
          <w:szCs w:val="24"/>
          <w:lang w:eastAsia="ru-RU"/>
        </w:rPr>
        <w:t xml:space="preserve">С 1990 Г. ПО 1997 Г. ВКЛЮЧИТЕЛЬНО.</w:t>
      </w:r>
      <w:r>
        <w:rPr>
          <w:szCs w:val="24"/>
          <w:lang w:eastAsia="ru-RU"/>
        </w:rPr>
      </w:r>
      <w:r>
        <w:rPr>
          <w:szCs w:val="24"/>
          <w:lang w:eastAsia="ru-RU"/>
        </w:rPr>
      </w:r>
    </w:p>
    <w:p>
      <w:pPr>
        <w:jc w:val="center"/>
        <w:spacing w:line="360" w:lineRule="auto"/>
        <w:widowControl/>
        <w:rPr>
          <w:szCs w:val="24"/>
          <w:lang w:eastAsia="ru-RU"/>
        </w:rPr>
      </w:pPr>
      <w:r>
        <w:rPr>
          <w:szCs w:val="24"/>
          <w:lang w:eastAsia="ru-RU"/>
        </w:rPr>
      </w:r>
      <w:r>
        <w:rPr>
          <w:szCs w:val="24"/>
          <w:lang w:eastAsia="ru-RU"/>
        </w:rPr>
      </w:r>
      <w:r>
        <w:rPr>
          <w:szCs w:val="24"/>
          <w:lang w:eastAsia="ru-RU"/>
        </w:rPr>
      </w:r>
    </w:p>
    <w:p>
      <w:pPr>
        <w:pStyle w:val="1274"/>
        <w:jc w:val="right"/>
        <w:keepNext/>
        <w:rPr>
          <w:b w:val="0"/>
          <w:sz w:val="24"/>
          <w:szCs w:val="24"/>
        </w:rPr>
      </w:pPr>
      <w:r/>
      <w:bookmarkStart w:id="112" w:name="_Toc40787809"/>
      <w:r/>
      <w:bookmarkStart w:id="113" w:name="_Toc71031198"/>
      <w:r>
        <w:rPr>
          <w:b w:val="0"/>
          <w:sz w:val="24"/>
          <w:szCs w:val="24"/>
        </w:rPr>
        <w:t xml:space="preserve">Таблица </w:t>
      </w:r>
      <w:r>
        <w:rPr>
          <w:b w:val="0"/>
          <w:sz w:val="24"/>
          <w:szCs w:val="24"/>
        </w:rPr>
        <w:t xml:space="preserve">1.</w:t>
      </w:r>
      <w:r>
        <w:rPr>
          <w:b w:val="0"/>
          <w:sz w:val="24"/>
          <w:szCs w:val="24"/>
        </w:rPr>
        <w:t xml:space="preserve">3.13.2</w:t>
      </w:r>
      <w:r>
        <w:rPr>
          <w:b w:val="0"/>
          <w:sz w:val="24"/>
          <w:szCs w:val="24"/>
        </w:rPr>
      </w:r>
      <w:r>
        <w:rPr>
          <w:b w:val="0"/>
          <w:sz w:val="24"/>
          <w:szCs w:val="24"/>
        </w:rPr>
      </w:r>
    </w:p>
    <w:p>
      <w:pPr>
        <w:pStyle w:val="1274"/>
        <w:keepNext/>
        <w:rPr>
          <w:b w:val="0"/>
          <w:sz w:val="24"/>
          <w:szCs w:val="24"/>
        </w:rPr>
      </w:pPr>
      <w:r>
        <w:rPr>
          <w:b w:val="0"/>
          <w:sz w:val="24"/>
          <w:szCs w:val="24"/>
        </w:rPr>
        <w:t xml:space="preserve">Нормы тепловых потерь трубопроводов водяной тепловой сети при бесканальной прокладке</w:t>
      </w:r>
      <w:bookmarkEnd w:id="112"/>
      <w:r/>
      <w:bookmarkEnd w:id="113"/>
      <w:r>
        <w:rPr>
          <w:b w:val="0"/>
          <w:sz w:val="24"/>
          <w:szCs w:val="24"/>
        </w:rPr>
      </w:r>
      <w:r>
        <w:rPr>
          <w:b w:val="0"/>
          <w:sz w:val="24"/>
          <w:szCs w:val="24"/>
        </w:rPr>
      </w:r>
    </w:p>
    <w:tbl>
      <w:tblPr>
        <w:tblW w:w="5000" w:type="pct"/>
        <w:jc w:val="center"/>
        <w:tblLayout w:type="fixed"/>
        <w:tblCellMar>
          <w:left w:w="70" w:type="dxa"/>
          <w:right w:w="70" w:type="dxa"/>
        </w:tblCellMar>
        <w:tblLook w:val="0000" w:firstRow="0" w:lastRow="0" w:firstColumn="0" w:lastColumn="0" w:noHBand="0" w:noVBand="0"/>
      </w:tblPr>
      <w:tblGrid>
        <w:gridCol w:w="1204"/>
        <w:gridCol w:w="1087"/>
        <w:gridCol w:w="1087"/>
        <w:gridCol w:w="1086"/>
        <w:gridCol w:w="1086"/>
        <w:gridCol w:w="1086"/>
        <w:gridCol w:w="1086"/>
        <w:gridCol w:w="1086"/>
        <w:gridCol w:w="1086"/>
      </w:tblGrid>
      <w:tr>
        <w:tblPrEx/>
        <w:trPr>
          <w:cantSplit/>
          <w:jc w:val="center"/>
          <w:trHeight w:val="240"/>
        </w:trPr>
        <w:tc>
          <w:tcPr>
            <w:tcBorders>
              <w:top w:val="single" w:color="auto" w:sz="6" w:space="0"/>
              <w:left w:val="single" w:color="auto" w:sz="6" w:space="0"/>
              <w:bottom w:val="none" w:color="000000" w:sz="4" w:space="0"/>
              <w:right w:val="single" w:color="auto" w:sz="6" w:space="0"/>
            </w:tcBorders>
            <w:tcW w:w="1172" w:type="dxa"/>
            <w:vAlign w:val="center"/>
            <w:vMerge w:val="restart"/>
            <w:textDirection w:val="lrTb"/>
            <w:noWrap w:val="false"/>
          </w:tcPr>
          <w:p>
            <w:pPr>
              <w:jc w:val="center"/>
              <w:spacing w:line="360" w:lineRule="auto"/>
              <w:widowControl/>
              <w:rPr>
                <w:szCs w:val="24"/>
                <w:lang w:eastAsia="ru-RU"/>
              </w:rPr>
            </w:pPr>
            <w:r>
              <w:rPr>
                <w:szCs w:val="24"/>
                <w:lang w:eastAsia="ru-RU"/>
              </w:rPr>
              <w:t xml:space="preserve">Условный </w:t>
            </w:r>
            <w:r>
              <w:rPr>
                <w:szCs w:val="24"/>
                <w:lang w:eastAsia="ru-RU"/>
              </w:rPr>
              <w:br/>
              <w:t xml:space="preserve">диаметр, </w:t>
            </w:r>
            <w:r>
              <w:rPr>
                <w:szCs w:val="24"/>
                <w:lang w:eastAsia="ru-RU"/>
              </w:rPr>
              <w:br/>
              <w:t xml:space="preserve">мм</w:t>
            </w:r>
            <w:r>
              <w:rPr>
                <w:szCs w:val="24"/>
                <w:lang w:eastAsia="ru-RU"/>
              </w:rPr>
            </w:r>
            <w:r>
              <w:rPr>
                <w:szCs w:val="24"/>
                <w:lang w:eastAsia="ru-RU"/>
              </w:rPr>
            </w:r>
          </w:p>
        </w:tc>
        <w:tc>
          <w:tcPr>
            <w:gridSpan w:val="8"/>
            <w:tcBorders>
              <w:top w:val="single" w:color="auto" w:sz="6" w:space="0"/>
              <w:left w:val="single" w:color="auto" w:sz="6" w:space="0"/>
              <w:bottom w:val="single" w:color="auto" w:sz="6" w:space="0"/>
              <w:right w:val="single" w:color="auto" w:sz="6" w:space="0"/>
            </w:tcBorders>
            <w:tcW w:w="8450" w:type="dxa"/>
            <w:vAlign w:val="center"/>
            <w:textDirection w:val="lrTb"/>
            <w:noWrap w:val="false"/>
          </w:tcPr>
          <w:p>
            <w:pPr>
              <w:jc w:val="center"/>
              <w:spacing w:line="360" w:lineRule="auto"/>
              <w:widowControl/>
              <w:rPr>
                <w:szCs w:val="24"/>
                <w:lang w:eastAsia="ru-RU"/>
              </w:rPr>
            </w:pPr>
            <w:r>
              <w:rPr>
                <w:szCs w:val="24"/>
                <w:lang w:eastAsia="ru-RU"/>
              </w:rPr>
              <w:t xml:space="preserve">Нормы плотности теплового потока, ккал/чм</w:t>
            </w:r>
            <w:r>
              <w:rPr>
                <w:szCs w:val="24"/>
                <w:lang w:eastAsia="ru-RU"/>
              </w:rPr>
            </w:r>
            <w:r>
              <w:rPr>
                <w:szCs w:val="24"/>
                <w:lang w:eastAsia="ru-RU"/>
              </w:rPr>
            </w:r>
          </w:p>
        </w:tc>
      </w:tr>
      <w:tr>
        <w:tblPrEx/>
        <w:trPr>
          <w:cantSplit/>
          <w:jc w:val="center"/>
          <w:trHeight w:val="360"/>
        </w:trPr>
        <w:tc>
          <w:tcPr>
            <w:tcBorders>
              <w:top w:val="none" w:color="000000" w:sz="4" w:space="0"/>
              <w:left w:val="single" w:color="auto" w:sz="6" w:space="0"/>
              <w:bottom w:val="none" w:color="000000" w:sz="4" w:space="0"/>
              <w:right w:val="single" w:color="auto" w:sz="6" w:space="0"/>
            </w:tcBorders>
            <w:tcW w:w="1172" w:type="dxa"/>
            <w:vAlign w:val="center"/>
            <w:vMerge w:val="continue"/>
            <w:textDirection w:val="lrTb"/>
            <w:noWrap w:val="false"/>
          </w:tcPr>
          <w:p>
            <w:pPr>
              <w:jc w:val="center"/>
              <w:spacing w:line="360" w:lineRule="auto"/>
              <w:widowControl/>
              <w:rPr>
                <w:szCs w:val="24"/>
                <w:lang w:eastAsia="ru-RU"/>
              </w:rPr>
            </w:pPr>
            <w:r>
              <w:rPr>
                <w:szCs w:val="24"/>
                <w:lang w:eastAsia="ru-RU"/>
              </w:rPr>
            </w:r>
            <w:r>
              <w:rPr>
                <w:szCs w:val="24"/>
                <w:lang w:eastAsia="ru-RU"/>
              </w:rPr>
            </w:r>
            <w:r>
              <w:rPr>
                <w:szCs w:val="24"/>
                <w:lang w:eastAsia="ru-RU"/>
              </w:rPr>
            </w:r>
          </w:p>
        </w:tc>
        <w:tc>
          <w:tcPr>
            <w:gridSpan w:val="4"/>
            <w:tcBorders>
              <w:top w:val="single" w:color="auto" w:sz="6" w:space="0"/>
              <w:left w:val="single" w:color="auto" w:sz="6" w:space="0"/>
              <w:bottom w:val="single" w:color="auto" w:sz="6" w:space="0"/>
              <w:right w:val="single" w:color="auto" w:sz="6" w:space="0"/>
            </w:tcBorders>
            <w:tcW w:w="4226" w:type="dxa"/>
            <w:vAlign w:val="center"/>
            <w:textDirection w:val="lrTb"/>
            <w:noWrap w:val="false"/>
          </w:tcPr>
          <w:p>
            <w:pPr>
              <w:jc w:val="center"/>
              <w:spacing w:line="360" w:lineRule="auto"/>
              <w:widowControl/>
              <w:rPr>
                <w:szCs w:val="24"/>
                <w:lang w:eastAsia="ru-RU"/>
              </w:rPr>
            </w:pPr>
            <w:r>
              <w:rPr>
                <w:szCs w:val="24"/>
                <w:lang w:eastAsia="ru-RU"/>
              </w:rPr>
              <w:t xml:space="preserve">продолжительность эксплуатации   </w:t>
            </w:r>
            <w:r>
              <w:rPr>
                <w:szCs w:val="24"/>
                <w:lang w:eastAsia="ru-RU"/>
              </w:rPr>
              <w:br/>
              <w:t xml:space="preserve">до 5000 ч/год включительно</w:t>
            </w:r>
            <w:r>
              <w:rPr>
                <w:szCs w:val="24"/>
                <w:lang w:eastAsia="ru-RU"/>
              </w:rPr>
            </w:r>
            <w:r>
              <w:rPr>
                <w:szCs w:val="24"/>
                <w:lang w:eastAsia="ru-RU"/>
              </w:rPr>
            </w:r>
          </w:p>
        </w:tc>
        <w:tc>
          <w:tcPr>
            <w:gridSpan w:val="4"/>
            <w:tcBorders>
              <w:top w:val="single" w:color="auto" w:sz="6" w:space="0"/>
              <w:left w:val="single" w:color="auto" w:sz="6" w:space="0"/>
              <w:bottom w:val="single" w:color="auto" w:sz="6" w:space="0"/>
              <w:right w:val="single" w:color="auto" w:sz="6" w:space="0"/>
            </w:tcBorders>
            <w:tcW w:w="4224" w:type="dxa"/>
            <w:vAlign w:val="center"/>
            <w:textDirection w:val="lrTb"/>
            <w:noWrap w:val="false"/>
          </w:tcPr>
          <w:p>
            <w:pPr>
              <w:jc w:val="center"/>
              <w:spacing w:line="360" w:lineRule="auto"/>
              <w:widowControl/>
              <w:rPr>
                <w:szCs w:val="24"/>
                <w:lang w:eastAsia="ru-RU"/>
              </w:rPr>
            </w:pPr>
            <w:r>
              <w:rPr>
                <w:szCs w:val="24"/>
                <w:lang w:eastAsia="ru-RU"/>
              </w:rPr>
              <w:t xml:space="preserve">продолжительность эксплуатации   </w:t>
            </w:r>
            <w:r>
              <w:rPr>
                <w:szCs w:val="24"/>
                <w:lang w:eastAsia="ru-RU"/>
              </w:rPr>
              <w:br/>
              <w:t xml:space="preserve">более 5000 ч/год</w:t>
            </w:r>
            <w:r>
              <w:rPr>
                <w:szCs w:val="24"/>
                <w:lang w:eastAsia="ru-RU"/>
              </w:rPr>
            </w:r>
            <w:r>
              <w:rPr>
                <w:szCs w:val="24"/>
                <w:lang w:eastAsia="ru-RU"/>
              </w:rPr>
            </w:r>
          </w:p>
        </w:tc>
      </w:tr>
      <w:tr>
        <w:tblPrEx/>
        <w:trPr>
          <w:cantSplit/>
          <w:jc w:val="center"/>
          <w:trHeight w:val="240"/>
        </w:trPr>
        <w:tc>
          <w:tcPr>
            <w:tcBorders>
              <w:top w:val="none" w:color="000000" w:sz="4" w:space="0"/>
              <w:left w:val="single" w:color="auto" w:sz="6" w:space="0"/>
              <w:bottom w:val="none" w:color="000000" w:sz="4" w:space="0"/>
              <w:right w:val="single" w:color="auto" w:sz="6" w:space="0"/>
            </w:tcBorders>
            <w:tcW w:w="1172" w:type="dxa"/>
            <w:vAlign w:val="center"/>
            <w:vMerge w:val="continue"/>
            <w:textDirection w:val="lrTb"/>
            <w:noWrap w:val="false"/>
          </w:tcPr>
          <w:p>
            <w:pPr>
              <w:jc w:val="center"/>
              <w:spacing w:line="360" w:lineRule="auto"/>
              <w:widowControl/>
              <w:rPr>
                <w:szCs w:val="24"/>
                <w:lang w:eastAsia="ru-RU"/>
              </w:rPr>
            </w:pPr>
            <w:r>
              <w:rPr>
                <w:szCs w:val="24"/>
                <w:lang w:eastAsia="ru-RU"/>
              </w:rPr>
            </w:r>
            <w:r>
              <w:rPr>
                <w:szCs w:val="24"/>
                <w:lang w:eastAsia="ru-RU"/>
              </w:rPr>
            </w:r>
            <w:r>
              <w:rPr>
                <w:szCs w:val="24"/>
                <w:lang w:eastAsia="ru-RU"/>
              </w:rPr>
            </w:r>
          </w:p>
        </w:tc>
        <w:tc>
          <w:tcPr>
            <w:gridSpan w:val="8"/>
            <w:tcBorders>
              <w:top w:val="single" w:color="auto" w:sz="6" w:space="0"/>
              <w:left w:val="single" w:color="auto" w:sz="6" w:space="0"/>
              <w:bottom w:val="single" w:color="auto" w:sz="6" w:space="0"/>
              <w:right w:val="single" w:color="auto" w:sz="6" w:space="0"/>
            </w:tcBorders>
            <w:tcW w:w="8450" w:type="dxa"/>
            <w:vAlign w:val="center"/>
            <w:textDirection w:val="lrTb"/>
            <w:noWrap w:val="false"/>
          </w:tcPr>
          <w:p>
            <w:pPr>
              <w:jc w:val="center"/>
              <w:spacing w:line="360" w:lineRule="auto"/>
              <w:widowControl/>
              <w:rPr>
                <w:szCs w:val="24"/>
                <w:lang w:eastAsia="ru-RU"/>
              </w:rPr>
            </w:pPr>
            <w:r>
              <w:rPr>
                <w:szCs w:val="24"/>
                <w:lang w:eastAsia="ru-RU"/>
              </w:rPr>
              <w:t xml:space="preserve">Трубопровод</w:t>
            </w:r>
            <w:r>
              <w:rPr>
                <w:szCs w:val="24"/>
                <w:lang w:eastAsia="ru-RU"/>
              </w:rPr>
            </w:r>
            <w:r>
              <w:rPr>
                <w:szCs w:val="24"/>
                <w:lang w:eastAsia="ru-RU"/>
              </w:rPr>
            </w:r>
          </w:p>
        </w:tc>
      </w:tr>
      <w:tr>
        <w:tblPrEx/>
        <w:trPr>
          <w:cantSplit/>
          <w:jc w:val="center"/>
          <w:trHeight w:val="240"/>
        </w:trPr>
        <w:tc>
          <w:tcPr>
            <w:tcBorders>
              <w:top w:val="none" w:color="000000" w:sz="4" w:space="0"/>
              <w:left w:val="single" w:color="auto" w:sz="6" w:space="0"/>
              <w:bottom w:val="none" w:color="000000" w:sz="4" w:space="0"/>
              <w:right w:val="single" w:color="auto" w:sz="6" w:space="0"/>
            </w:tcBorders>
            <w:tcW w:w="1172" w:type="dxa"/>
            <w:vAlign w:val="center"/>
            <w:vMerge w:val="continue"/>
            <w:textDirection w:val="lrTb"/>
            <w:noWrap w:val="false"/>
          </w:tcPr>
          <w:p>
            <w:pPr>
              <w:jc w:val="center"/>
              <w:spacing w:line="360" w:lineRule="auto"/>
              <w:widowControl/>
              <w:rPr>
                <w:szCs w:val="24"/>
                <w:lang w:eastAsia="ru-RU"/>
              </w:rPr>
            </w:pPr>
            <w:r>
              <w:rPr>
                <w:szCs w:val="24"/>
                <w:lang w:eastAsia="ru-RU"/>
              </w:rPr>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1057" w:type="dxa"/>
            <w:vAlign w:val="center"/>
            <w:textDirection w:val="lrTb"/>
            <w:noWrap w:val="false"/>
          </w:tcPr>
          <w:p>
            <w:pPr>
              <w:jc w:val="center"/>
              <w:spacing w:line="360" w:lineRule="auto"/>
              <w:widowControl/>
              <w:rPr>
                <w:szCs w:val="24"/>
                <w:lang w:eastAsia="ru-RU"/>
              </w:rPr>
            </w:pPr>
            <w:r>
              <w:rPr>
                <w:szCs w:val="24"/>
                <w:lang w:eastAsia="ru-RU"/>
              </w:rPr>
              <w:t xml:space="preserve">подающий</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1057" w:type="dxa"/>
            <w:vAlign w:val="center"/>
            <w:textDirection w:val="lrTb"/>
            <w:noWrap w:val="false"/>
          </w:tcPr>
          <w:p>
            <w:pPr>
              <w:jc w:val="center"/>
              <w:spacing w:line="360" w:lineRule="auto"/>
              <w:widowControl/>
              <w:rPr>
                <w:szCs w:val="24"/>
                <w:lang w:eastAsia="ru-RU"/>
              </w:rPr>
            </w:pPr>
            <w:r>
              <w:rPr>
                <w:szCs w:val="24"/>
                <w:lang w:eastAsia="ru-RU"/>
              </w:rPr>
              <w:t xml:space="preserve">обратный</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1056" w:type="dxa"/>
            <w:vAlign w:val="center"/>
            <w:textDirection w:val="lrTb"/>
            <w:noWrap w:val="false"/>
          </w:tcPr>
          <w:p>
            <w:pPr>
              <w:jc w:val="center"/>
              <w:spacing w:line="360" w:lineRule="auto"/>
              <w:widowControl/>
              <w:rPr>
                <w:szCs w:val="24"/>
                <w:lang w:eastAsia="ru-RU"/>
              </w:rPr>
            </w:pPr>
            <w:r>
              <w:rPr>
                <w:szCs w:val="24"/>
                <w:lang w:eastAsia="ru-RU"/>
              </w:rPr>
              <w:t xml:space="preserve">подающий</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1056" w:type="dxa"/>
            <w:vAlign w:val="center"/>
            <w:textDirection w:val="lrTb"/>
            <w:noWrap w:val="false"/>
          </w:tcPr>
          <w:p>
            <w:pPr>
              <w:jc w:val="center"/>
              <w:spacing w:line="360" w:lineRule="auto"/>
              <w:widowControl/>
              <w:rPr>
                <w:szCs w:val="24"/>
                <w:lang w:eastAsia="ru-RU"/>
              </w:rPr>
            </w:pPr>
            <w:r>
              <w:rPr>
                <w:szCs w:val="24"/>
                <w:lang w:eastAsia="ru-RU"/>
              </w:rPr>
              <w:t xml:space="preserve">обратный</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1056" w:type="dxa"/>
            <w:vAlign w:val="center"/>
            <w:textDirection w:val="lrTb"/>
            <w:noWrap w:val="false"/>
          </w:tcPr>
          <w:p>
            <w:pPr>
              <w:jc w:val="center"/>
              <w:spacing w:line="360" w:lineRule="auto"/>
              <w:widowControl/>
              <w:rPr>
                <w:szCs w:val="24"/>
                <w:lang w:eastAsia="ru-RU"/>
              </w:rPr>
            </w:pPr>
            <w:r>
              <w:rPr>
                <w:szCs w:val="24"/>
                <w:lang w:eastAsia="ru-RU"/>
              </w:rPr>
              <w:t xml:space="preserve">Подающий</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1056" w:type="dxa"/>
            <w:vAlign w:val="center"/>
            <w:textDirection w:val="lrTb"/>
            <w:noWrap w:val="false"/>
          </w:tcPr>
          <w:p>
            <w:pPr>
              <w:jc w:val="center"/>
              <w:spacing w:line="360" w:lineRule="auto"/>
              <w:widowControl/>
              <w:rPr>
                <w:szCs w:val="24"/>
                <w:lang w:eastAsia="ru-RU"/>
              </w:rPr>
            </w:pPr>
            <w:r>
              <w:rPr>
                <w:szCs w:val="24"/>
                <w:lang w:eastAsia="ru-RU"/>
              </w:rPr>
              <w:t xml:space="preserve">обратный</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1056" w:type="dxa"/>
            <w:vAlign w:val="center"/>
            <w:textDirection w:val="lrTb"/>
            <w:noWrap w:val="false"/>
          </w:tcPr>
          <w:p>
            <w:pPr>
              <w:jc w:val="center"/>
              <w:spacing w:line="360" w:lineRule="auto"/>
              <w:widowControl/>
              <w:rPr>
                <w:szCs w:val="24"/>
                <w:lang w:eastAsia="ru-RU"/>
              </w:rPr>
            </w:pPr>
            <w:r>
              <w:rPr>
                <w:szCs w:val="24"/>
                <w:lang w:eastAsia="ru-RU"/>
              </w:rPr>
              <w:t xml:space="preserve">подающий</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1056" w:type="dxa"/>
            <w:vAlign w:val="center"/>
            <w:textDirection w:val="lrTb"/>
            <w:noWrap w:val="false"/>
          </w:tcPr>
          <w:p>
            <w:pPr>
              <w:jc w:val="center"/>
              <w:spacing w:line="360" w:lineRule="auto"/>
              <w:widowControl/>
              <w:rPr>
                <w:szCs w:val="24"/>
                <w:lang w:eastAsia="ru-RU"/>
              </w:rPr>
            </w:pPr>
            <w:r>
              <w:rPr>
                <w:szCs w:val="24"/>
                <w:lang w:eastAsia="ru-RU"/>
              </w:rPr>
              <w:t xml:space="preserve">обратный</w:t>
            </w:r>
            <w:r>
              <w:rPr>
                <w:szCs w:val="24"/>
                <w:lang w:eastAsia="ru-RU"/>
              </w:rPr>
            </w:r>
            <w:r>
              <w:rPr>
                <w:szCs w:val="24"/>
                <w:lang w:eastAsia="ru-RU"/>
              </w:rPr>
            </w:r>
          </w:p>
        </w:tc>
      </w:tr>
      <w:tr>
        <w:tblPrEx/>
        <w:trPr>
          <w:cantSplit/>
          <w:jc w:val="center"/>
          <w:trHeight w:val="240"/>
        </w:trPr>
        <w:tc>
          <w:tcPr>
            <w:tcBorders>
              <w:top w:val="none" w:color="000000" w:sz="4" w:space="0"/>
              <w:left w:val="single" w:color="auto" w:sz="6" w:space="0"/>
              <w:bottom w:val="none" w:color="000000" w:sz="4" w:space="0"/>
              <w:right w:val="single" w:color="auto" w:sz="6" w:space="0"/>
            </w:tcBorders>
            <w:tcW w:w="1172" w:type="dxa"/>
            <w:vAlign w:val="center"/>
            <w:vMerge w:val="continue"/>
            <w:textDirection w:val="lrTb"/>
            <w:noWrap w:val="false"/>
          </w:tcPr>
          <w:p>
            <w:pPr>
              <w:jc w:val="center"/>
              <w:spacing w:line="360" w:lineRule="auto"/>
              <w:widowControl/>
              <w:rPr>
                <w:szCs w:val="24"/>
                <w:lang w:eastAsia="ru-RU"/>
              </w:rPr>
            </w:pPr>
            <w:r>
              <w:rPr>
                <w:szCs w:val="24"/>
                <w:lang w:eastAsia="ru-RU"/>
              </w:rPr>
            </w:r>
            <w:r>
              <w:rPr>
                <w:szCs w:val="24"/>
                <w:lang w:eastAsia="ru-RU"/>
              </w:rPr>
            </w:r>
            <w:r>
              <w:rPr>
                <w:szCs w:val="24"/>
                <w:lang w:eastAsia="ru-RU"/>
              </w:rPr>
            </w:r>
          </w:p>
        </w:tc>
        <w:tc>
          <w:tcPr>
            <w:gridSpan w:val="8"/>
            <w:tcBorders>
              <w:top w:val="single" w:color="auto" w:sz="6" w:space="0"/>
              <w:left w:val="single" w:color="auto" w:sz="6" w:space="0"/>
              <w:bottom w:val="single" w:color="auto" w:sz="6" w:space="0"/>
              <w:right w:val="single" w:color="auto" w:sz="6" w:space="0"/>
            </w:tcBorders>
            <w:tcW w:w="8450" w:type="dxa"/>
            <w:vAlign w:val="center"/>
            <w:textDirection w:val="lrTb"/>
            <w:noWrap w:val="false"/>
          </w:tcPr>
          <w:p>
            <w:pPr>
              <w:jc w:val="center"/>
              <w:spacing w:line="360" w:lineRule="auto"/>
              <w:widowControl/>
              <w:rPr>
                <w:szCs w:val="24"/>
                <w:lang w:eastAsia="ru-RU"/>
              </w:rPr>
            </w:pPr>
            <w:r>
              <w:rPr>
                <w:szCs w:val="24"/>
                <w:lang w:eastAsia="ru-RU"/>
              </w:rPr>
              <w:t xml:space="preserve">Температура теплоносителя, °C</w:t>
            </w:r>
            <w:r>
              <w:rPr>
                <w:szCs w:val="24"/>
                <w:lang w:eastAsia="ru-RU"/>
              </w:rPr>
            </w:r>
            <w:r>
              <w:rPr>
                <w:szCs w:val="24"/>
                <w:lang w:eastAsia="ru-RU"/>
              </w:rPr>
            </w:r>
          </w:p>
        </w:tc>
      </w:tr>
      <w:tr>
        <w:tblPrEx/>
        <w:trPr>
          <w:cantSplit/>
          <w:jc w:val="center"/>
          <w:trHeight w:val="240"/>
        </w:trPr>
        <w:tc>
          <w:tcPr>
            <w:tcBorders>
              <w:top w:val="none" w:color="000000" w:sz="4" w:space="0"/>
              <w:left w:val="single" w:color="auto" w:sz="6" w:space="0"/>
              <w:bottom w:val="single" w:color="auto" w:sz="6" w:space="0"/>
              <w:right w:val="single" w:color="auto" w:sz="6" w:space="0"/>
            </w:tcBorders>
            <w:tcW w:w="1172" w:type="dxa"/>
            <w:vAlign w:val="center"/>
            <w:vMerge w:val="continue"/>
            <w:textDirection w:val="lrTb"/>
            <w:noWrap w:val="false"/>
          </w:tcPr>
          <w:p>
            <w:pPr>
              <w:jc w:val="center"/>
              <w:spacing w:line="360" w:lineRule="auto"/>
              <w:widowControl/>
              <w:rPr>
                <w:szCs w:val="24"/>
                <w:lang w:eastAsia="ru-RU"/>
              </w:rPr>
            </w:pPr>
            <w:r>
              <w:rPr>
                <w:szCs w:val="24"/>
                <w:lang w:eastAsia="ru-RU"/>
              </w:rPr>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1057" w:type="dxa"/>
            <w:vAlign w:val="center"/>
            <w:textDirection w:val="lrTb"/>
            <w:noWrap w:val="false"/>
          </w:tcPr>
          <w:p>
            <w:pPr>
              <w:jc w:val="center"/>
              <w:spacing w:line="360" w:lineRule="auto"/>
              <w:widowControl/>
              <w:rPr>
                <w:szCs w:val="24"/>
                <w:lang w:eastAsia="ru-RU"/>
              </w:rPr>
            </w:pPr>
            <w:r>
              <w:rPr>
                <w:szCs w:val="24"/>
                <w:lang w:eastAsia="ru-RU"/>
              </w:rPr>
              <w:t xml:space="preserve">65</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1057" w:type="dxa"/>
            <w:vAlign w:val="center"/>
            <w:textDirection w:val="lrTb"/>
            <w:noWrap w:val="false"/>
          </w:tcPr>
          <w:p>
            <w:pPr>
              <w:jc w:val="center"/>
              <w:spacing w:line="360" w:lineRule="auto"/>
              <w:widowControl/>
              <w:rPr>
                <w:szCs w:val="24"/>
                <w:lang w:eastAsia="ru-RU"/>
              </w:rPr>
            </w:pPr>
            <w:r>
              <w:rPr>
                <w:szCs w:val="24"/>
                <w:lang w:eastAsia="ru-RU"/>
              </w:rPr>
              <w:t xml:space="preserve">50</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1056" w:type="dxa"/>
            <w:vAlign w:val="center"/>
            <w:textDirection w:val="lrTb"/>
            <w:noWrap w:val="false"/>
          </w:tcPr>
          <w:p>
            <w:pPr>
              <w:jc w:val="center"/>
              <w:spacing w:line="360" w:lineRule="auto"/>
              <w:widowControl/>
              <w:rPr>
                <w:szCs w:val="24"/>
                <w:lang w:eastAsia="ru-RU"/>
              </w:rPr>
            </w:pPr>
            <w:r>
              <w:rPr>
                <w:szCs w:val="24"/>
                <w:lang w:eastAsia="ru-RU"/>
              </w:rPr>
              <w:t xml:space="preserve">90</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1056" w:type="dxa"/>
            <w:vAlign w:val="center"/>
            <w:textDirection w:val="lrTb"/>
            <w:noWrap w:val="false"/>
          </w:tcPr>
          <w:p>
            <w:pPr>
              <w:jc w:val="center"/>
              <w:spacing w:line="360" w:lineRule="auto"/>
              <w:widowControl/>
              <w:rPr>
                <w:szCs w:val="24"/>
                <w:lang w:eastAsia="ru-RU"/>
              </w:rPr>
            </w:pPr>
            <w:r>
              <w:rPr>
                <w:szCs w:val="24"/>
                <w:lang w:eastAsia="ru-RU"/>
              </w:rPr>
              <w:t xml:space="preserve">50</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1056" w:type="dxa"/>
            <w:vAlign w:val="center"/>
            <w:textDirection w:val="lrTb"/>
            <w:noWrap w:val="false"/>
          </w:tcPr>
          <w:p>
            <w:pPr>
              <w:jc w:val="center"/>
              <w:spacing w:line="360" w:lineRule="auto"/>
              <w:widowControl/>
              <w:rPr>
                <w:szCs w:val="24"/>
                <w:lang w:eastAsia="ru-RU"/>
              </w:rPr>
            </w:pPr>
            <w:r>
              <w:rPr>
                <w:szCs w:val="24"/>
                <w:lang w:eastAsia="ru-RU"/>
              </w:rPr>
              <w:t xml:space="preserve">65</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1056" w:type="dxa"/>
            <w:vAlign w:val="center"/>
            <w:textDirection w:val="lrTb"/>
            <w:noWrap w:val="false"/>
          </w:tcPr>
          <w:p>
            <w:pPr>
              <w:jc w:val="center"/>
              <w:spacing w:line="360" w:lineRule="auto"/>
              <w:widowControl/>
              <w:rPr>
                <w:szCs w:val="24"/>
                <w:lang w:eastAsia="ru-RU"/>
              </w:rPr>
            </w:pPr>
            <w:r>
              <w:rPr>
                <w:szCs w:val="24"/>
                <w:lang w:eastAsia="ru-RU"/>
              </w:rPr>
              <w:t xml:space="preserve">50</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1056" w:type="dxa"/>
            <w:vAlign w:val="center"/>
            <w:textDirection w:val="lrTb"/>
            <w:noWrap w:val="false"/>
          </w:tcPr>
          <w:p>
            <w:pPr>
              <w:jc w:val="center"/>
              <w:spacing w:line="360" w:lineRule="auto"/>
              <w:widowControl/>
              <w:rPr>
                <w:szCs w:val="24"/>
                <w:lang w:eastAsia="ru-RU"/>
              </w:rPr>
            </w:pPr>
            <w:r>
              <w:rPr>
                <w:szCs w:val="24"/>
                <w:lang w:eastAsia="ru-RU"/>
              </w:rPr>
              <w:t xml:space="preserve">90</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1056" w:type="dxa"/>
            <w:vAlign w:val="center"/>
            <w:textDirection w:val="lrTb"/>
            <w:noWrap w:val="false"/>
          </w:tcPr>
          <w:p>
            <w:pPr>
              <w:jc w:val="center"/>
              <w:spacing w:line="360" w:lineRule="auto"/>
              <w:widowControl/>
              <w:rPr>
                <w:szCs w:val="24"/>
                <w:lang w:eastAsia="ru-RU"/>
              </w:rPr>
            </w:pPr>
            <w:r>
              <w:rPr>
                <w:szCs w:val="24"/>
                <w:lang w:eastAsia="ru-RU"/>
              </w:rPr>
              <w:t xml:space="preserve">50</w:t>
            </w:r>
            <w:r>
              <w:rPr>
                <w:szCs w:val="24"/>
                <w:lang w:eastAsia="ru-RU"/>
              </w:rPr>
            </w:r>
            <w:r>
              <w:rPr>
                <w:szCs w:val="24"/>
                <w:lang w:eastAsia="ru-RU"/>
              </w:rPr>
            </w:r>
          </w:p>
        </w:tc>
      </w:tr>
      <w:tr>
        <w:tblPrEx/>
        <w:trPr>
          <w:cantSplit/>
          <w:jc w:val="center"/>
          <w:trHeight w:val="2160"/>
        </w:trPr>
        <w:tc>
          <w:tcPr>
            <w:tcBorders>
              <w:top w:val="single" w:color="auto" w:sz="6" w:space="0"/>
              <w:left w:val="single" w:color="auto" w:sz="6" w:space="0"/>
              <w:bottom w:val="single" w:color="auto" w:sz="6" w:space="0"/>
              <w:right w:val="single" w:color="auto" w:sz="6" w:space="0"/>
            </w:tcBorders>
            <w:tcW w:w="1172" w:type="dxa"/>
            <w:vAlign w:val="center"/>
            <w:textDirection w:val="lrTb"/>
            <w:noWrap w:val="false"/>
          </w:tcPr>
          <w:p>
            <w:pPr>
              <w:jc w:val="center"/>
              <w:spacing w:line="360" w:lineRule="auto"/>
              <w:widowControl/>
              <w:rPr>
                <w:szCs w:val="24"/>
                <w:lang w:eastAsia="ru-RU"/>
              </w:rPr>
            </w:pPr>
            <w:r>
              <w:rPr>
                <w:szCs w:val="24"/>
                <w:lang w:eastAsia="ru-RU"/>
              </w:rPr>
              <w:t xml:space="preserve">25    </w:t>
            </w:r>
            <w:r>
              <w:rPr>
                <w:szCs w:val="24"/>
                <w:lang w:eastAsia="ru-RU"/>
              </w:rPr>
              <w:br/>
              <w:t xml:space="preserve">50    </w:t>
            </w:r>
            <w:r>
              <w:rPr>
                <w:szCs w:val="24"/>
                <w:lang w:eastAsia="ru-RU"/>
              </w:rPr>
              <w:br/>
              <w:t xml:space="preserve">65    </w:t>
            </w:r>
            <w:r>
              <w:rPr>
                <w:szCs w:val="24"/>
                <w:lang w:eastAsia="ru-RU"/>
              </w:rPr>
              <w:br/>
              <w:t xml:space="preserve">80    </w:t>
            </w:r>
            <w:r>
              <w:rPr>
                <w:szCs w:val="24"/>
                <w:lang w:eastAsia="ru-RU"/>
              </w:rPr>
              <w:br/>
              <w:t xml:space="preserve">100   </w:t>
            </w:r>
            <w:r>
              <w:rPr>
                <w:szCs w:val="24"/>
                <w:lang w:eastAsia="ru-RU"/>
              </w:rPr>
              <w:br/>
              <w:t xml:space="preserve">125   </w:t>
            </w:r>
            <w:r>
              <w:rPr>
                <w:szCs w:val="24"/>
                <w:lang w:eastAsia="ru-RU"/>
              </w:rPr>
              <w:br/>
              <w:t xml:space="preserve">150   </w:t>
            </w:r>
            <w:r>
              <w:rPr>
                <w:szCs w:val="24"/>
                <w:lang w:eastAsia="ru-RU"/>
              </w:rPr>
              <w:br/>
              <w:t xml:space="preserve">200   </w:t>
            </w:r>
            <w:r>
              <w:rPr>
                <w:szCs w:val="24"/>
                <w:lang w:eastAsia="ru-RU"/>
              </w:rPr>
              <w:br/>
              <w:t xml:space="preserve">250   </w:t>
            </w:r>
            <w:r>
              <w:rPr>
                <w:szCs w:val="24"/>
                <w:lang w:eastAsia="ru-RU"/>
              </w:rPr>
              <w:br/>
              <w:t xml:space="preserve">300   </w:t>
            </w:r>
            <w:r>
              <w:rPr>
                <w:szCs w:val="24"/>
                <w:lang w:eastAsia="ru-RU"/>
              </w:rPr>
              <w:br/>
              <w:t xml:space="preserve">350   </w:t>
            </w:r>
            <w:r>
              <w:rPr>
                <w:szCs w:val="24"/>
                <w:lang w:eastAsia="ru-RU"/>
              </w:rPr>
              <w:br/>
              <w:t xml:space="preserve">400   </w:t>
            </w:r>
            <w:r>
              <w:rPr>
                <w:szCs w:val="24"/>
                <w:lang w:eastAsia="ru-RU"/>
              </w:rPr>
              <w:br/>
              <w:t xml:space="preserve">450   </w:t>
            </w:r>
            <w:r>
              <w:rPr>
                <w:szCs w:val="24"/>
                <w:lang w:eastAsia="ru-RU"/>
              </w:rPr>
              <w:br/>
              <w:t xml:space="preserve">500   </w:t>
            </w:r>
            <w:r>
              <w:rPr>
                <w:szCs w:val="24"/>
                <w:lang w:eastAsia="ru-RU"/>
              </w:rPr>
              <w:br/>
              <w:t xml:space="preserve">600   </w:t>
            </w:r>
            <w:r>
              <w:rPr>
                <w:szCs w:val="24"/>
                <w:lang w:eastAsia="ru-RU"/>
              </w:rPr>
              <w:br/>
              <w:t xml:space="preserve">700   </w:t>
            </w:r>
            <w:r>
              <w:rPr>
                <w:szCs w:val="24"/>
                <w:lang w:eastAsia="ru-RU"/>
              </w:rPr>
              <w:br/>
              <w:t xml:space="preserve">800</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1057" w:type="dxa"/>
            <w:vAlign w:val="center"/>
            <w:textDirection w:val="lrTb"/>
            <w:noWrap w:val="false"/>
          </w:tcPr>
          <w:p>
            <w:pPr>
              <w:jc w:val="center"/>
              <w:spacing w:line="360" w:lineRule="auto"/>
              <w:widowControl/>
              <w:rPr>
                <w:szCs w:val="24"/>
                <w:lang w:eastAsia="ru-RU"/>
              </w:rPr>
            </w:pPr>
            <w:r>
              <w:rPr>
                <w:szCs w:val="24"/>
                <w:lang w:eastAsia="ru-RU"/>
              </w:rPr>
              <w:t xml:space="preserve">31   </w:t>
            </w:r>
            <w:r>
              <w:rPr>
                <w:szCs w:val="24"/>
                <w:lang w:eastAsia="ru-RU"/>
              </w:rPr>
              <w:br/>
              <w:t xml:space="preserve">38   </w:t>
            </w:r>
            <w:r>
              <w:rPr>
                <w:szCs w:val="24"/>
                <w:lang w:eastAsia="ru-RU"/>
              </w:rPr>
              <w:br/>
              <w:t xml:space="preserve">43   </w:t>
            </w:r>
            <w:r>
              <w:rPr>
                <w:szCs w:val="24"/>
                <w:lang w:eastAsia="ru-RU"/>
              </w:rPr>
              <w:br/>
              <w:t xml:space="preserve">44   </w:t>
            </w:r>
            <w:r>
              <w:rPr>
                <w:szCs w:val="24"/>
                <w:lang w:eastAsia="ru-RU"/>
              </w:rPr>
              <w:br/>
              <w:t xml:space="preserve">47   </w:t>
            </w:r>
            <w:r>
              <w:rPr>
                <w:szCs w:val="24"/>
                <w:lang w:eastAsia="ru-RU"/>
              </w:rPr>
              <w:br/>
              <w:t xml:space="preserve">52   </w:t>
            </w:r>
            <w:r>
              <w:rPr>
                <w:szCs w:val="24"/>
                <w:lang w:eastAsia="ru-RU"/>
              </w:rPr>
              <w:br/>
              <w:t xml:space="preserve">59   </w:t>
            </w:r>
            <w:r>
              <w:rPr>
                <w:szCs w:val="24"/>
                <w:lang w:eastAsia="ru-RU"/>
              </w:rPr>
              <w:br/>
              <w:t xml:space="preserve">66   </w:t>
            </w:r>
            <w:r>
              <w:rPr>
                <w:szCs w:val="24"/>
                <w:lang w:eastAsia="ru-RU"/>
              </w:rPr>
              <w:br/>
              <w:t xml:space="preserve">71   </w:t>
            </w:r>
            <w:r>
              <w:rPr>
                <w:szCs w:val="24"/>
                <w:lang w:eastAsia="ru-RU"/>
              </w:rPr>
              <w:br/>
              <w:t xml:space="preserve">78   </w:t>
            </w:r>
            <w:r>
              <w:rPr>
                <w:szCs w:val="24"/>
                <w:lang w:eastAsia="ru-RU"/>
              </w:rPr>
              <w:br/>
              <w:t xml:space="preserve">87   </w:t>
            </w:r>
            <w:r>
              <w:rPr>
                <w:szCs w:val="24"/>
                <w:lang w:eastAsia="ru-RU"/>
              </w:rPr>
              <w:br/>
              <w:t xml:space="preserve">93   </w:t>
            </w:r>
            <w:r>
              <w:rPr>
                <w:szCs w:val="24"/>
                <w:lang w:eastAsia="ru-RU"/>
              </w:rPr>
              <w:br/>
              <w:t xml:space="preserve">100   </w:t>
            </w:r>
            <w:r>
              <w:rPr>
                <w:szCs w:val="24"/>
                <w:lang w:eastAsia="ru-RU"/>
              </w:rPr>
              <w:br/>
              <w:t xml:space="preserve">106   </w:t>
            </w:r>
            <w:r>
              <w:rPr>
                <w:szCs w:val="24"/>
                <w:lang w:eastAsia="ru-RU"/>
              </w:rPr>
              <w:br/>
              <w:t xml:space="preserve">120   </w:t>
            </w:r>
            <w:r>
              <w:rPr>
                <w:szCs w:val="24"/>
                <w:lang w:eastAsia="ru-RU"/>
              </w:rPr>
              <w:br/>
              <w:t xml:space="preserve">134   </w:t>
            </w:r>
            <w:r>
              <w:rPr>
                <w:szCs w:val="24"/>
                <w:lang w:eastAsia="ru-RU"/>
              </w:rPr>
              <w:br/>
              <w:t xml:space="preserve">145</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1057" w:type="dxa"/>
            <w:vAlign w:val="center"/>
            <w:textDirection w:val="lrTb"/>
            <w:noWrap w:val="false"/>
          </w:tcPr>
          <w:p>
            <w:pPr>
              <w:jc w:val="center"/>
              <w:spacing w:line="360" w:lineRule="auto"/>
              <w:widowControl/>
              <w:rPr>
                <w:szCs w:val="24"/>
                <w:lang w:eastAsia="ru-RU"/>
              </w:rPr>
            </w:pPr>
            <w:r>
              <w:rPr>
                <w:szCs w:val="24"/>
                <w:lang w:eastAsia="ru-RU"/>
              </w:rPr>
              <w:t xml:space="preserve">23   </w:t>
            </w:r>
            <w:r>
              <w:rPr>
                <w:szCs w:val="24"/>
                <w:lang w:eastAsia="ru-RU"/>
              </w:rPr>
              <w:br/>
              <w:t xml:space="preserve">29   </w:t>
            </w:r>
            <w:r>
              <w:rPr>
                <w:szCs w:val="24"/>
                <w:lang w:eastAsia="ru-RU"/>
              </w:rPr>
              <w:br/>
              <w:t xml:space="preserve">33   </w:t>
            </w:r>
            <w:r>
              <w:rPr>
                <w:szCs w:val="24"/>
                <w:lang w:eastAsia="ru-RU"/>
              </w:rPr>
              <w:br/>
              <w:t xml:space="preserve">34   </w:t>
            </w:r>
            <w:r>
              <w:rPr>
                <w:szCs w:val="24"/>
                <w:lang w:eastAsia="ru-RU"/>
              </w:rPr>
              <w:br/>
              <w:t xml:space="preserve">36   </w:t>
            </w:r>
            <w:r>
              <w:rPr>
                <w:szCs w:val="24"/>
                <w:lang w:eastAsia="ru-RU"/>
              </w:rPr>
              <w:br/>
              <w:t xml:space="preserve">40   </w:t>
            </w:r>
            <w:r>
              <w:rPr>
                <w:szCs w:val="24"/>
                <w:lang w:eastAsia="ru-RU"/>
              </w:rPr>
              <w:br/>
              <w:t xml:space="preserve">45   </w:t>
            </w:r>
            <w:r>
              <w:rPr>
                <w:szCs w:val="24"/>
                <w:lang w:eastAsia="ru-RU"/>
              </w:rPr>
              <w:br/>
              <w:t xml:space="preserve">51   </w:t>
            </w:r>
            <w:r>
              <w:rPr>
                <w:szCs w:val="24"/>
                <w:lang w:eastAsia="ru-RU"/>
              </w:rPr>
              <w:br/>
              <w:t xml:space="preserve">54   </w:t>
            </w:r>
            <w:r>
              <w:rPr>
                <w:szCs w:val="24"/>
                <w:lang w:eastAsia="ru-RU"/>
              </w:rPr>
              <w:br/>
              <w:t xml:space="preserve">59   </w:t>
            </w:r>
            <w:r>
              <w:rPr>
                <w:szCs w:val="24"/>
                <w:lang w:eastAsia="ru-RU"/>
              </w:rPr>
              <w:br/>
              <w:t xml:space="preserve">65   </w:t>
            </w:r>
            <w:r>
              <w:rPr>
                <w:szCs w:val="24"/>
                <w:lang w:eastAsia="ru-RU"/>
              </w:rPr>
              <w:br/>
              <w:t xml:space="preserve">69   </w:t>
            </w:r>
            <w:r>
              <w:rPr>
                <w:szCs w:val="24"/>
                <w:lang w:eastAsia="ru-RU"/>
              </w:rPr>
              <w:br/>
              <w:t xml:space="preserve">74   </w:t>
            </w:r>
            <w:r>
              <w:rPr>
                <w:szCs w:val="24"/>
                <w:lang w:eastAsia="ru-RU"/>
              </w:rPr>
              <w:br/>
              <w:t xml:space="preserve">78   </w:t>
            </w:r>
            <w:r>
              <w:rPr>
                <w:szCs w:val="24"/>
                <w:lang w:eastAsia="ru-RU"/>
              </w:rPr>
              <w:br/>
              <w:t xml:space="preserve">89   </w:t>
            </w:r>
            <w:r>
              <w:rPr>
                <w:szCs w:val="24"/>
                <w:lang w:eastAsia="ru-RU"/>
              </w:rPr>
              <w:br/>
              <w:t xml:space="preserve">96   </w:t>
            </w:r>
            <w:r>
              <w:rPr>
                <w:szCs w:val="24"/>
                <w:lang w:eastAsia="ru-RU"/>
              </w:rPr>
              <w:br/>
              <w:t xml:space="preserve">105</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1056" w:type="dxa"/>
            <w:vAlign w:val="center"/>
            <w:textDirection w:val="lrTb"/>
            <w:noWrap w:val="false"/>
          </w:tcPr>
          <w:p>
            <w:pPr>
              <w:jc w:val="center"/>
              <w:spacing w:line="360" w:lineRule="auto"/>
              <w:widowControl/>
              <w:rPr>
                <w:szCs w:val="24"/>
                <w:lang w:eastAsia="ru-RU"/>
              </w:rPr>
            </w:pPr>
            <w:r>
              <w:rPr>
                <w:szCs w:val="24"/>
                <w:lang w:eastAsia="ru-RU"/>
              </w:rPr>
              <w:t xml:space="preserve">41   </w:t>
            </w:r>
            <w:r>
              <w:rPr>
                <w:szCs w:val="24"/>
                <w:lang w:eastAsia="ru-RU"/>
              </w:rPr>
              <w:br/>
              <w:t xml:space="preserve">52   </w:t>
            </w:r>
            <w:r>
              <w:rPr>
                <w:szCs w:val="24"/>
                <w:lang w:eastAsia="ru-RU"/>
              </w:rPr>
              <w:br/>
              <w:t xml:space="preserve">58   </w:t>
            </w:r>
            <w:r>
              <w:rPr>
                <w:szCs w:val="24"/>
                <w:lang w:eastAsia="ru-RU"/>
              </w:rPr>
              <w:br/>
              <w:t xml:space="preserve">59   </w:t>
            </w:r>
            <w:r>
              <w:rPr>
                <w:szCs w:val="24"/>
                <w:lang w:eastAsia="ru-RU"/>
              </w:rPr>
              <w:br/>
              <w:t xml:space="preserve">64   </w:t>
            </w:r>
            <w:r>
              <w:rPr>
                <w:szCs w:val="24"/>
                <w:lang w:eastAsia="ru-RU"/>
              </w:rPr>
              <w:br/>
              <w:t xml:space="preserve">70   </w:t>
            </w:r>
            <w:r>
              <w:rPr>
                <w:szCs w:val="24"/>
                <w:lang w:eastAsia="ru-RU"/>
              </w:rPr>
              <w:br/>
              <w:t xml:space="preserve">78   </w:t>
            </w:r>
            <w:r>
              <w:rPr>
                <w:szCs w:val="24"/>
                <w:lang w:eastAsia="ru-RU"/>
              </w:rPr>
              <w:br/>
              <w:t xml:space="preserve">87   </w:t>
            </w:r>
            <w:r>
              <w:rPr>
                <w:szCs w:val="24"/>
                <w:lang w:eastAsia="ru-RU"/>
              </w:rPr>
              <w:br/>
              <w:t xml:space="preserve">95   </w:t>
            </w:r>
            <w:r>
              <w:rPr>
                <w:szCs w:val="24"/>
                <w:lang w:eastAsia="ru-RU"/>
              </w:rPr>
              <w:br/>
              <w:t xml:space="preserve">105   </w:t>
            </w:r>
            <w:r>
              <w:rPr>
                <w:szCs w:val="24"/>
                <w:lang w:eastAsia="ru-RU"/>
              </w:rPr>
              <w:br/>
              <w:t xml:space="preserve">114   </w:t>
            </w:r>
            <w:r>
              <w:rPr>
                <w:szCs w:val="24"/>
                <w:lang w:eastAsia="ru-RU"/>
              </w:rPr>
              <w:br/>
              <w:t xml:space="preserve">120   </w:t>
            </w:r>
            <w:r>
              <w:rPr>
                <w:szCs w:val="24"/>
                <w:lang w:eastAsia="ru-RU"/>
              </w:rPr>
              <w:br/>
              <w:t xml:space="preserve">130   </w:t>
            </w:r>
            <w:r>
              <w:rPr>
                <w:szCs w:val="24"/>
                <w:lang w:eastAsia="ru-RU"/>
              </w:rPr>
              <w:br/>
              <w:t xml:space="preserve">140   </w:t>
            </w:r>
            <w:r>
              <w:rPr>
                <w:szCs w:val="24"/>
                <w:lang w:eastAsia="ru-RU"/>
              </w:rPr>
              <w:br/>
              <w:t xml:space="preserve">160   </w:t>
            </w:r>
            <w:r>
              <w:rPr>
                <w:szCs w:val="24"/>
                <w:lang w:eastAsia="ru-RU"/>
              </w:rPr>
              <w:br/>
              <w:t xml:space="preserve">175   </w:t>
            </w:r>
            <w:r>
              <w:rPr>
                <w:szCs w:val="24"/>
                <w:lang w:eastAsia="ru-RU"/>
              </w:rPr>
              <w:br/>
              <w:t xml:space="preserve">194</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1056" w:type="dxa"/>
            <w:vAlign w:val="center"/>
            <w:textDirection w:val="lrTb"/>
            <w:noWrap w:val="false"/>
          </w:tcPr>
          <w:p>
            <w:pPr>
              <w:jc w:val="center"/>
              <w:spacing w:line="360" w:lineRule="auto"/>
              <w:widowControl/>
              <w:rPr>
                <w:szCs w:val="24"/>
                <w:lang w:eastAsia="ru-RU"/>
              </w:rPr>
            </w:pPr>
            <w:r>
              <w:rPr>
                <w:szCs w:val="24"/>
                <w:lang w:eastAsia="ru-RU"/>
              </w:rPr>
              <w:t xml:space="preserve">22   </w:t>
            </w:r>
            <w:r>
              <w:rPr>
                <w:szCs w:val="24"/>
                <w:lang w:eastAsia="ru-RU"/>
              </w:rPr>
              <w:br/>
              <w:t xml:space="preserve">28   </w:t>
            </w:r>
            <w:r>
              <w:rPr>
                <w:szCs w:val="24"/>
                <w:lang w:eastAsia="ru-RU"/>
              </w:rPr>
              <w:br/>
              <w:t xml:space="preserve">31   </w:t>
            </w:r>
            <w:r>
              <w:rPr>
                <w:szCs w:val="24"/>
                <w:lang w:eastAsia="ru-RU"/>
              </w:rPr>
              <w:br/>
              <w:t xml:space="preserve">32   </w:t>
            </w:r>
            <w:r>
              <w:rPr>
                <w:szCs w:val="24"/>
                <w:lang w:eastAsia="ru-RU"/>
              </w:rPr>
              <w:br/>
              <w:t xml:space="preserve">34   </w:t>
            </w:r>
            <w:r>
              <w:rPr>
                <w:szCs w:val="24"/>
                <w:lang w:eastAsia="ru-RU"/>
              </w:rPr>
              <w:br/>
              <w:t xml:space="preserve">38   </w:t>
            </w:r>
            <w:r>
              <w:rPr>
                <w:szCs w:val="24"/>
                <w:lang w:eastAsia="ru-RU"/>
              </w:rPr>
              <w:br/>
              <w:t xml:space="preserve">42   </w:t>
            </w:r>
            <w:r>
              <w:rPr>
                <w:szCs w:val="24"/>
                <w:lang w:eastAsia="ru-RU"/>
              </w:rPr>
              <w:br/>
              <w:t xml:space="preserve">46   </w:t>
            </w:r>
            <w:r>
              <w:rPr>
                <w:szCs w:val="24"/>
                <w:lang w:eastAsia="ru-RU"/>
              </w:rPr>
              <w:br/>
              <w:t xml:space="preserve">51   </w:t>
            </w:r>
            <w:r>
              <w:rPr>
                <w:szCs w:val="24"/>
                <w:lang w:eastAsia="ru-RU"/>
              </w:rPr>
              <w:br/>
              <w:t xml:space="preserve">55   </w:t>
            </w:r>
            <w:r>
              <w:rPr>
                <w:szCs w:val="24"/>
                <w:lang w:eastAsia="ru-RU"/>
              </w:rPr>
              <w:br/>
              <w:t xml:space="preserve">59   </w:t>
            </w:r>
            <w:r>
              <w:rPr>
                <w:szCs w:val="24"/>
                <w:lang w:eastAsia="ru-RU"/>
              </w:rPr>
              <w:br/>
              <w:t xml:space="preserve">63   </w:t>
            </w:r>
            <w:r>
              <w:rPr>
                <w:szCs w:val="24"/>
                <w:lang w:eastAsia="ru-RU"/>
              </w:rPr>
              <w:br/>
              <w:t xml:space="preserve">67   </w:t>
            </w:r>
            <w:r>
              <w:rPr>
                <w:szCs w:val="24"/>
                <w:lang w:eastAsia="ru-RU"/>
              </w:rPr>
              <w:br/>
              <w:t xml:space="preserve">71   </w:t>
            </w:r>
            <w:r>
              <w:rPr>
                <w:szCs w:val="24"/>
                <w:lang w:eastAsia="ru-RU"/>
              </w:rPr>
              <w:br/>
              <w:t xml:space="preserve">81   </w:t>
            </w:r>
            <w:r>
              <w:rPr>
                <w:szCs w:val="24"/>
                <w:lang w:eastAsia="ru-RU"/>
              </w:rPr>
              <w:br/>
              <w:t xml:space="preserve">86   </w:t>
            </w:r>
            <w:r>
              <w:rPr>
                <w:szCs w:val="24"/>
                <w:lang w:eastAsia="ru-RU"/>
              </w:rPr>
              <w:br/>
              <w:t xml:space="preserve">94</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1056" w:type="dxa"/>
            <w:vAlign w:val="center"/>
            <w:textDirection w:val="lrTb"/>
            <w:noWrap w:val="false"/>
          </w:tcPr>
          <w:p>
            <w:pPr>
              <w:jc w:val="center"/>
              <w:spacing w:line="360" w:lineRule="auto"/>
              <w:widowControl/>
              <w:rPr>
                <w:szCs w:val="24"/>
                <w:lang w:eastAsia="ru-RU"/>
              </w:rPr>
            </w:pPr>
            <w:r>
              <w:rPr>
                <w:szCs w:val="24"/>
                <w:lang w:eastAsia="ru-RU"/>
              </w:rPr>
              <w:t xml:space="preserve">28   </w:t>
            </w:r>
            <w:r>
              <w:rPr>
                <w:szCs w:val="24"/>
                <w:lang w:eastAsia="ru-RU"/>
              </w:rPr>
              <w:br/>
              <w:t xml:space="preserve">34   </w:t>
            </w:r>
            <w:r>
              <w:rPr>
                <w:szCs w:val="24"/>
                <w:lang w:eastAsia="ru-RU"/>
              </w:rPr>
              <w:br/>
              <w:t xml:space="preserve">39   </w:t>
            </w:r>
            <w:r>
              <w:rPr>
                <w:szCs w:val="24"/>
                <w:lang w:eastAsia="ru-RU"/>
              </w:rPr>
              <w:br/>
              <w:t xml:space="preserve">40   </w:t>
            </w:r>
            <w:r>
              <w:rPr>
                <w:szCs w:val="24"/>
                <w:lang w:eastAsia="ru-RU"/>
              </w:rPr>
              <w:br/>
              <w:t xml:space="preserve">42   </w:t>
            </w:r>
            <w:r>
              <w:rPr>
                <w:szCs w:val="24"/>
                <w:lang w:eastAsia="ru-RU"/>
              </w:rPr>
              <w:br/>
              <w:t xml:space="preserve">46   </w:t>
            </w:r>
            <w:r>
              <w:rPr>
                <w:szCs w:val="24"/>
                <w:lang w:eastAsia="ru-RU"/>
              </w:rPr>
              <w:br/>
              <w:t xml:space="preserve">52   </w:t>
            </w:r>
            <w:r>
              <w:rPr>
                <w:szCs w:val="24"/>
                <w:lang w:eastAsia="ru-RU"/>
              </w:rPr>
              <w:br/>
              <w:t xml:space="preserve">57   </w:t>
            </w:r>
            <w:r>
              <w:rPr>
                <w:szCs w:val="24"/>
                <w:lang w:eastAsia="ru-RU"/>
              </w:rPr>
              <w:br/>
              <w:t xml:space="preserve">62   </w:t>
            </w:r>
            <w:r>
              <w:rPr>
                <w:szCs w:val="24"/>
                <w:lang w:eastAsia="ru-RU"/>
              </w:rPr>
              <w:br/>
              <w:t xml:space="preserve">68   </w:t>
            </w:r>
            <w:r>
              <w:rPr>
                <w:szCs w:val="24"/>
                <w:lang w:eastAsia="ru-RU"/>
              </w:rPr>
              <w:br/>
              <w:t xml:space="preserve">74   </w:t>
            </w:r>
            <w:r>
              <w:rPr>
                <w:szCs w:val="24"/>
                <w:lang w:eastAsia="ru-RU"/>
              </w:rPr>
              <w:br/>
              <w:t xml:space="preserve">78   </w:t>
            </w:r>
            <w:r>
              <w:rPr>
                <w:szCs w:val="24"/>
                <w:lang w:eastAsia="ru-RU"/>
              </w:rPr>
              <w:br/>
              <w:t xml:space="preserve">83   </w:t>
            </w:r>
            <w:r>
              <w:rPr>
                <w:szCs w:val="24"/>
                <w:lang w:eastAsia="ru-RU"/>
              </w:rPr>
              <w:br/>
              <w:t xml:space="preserve">90   </w:t>
            </w:r>
            <w:r>
              <w:rPr>
                <w:szCs w:val="24"/>
                <w:lang w:eastAsia="ru-RU"/>
              </w:rPr>
              <w:br/>
              <w:t xml:space="preserve">101   </w:t>
            </w:r>
            <w:r>
              <w:rPr>
                <w:szCs w:val="24"/>
                <w:lang w:eastAsia="ru-RU"/>
              </w:rPr>
              <w:br/>
              <w:t xml:space="preserve">108   </w:t>
            </w:r>
            <w:r>
              <w:rPr>
                <w:szCs w:val="24"/>
                <w:lang w:eastAsia="ru-RU"/>
              </w:rPr>
              <w:br/>
              <w:t xml:space="preserve">120</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1056" w:type="dxa"/>
            <w:vAlign w:val="center"/>
            <w:textDirection w:val="lrTb"/>
            <w:noWrap w:val="false"/>
          </w:tcPr>
          <w:p>
            <w:pPr>
              <w:jc w:val="center"/>
              <w:spacing w:line="360" w:lineRule="auto"/>
              <w:widowControl/>
              <w:rPr>
                <w:szCs w:val="24"/>
                <w:lang w:eastAsia="ru-RU"/>
              </w:rPr>
            </w:pPr>
            <w:r>
              <w:rPr>
                <w:szCs w:val="24"/>
                <w:lang w:eastAsia="ru-RU"/>
              </w:rPr>
              <w:t xml:space="preserve">22   </w:t>
            </w:r>
            <w:r>
              <w:rPr>
                <w:szCs w:val="24"/>
                <w:lang w:eastAsia="ru-RU"/>
              </w:rPr>
              <w:br/>
              <w:t xml:space="preserve">27   </w:t>
            </w:r>
            <w:r>
              <w:rPr>
                <w:szCs w:val="24"/>
                <w:lang w:eastAsia="ru-RU"/>
              </w:rPr>
              <w:br/>
              <w:t xml:space="preserve">29   </w:t>
            </w:r>
            <w:r>
              <w:rPr>
                <w:szCs w:val="24"/>
                <w:lang w:eastAsia="ru-RU"/>
              </w:rPr>
              <w:br/>
              <w:t xml:space="preserve">30   </w:t>
            </w:r>
            <w:r>
              <w:rPr>
                <w:szCs w:val="24"/>
                <w:lang w:eastAsia="ru-RU"/>
              </w:rPr>
              <w:br/>
              <w:t xml:space="preserve">33   </w:t>
            </w:r>
            <w:r>
              <w:rPr>
                <w:szCs w:val="24"/>
                <w:lang w:eastAsia="ru-RU"/>
              </w:rPr>
              <w:br/>
              <w:t xml:space="preserve">35   </w:t>
            </w:r>
            <w:r>
              <w:rPr>
                <w:szCs w:val="24"/>
                <w:lang w:eastAsia="ru-RU"/>
              </w:rPr>
              <w:br/>
              <w:t xml:space="preserve">40   </w:t>
            </w:r>
            <w:r>
              <w:rPr>
                <w:szCs w:val="24"/>
                <w:lang w:eastAsia="ru-RU"/>
              </w:rPr>
              <w:br/>
              <w:t xml:space="preserve">43   </w:t>
            </w:r>
            <w:r>
              <w:rPr>
                <w:szCs w:val="24"/>
                <w:lang w:eastAsia="ru-RU"/>
              </w:rPr>
              <w:br/>
              <w:t xml:space="preserve">47   </w:t>
            </w:r>
            <w:r>
              <w:rPr>
                <w:szCs w:val="24"/>
                <w:lang w:eastAsia="ru-RU"/>
              </w:rPr>
              <w:br/>
              <w:t xml:space="preserve">51   </w:t>
            </w:r>
            <w:r>
              <w:rPr>
                <w:szCs w:val="24"/>
                <w:lang w:eastAsia="ru-RU"/>
              </w:rPr>
              <w:br/>
              <w:t xml:space="preserve">56   </w:t>
            </w:r>
            <w:r>
              <w:rPr>
                <w:szCs w:val="24"/>
                <w:lang w:eastAsia="ru-RU"/>
              </w:rPr>
              <w:br/>
              <w:t xml:space="preserve">58   </w:t>
            </w:r>
            <w:r>
              <w:rPr>
                <w:szCs w:val="24"/>
                <w:lang w:eastAsia="ru-RU"/>
              </w:rPr>
              <w:br/>
              <w:t xml:space="preserve">62   </w:t>
            </w:r>
            <w:r>
              <w:rPr>
                <w:szCs w:val="24"/>
                <w:lang w:eastAsia="ru-RU"/>
              </w:rPr>
              <w:br/>
              <w:t xml:space="preserve">67   </w:t>
            </w:r>
            <w:r>
              <w:rPr>
                <w:szCs w:val="24"/>
                <w:lang w:eastAsia="ru-RU"/>
              </w:rPr>
              <w:br/>
              <w:t xml:space="preserve">75   </w:t>
            </w:r>
            <w:r>
              <w:rPr>
                <w:szCs w:val="24"/>
                <w:lang w:eastAsia="ru-RU"/>
              </w:rPr>
              <w:br/>
              <w:t xml:space="preserve">80   </w:t>
            </w:r>
            <w:r>
              <w:rPr>
                <w:szCs w:val="24"/>
                <w:lang w:eastAsia="ru-RU"/>
              </w:rPr>
              <w:br/>
              <w:t xml:space="preserve">88</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1056" w:type="dxa"/>
            <w:vAlign w:val="center"/>
            <w:textDirection w:val="lrTb"/>
            <w:noWrap w:val="false"/>
          </w:tcPr>
          <w:p>
            <w:pPr>
              <w:jc w:val="center"/>
              <w:spacing w:line="360" w:lineRule="auto"/>
              <w:widowControl/>
              <w:rPr>
                <w:szCs w:val="24"/>
                <w:lang w:eastAsia="ru-RU"/>
              </w:rPr>
            </w:pPr>
            <w:r>
              <w:rPr>
                <w:szCs w:val="24"/>
                <w:lang w:eastAsia="ru-RU"/>
              </w:rPr>
              <w:t xml:space="preserve">38   </w:t>
            </w:r>
            <w:r>
              <w:rPr>
                <w:szCs w:val="24"/>
                <w:lang w:eastAsia="ru-RU"/>
              </w:rPr>
              <w:br/>
              <w:t xml:space="preserve">46   </w:t>
            </w:r>
            <w:r>
              <w:rPr>
                <w:szCs w:val="24"/>
                <w:lang w:eastAsia="ru-RU"/>
              </w:rPr>
              <w:br/>
              <w:t xml:space="preserve">52   </w:t>
            </w:r>
            <w:r>
              <w:rPr>
                <w:szCs w:val="24"/>
                <w:lang w:eastAsia="ru-RU"/>
              </w:rPr>
              <w:br/>
              <w:t xml:space="preserve">52   </w:t>
            </w:r>
            <w:r>
              <w:rPr>
                <w:szCs w:val="24"/>
                <w:lang w:eastAsia="ru-RU"/>
              </w:rPr>
              <w:br/>
              <w:t xml:space="preserve">56   </w:t>
            </w:r>
            <w:r>
              <w:rPr>
                <w:szCs w:val="24"/>
                <w:lang w:eastAsia="ru-RU"/>
              </w:rPr>
              <w:br/>
              <w:t xml:space="preserve">62   </w:t>
            </w:r>
            <w:r>
              <w:rPr>
                <w:szCs w:val="24"/>
                <w:lang w:eastAsia="ru-RU"/>
              </w:rPr>
              <w:br/>
              <w:t xml:space="preserve">69   </w:t>
            </w:r>
            <w:r>
              <w:rPr>
                <w:szCs w:val="24"/>
                <w:lang w:eastAsia="ru-RU"/>
              </w:rPr>
              <w:br/>
              <w:t xml:space="preserve">77   </w:t>
            </w:r>
            <w:r>
              <w:rPr>
                <w:szCs w:val="24"/>
                <w:lang w:eastAsia="ru-RU"/>
              </w:rPr>
              <w:br/>
              <w:t xml:space="preserve">83   </w:t>
            </w:r>
            <w:r>
              <w:rPr>
                <w:szCs w:val="24"/>
                <w:lang w:eastAsia="ru-RU"/>
              </w:rPr>
              <w:br/>
              <w:t xml:space="preserve">90   </w:t>
            </w:r>
            <w:r>
              <w:rPr>
                <w:szCs w:val="24"/>
                <w:lang w:eastAsia="ru-RU"/>
              </w:rPr>
              <w:br/>
              <w:t xml:space="preserve">97   </w:t>
            </w:r>
            <w:r>
              <w:rPr>
                <w:szCs w:val="24"/>
                <w:lang w:eastAsia="ru-RU"/>
              </w:rPr>
              <w:br/>
              <w:t xml:space="preserve">104   </w:t>
            </w:r>
            <w:r>
              <w:rPr>
                <w:szCs w:val="24"/>
                <w:lang w:eastAsia="ru-RU"/>
              </w:rPr>
              <w:br/>
              <w:t xml:space="preserve">111   </w:t>
            </w:r>
            <w:r>
              <w:rPr>
                <w:szCs w:val="24"/>
                <w:lang w:eastAsia="ru-RU"/>
              </w:rPr>
              <w:br/>
              <w:t xml:space="preserve">119   </w:t>
            </w:r>
            <w:r>
              <w:rPr>
                <w:szCs w:val="24"/>
                <w:lang w:eastAsia="ru-RU"/>
              </w:rPr>
              <w:br/>
              <w:t xml:space="preserve">134   </w:t>
            </w:r>
            <w:r>
              <w:rPr>
                <w:szCs w:val="24"/>
                <w:lang w:eastAsia="ru-RU"/>
              </w:rPr>
              <w:br/>
              <w:t xml:space="preserve">146   </w:t>
            </w:r>
            <w:r>
              <w:rPr>
                <w:szCs w:val="24"/>
                <w:lang w:eastAsia="ru-RU"/>
              </w:rPr>
              <w:br/>
              <w:t xml:space="preserve">160</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1056" w:type="dxa"/>
            <w:vAlign w:val="center"/>
            <w:textDirection w:val="lrTb"/>
            <w:noWrap w:val="false"/>
          </w:tcPr>
          <w:p>
            <w:pPr>
              <w:jc w:val="center"/>
              <w:spacing w:line="360" w:lineRule="auto"/>
              <w:widowControl/>
              <w:rPr>
                <w:szCs w:val="24"/>
                <w:lang w:eastAsia="ru-RU"/>
              </w:rPr>
            </w:pPr>
            <w:r>
              <w:rPr>
                <w:szCs w:val="24"/>
                <w:lang w:eastAsia="ru-RU"/>
              </w:rPr>
              <w:t xml:space="preserve">21   </w:t>
            </w:r>
            <w:r>
              <w:rPr>
                <w:szCs w:val="24"/>
                <w:lang w:eastAsia="ru-RU"/>
              </w:rPr>
              <w:br/>
              <w:t xml:space="preserve">25   </w:t>
            </w:r>
            <w:r>
              <w:rPr>
                <w:szCs w:val="24"/>
                <w:lang w:eastAsia="ru-RU"/>
              </w:rPr>
              <w:br/>
              <w:t xml:space="preserve">28   </w:t>
            </w:r>
            <w:r>
              <w:rPr>
                <w:szCs w:val="24"/>
                <w:lang w:eastAsia="ru-RU"/>
              </w:rPr>
              <w:br/>
              <w:t xml:space="preserve">29   </w:t>
            </w:r>
            <w:r>
              <w:rPr>
                <w:szCs w:val="24"/>
                <w:lang w:eastAsia="ru-RU"/>
              </w:rPr>
              <w:br/>
              <w:t xml:space="preserve">30   </w:t>
            </w:r>
            <w:r>
              <w:rPr>
                <w:szCs w:val="24"/>
                <w:lang w:eastAsia="ru-RU"/>
              </w:rPr>
              <w:br/>
              <w:t xml:space="preserve">34   </w:t>
            </w:r>
            <w:r>
              <w:rPr>
                <w:szCs w:val="24"/>
                <w:lang w:eastAsia="ru-RU"/>
              </w:rPr>
              <w:br/>
              <w:t xml:space="preserve">37   </w:t>
            </w:r>
            <w:r>
              <w:rPr>
                <w:szCs w:val="24"/>
                <w:lang w:eastAsia="ru-RU"/>
              </w:rPr>
              <w:br/>
              <w:t xml:space="preserve">41   </w:t>
            </w:r>
            <w:r>
              <w:rPr>
                <w:szCs w:val="24"/>
                <w:lang w:eastAsia="ru-RU"/>
              </w:rPr>
              <w:br/>
              <w:t xml:space="preserve">44   </w:t>
            </w:r>
            <w:r>
              <w:rPr>
                <w:szCs w:val="24"/>
                <w:lang w:eastAsia="ru-RU"/>
              </w:rPr>
              <w:br/>
              <w:t xml:space="preserve">48   </w:t>
            </w:r>
            <w:r>
              <w:rPr>
                <w:szCs w:val="24"/>
                <w:lang w:eastAsia="ru-RU"/>
              </w:rPr>
              <w:br/>
              <w:t xml:space="preserve">52   </w:t>
            </w:r>
            <w:r>
              <w:rPr>
                <w:szCs w:val="24"/>
                <w:lang w:eastAsia="ru-RU"/>
              </w:rPr>
              <w:br/>
              <w:t xml:space="preserve">54   </w:t>
            </w:r>
            <w:r>
              <w:rPr>
                <w:szCs w:val="24"/>
                <w:lang w:eastAsia="ru-RU"/>
              </w:rPr>
              <w:br/>
              <w:t xml:space="preserve">58   </w:t>
            </w:r>
            <w:r>
              <w:rPr>
                <w:szCs w:val="24"/>
                <w:lang w:eastAsia="ru-RU"/>
              </w:rPr>
              <w:br/>
              <w:t xml:space="preserve">62   </w:t>
            </w:r>
            <w:r>
              <w:rPr>
                <w:szCs w:val="24"/>
                <w:lang w:eastAsia="ru-RU"/>
              </w:rPr>
              <w:br/>
              <w:t xml:space="preserve">69   </w:t>
            </w:r>
            <w:r>
              <w:rPr>
                <w:szCs w:val="24"/>
                <w:lang w:eastAsia="ru-RU"/>
              </w:rPr>
              <w:br/>
              <w:t xml:space="preserve">74   </w:t>
            </w:r>
            <w:r>
              <w:rPr>
                <w:szCs w:val="24"/>
                <w:lang w:eastAsia="ru-RU"/>
              </w:rPr>
              <w:br/>
              <w:t xml:space="preserve">80</w:t>
            </w:r>
            <w:r>
              <w:rPr>
                <w:szCs w:val="24"/>
                <w:lang w:eastAsia="ru-RU"/>
              </w:rPr>
            </w:r>
            <w:r>
              <w:rPr>
                <w:szCs w:val="24"/>
                <w:lang w:eastAsia="ru-RU"/>
              </w:rPr>
            </w:r>
          </w:p>
        </w:tc>
      </w:tr>
    </w:tbl>
    <w:p>
      <w:pPr>
        <w:spacing w:line="360" w:lineRule="auto"/>
        <w:widowControl/>
        <w:rPr>
          <w:szCs w:val="24"/>
          <w:lang w:eastAsia="ru-RU"/>
        </w:rPr>
        <w:outlineLvl w:val="2"/>
      </w:pPr>
      <w:r>
        <w:rPr>
          <w:szCs w:val="24"/>
          <w:lang w:eastAsia="ru-RU"/>
        </w:rPr>
        <w:br w:type="page" w:clear="all"/>
      </w:r>
      <w:r>
        <w:rPr>
          <w:szCs w:val="24"/>
          <w:lang w:eastAsia="ru-RU"/>
        </w:rPr>
      </w:r>
      <w:r>
        <w:rPr>
          <w:szCs w:val="24"/>
          <w:lang w:eastAsia="ru-RU"/>
        </w:rPr>
      </w:r>
    </w:p>
    <w:p>
      <w:pPr>
        <w:pStyle w:val="1274"/>
        <w:jc w:val="right"/>
        <w:keepNext/>
        <w:rPr>
          <w:b w:val="0"/>
          <w:sz w:val="24"/>
          <w:szCs w:val="24"/>
        </w:rPr>
      </w:pPr>
      <w:r/>
      <w:bookmarkStart w:id="114" w:name="_Toc40787810"/>
      <w:r/>
      <w:bookmarkStart w:id="115" w:name="_Toc71031199"/>
      <w:r>
        <w:rPr>
          <w:b w:val="0"/>
          <w:sz w:val="24"/>
          <w:szCs w:val="24"/>
        </w:rPr>
        <w:t xml:space="preserve">Таблица </w:t>
      </w:r>
      <w:r>
        <w:rPr>
          <w:b w:val="0"/>
          <w:sz w:val="24"/>
          <w:szCs w:val="24"/>
        </w:rPr>
        <w:t xml:space="preserve">1.3.13.3</w:t>
      </w:r>
      <w:r>
        <w:rPr>
          <w:b w:val="0"/>
          <w:sz w:val="24"/>
          <w:szCs w:val="24"/>
        </w:rPr>
      </w:r>
      <w:r>
        <w:rPr>
          <w:b w:val="0"/>
          <w:sz w:val="24"/>
          <w:szCs w:val="24"/>
        </w:rPr>
      </w:r>
    </w:p>
    <w:p>
      <w:pPr>
        <w:pStyle w:val="1274"/>
        <w:keepNext/>
        <w:rPr>
          <w:b w:val="0"/>
          <w:sz w:val="24"/>
          <w:szCs w:val="24"/>
        </w:rPr>
      </w:pPr>
      <w:r>
        <w:rPr>
          <w:b w:val="0"/>
          <w:sz w:val="24"/>
          <w:szCs w:val="24"/>
        </w:rPr>
        <w:t xml:space="preserve">Нормы тепловых потерь трубопроводов водяных тепловых сетей в непроходных каналах</w:t>
      </w:r>
      <w:bookmarkEnd w:id="114"/>
      <w:r/>
      <w:bookmarkEnd w:id="115"/>
      <w:r>
        <w:rPr>
          <w:b w:val="0"/>
          <w:sz w:val="24"/>
          <w:szCs w:val="24"/>
        </w:rPr>
      </w:r>
      <w:r>
        <w:rPr>
          <w:b w:val="0"/>
          <w:sz w:val="24"/>
          <w:szCs w:val="24"/>
        </w:rPr>
      </w:r>
    </w:p>
    <w:tbl>
      <w:tblPr>
        <w:tblW w:w="5000" w:type="pct"/>
        <w:jc w:val="center"/>
        <w:tblLayout w:type="fixed"/>
        <w:tblCellMar>
          <w:left w:w="70" w:type="dxa"/>
          <w:right w:w="70" w:type="dxa"/>
        </w:tblCellMar>
        <w:tblLook w:val="0000" w:firstRow="0" w:lastRow="0" w:firstColumn="0" w:lastColumn="0" w:noHBand="0" w:noVBand="0"/>
      </w:tblPr>
      <w:tblGrid>
        <w:gridCol w:w="761"/>
        <w:gridCol w:w="762"/>
        <w:gridCol w:w="761"/>
        <w:gridCol w:w="761"/>
        <w:gridCol w:w="761"/>
        <w:gridCol w:w="761"/>
        <w:gridCol w:w="761"/>
        <w:gridCol w:w="761"/>
        <w:gridCol w:w="761"/>
        <w:gridCol w:w="761"/>
        <w:gridCol w:w="761"/>
        <w:gridCol w:w="761"/>
        <w:gridCol w:w="761"/>
      </w:tblGrid>
      <w:tr>
        <w:tblPrEx/>
        <w:trPr>
          <w:cantSplit/>
          <w:jc w:val="center"/>
          <w:trHeight w:val="240"/>
        </w:trPr>
        <w:tc>
          <w:tcPr>
            <w:tcBorders>
              <w:top w:val="single" w:color="auto" w:sz="6" w:space="0"/>
              <w:left w:val="single" w:color="auto" w:sz="6" w:space="0"/>
              <w:bottom w:val="none" w:color="000000" w:sz="4" w:space="0"/>
              <w:right w:val="single" w:color="auto" w:sz="6" w:space="0"/>
            </w:tcBorders>
            <w:tcW w:w="741" w:type="dxa"/>
            <w:vAlign w:val="center"/>
            <w:vMerge w:val="restart"/>
            <w:textDirection w:val="lrTb"/>
            <w:noWrap w:val="false"/>
          </w:tcPr>
          <w:p>
            <w:pPr>
              <w:jc w:val="center"/>
              <w:spacing w:line="360" w:lineRule="auto"/>
              <w:widowControl/>
              <w:rPr>
                <w:szCs w:val="24"/>
                <w:lang w:eastAsia="ru-RU"/>
              </w:rPr>
            </w:pPr>
            <w:r>
              <w:rPr>
                <w:szCs w:val="24"/>
                <w:lang w:eastAsia="ru-RU"/>
              </w:rPr>
              <w:t xml:space="preserve">Условный</w:t>
            </w:r>
            <w:r>
              <w:rPr>
                <w:szCs w:val="24"/>
                <w:lang w:eastAsia="ru-RU"/>
              </w:rPr>
              <w:br/>
              <w:t xml:space="preserve">диаметр,</w:t>
            </w:r>
            <w:r>
              <w:rPr>
                <w:szCs w:val="24"/>
                <w:lang w:eastAsia="ru-RU"/>
              </w:rPr>
              <w:br/>
              <w:t xml:space="preserve">мм</w:t>
            </w:r>
            <w:r>
              <w:rPr>
                <w:szCs w:val="24"/>
                <w:lang w:eastAsia="ru-RU"/>
              </w:rPr>
            </w:r>
            <w:r>
              <w:rPr>
                <w:szCs w:val="24"/>
                <w:lang w:eastAsia="ru-RU"/>
              </w:rPr>
            </w:r>
          </w:p>
        </w:tc>
        <w:tc>
          <w:tcPr>
            <w:gridSpan w:val="12"/>
            <w:tcBorders>
              <w:top w:val="single" w:color="auto" w:sz="6" w:space="0"/>
              <w:left w:val="single" w:color="auto" w:sz="6" w:space="0"/>
              <w:bottom w:val="single" w:color="auto" w:sz="6" w:space="0"/>
              <w:right w:val="single" w:color="auto" w:sz="6" w:space="0"/>
            </w:tcBorders>
            <w:tcW w:w="8881" w:type="dxa"/>
            <w:vAlign w:val="center"/>
            <w:textDirection w:val="lrTb"/>
            <w:noWrap w:val="false"/>
          </w:tcPr>
          <w:p>
            <w:pPr>
              <w:jc w:val="center"/>
              <w:spacing w:line="360" w:lineRule="auto"/>
              <w:widowControl/>
              <w:rPr>
                <w:szCs w:val="24"/>
                <w:lang w:eastAsia="ru-RU"/>
              </w:rPr>
            </w:pPr>
            <w:r>
              <w:rPr>
                <w:szCs w:val="24"/>
                <w:lang w:eastAsia="ru-RU"/>
              </w:rPr>
              <w:t xml:space="preserve">Нормы плотности теплового потока, ккал/ч</w:t>
            </w:r>
            <w:r>
              <w:rPr>
                <w:szCs w:val="24"/>
                <w:lang w:eastAsia="ru-RU"/>
              </w:rPr>
            </w:r>
            <w:r>
              <w:rPr>
                <w:szCs w:val="24"/>
                <w:lang w:eastAsia="ru-RU"/>
              </w:rPr>
            </w:r>
          </w:p>
        </w:tc>
      </w:tr>
      <w:tr>
        <w:tblPrEx/>
        <w:trPr>
          <w:cantSplit/>
          <w:jc w:val="center"/>
          <w:trHeight w:val="360"/>
        </w:trPr>
        <w:tc>
          <w:tcPr>
            <w:tcBorders>
              <w:top w:val="none" w:color="000000" w:sz="4" w:space="0"/>
              <w:left w:val="single" w:color="auto" w:sz="6" w:space="0"/>
              <w:bottom w:val="none" w:color="000000" w:sz="4" w:space="0"/>
              <w:right w:val="single" w:color="auto" w:sz="6" w:space="0"/>
            </w:tcBorders>
            <w:tcW w:w="741" w:type="dxa"/>
            <w:vAlign w:val="center"/>
            <w:vMerge w:val="continue"/>
            <w:textDirection w:val="lrTb"/>
            <w:noWrap w:val="false"/>
          </w:tcPr>
          <w:p>
            <w:pPr>
              <w:jc w:val="center"/>
              <w:spacing w:line="360" w:lineRule="auto"/>
              <w:widowControl/>
              <w:rPr>
                <w:szCs w:val="24"/>
                <w:lang w:eastAsia="ru-RU"/>
              </w:rPr>
            </w:pPr>
            <w:r>
              <w:rPr>
                <w:szCs w:val="24"/>
                <w:lang w:eastAsia="ru-RU"/>
              </w:rPr>
            </w:r>
            <w:r>
              <w:rPr>
                <w:szCs w:val="24"/>
                <w:lang w:eastAsia="ru-RU"/>
              </w:rPr>
            </w:r>
            <w:r>
              <w:rPr>
                <w:szCs w:val="24"/>
                <w:lang w:eastAsia="ru-RU"/>
              </w:rPr>
            </w:r>
          </w:p>
        </w:tc>
        <w:tc>
          <w:tcPr>
            <w:gridSpan w:val="6"/>
            <w:tcBorders>
              <w:top w:val="single" w:color="auto" w:sz="6" w:space="0"/>
              <w:left w:val="single" w:color="auto" w:sz="6" w:space="0"/>
              <w:bottom w:val="single" w:color="auto" w:sz="6" w:space="0"/>
              <w:right w:val="single" w:color="auto" w:sz="6" w:space="0"/>
            </w:tcBorders>
            <w:tcW w:w="4441" w:type="dxa"/>
            <w:vAlign w:val="center"/>
            <w:textDirection w:val="lrTb"/>
            <w:noWrap w:val="false"/>
          </w:tcPr>
          <w:p>
            <w:pPr>
              <w:jc w:val="center"/>
              <w:spacing w:line="360" w:lineRule="auto"/>
              <w:widowControl/>
              <w:rPr>
                <w:szCs w:val="24"/>
                <w:lang w:eastAsia="ru-RU"/>
              </w:rPr>
            </w:pPr>
            <w:r>
              <w:rPr>
                <w:szCs w:val="24"/>
                <w:lang w:eastAsia="ru-RU"/>
              </w:rPr>
              <w:t xml:space="preserve">продолжительность эксплуатации            </w:t>
            </w:r>
            <w:r>
              <w:rPr>
                <w:szCs w:val="24"/>
                <w:lang w:eastAsia="ru-RU"/>
              </w:rPr>
              <w:br/>
              <w:t xml:space="preserve">до 5000 ч/год включительно</w:t>
            </w:r>
            <w:r>
              <w:rPr>
                <w:szCs w:val="24"/>
                <w:lang w:eastAsia="ru-RU"/>
              </w:rPr>
            </w:r>
            <w:r>
              <w:rPr>
                <w:szCs w:val="24"/>
                <w:lang w:eastAsia="ru-RU"/>
              </w:rPr>
            </w:r>
          </w:p>
        </w:tc>
        <w:tc>
          <w:tcPr>
            <w:gridSpan w:val="6"/>
            <w:tcBorders>
              <w:top w:val="single" w:color="auto" w:sz="6" w:space="0"/>
              <w:left w:val="single" w:color="auto" w:sz="6" w:space="0"/>
              <w:bottom w:val="single" w:color="auto" w:sz="6" w:space="0"/>
              <w:right w:val="single" w:color="auto" w:sz="6" w:space="0"/>
            </w:tcBorders>
            <w:tcW w:w="4440" w:type="dxa"/>
            <w:vAlign w:val="center"/>
            <w:textDirection w:val="lrTb"/>
            <w:noWrap w:val="false"/>
          </w:tcPr>
          <w:p>
            <w:pPr>
              <w:jc w:val="center"/>
              <w:spacing w:line="360" w:lineRule="auto"/>
              <w:widowControl/>
              <w:rPr>
                <w:szCs w:val="24"/>
                <w:lang w:eastAsia="ru-RU"/>
              </w:rPr>
            </w:pPr>
            <w:r>
              <w:rPr>
                <w:szCs w:val="24"/>
                <w:lang w:eastAsia="ru-RU"/>
              </w:rPr>
              <w:t xml:space="preserve">продолжительность эксплуатации            </w:t>
            </w:r>
            <w:r>
              <w:rPr>
                <w:szCs w:val="24"/>
                <w:lang w:eastAsia="ru-RU"/>
              </w:rPr>
              <w:br/>
              <w:t xml:space="preserve">более 5000 ч/год</w:t>
            </w:r>
            <w:r>
              <w:rPr>
                <w:szCs w:val="24"/>
                <w:lang w:eastAsia="ru-RU"/>
              </w:rPr>
            </w:r>
            <w:r>
              <w:rPr>
                <w:szCs w:val="24"/>
                <w:lang w:eastAsia="ru-RU"/>
              </w:rPr>
            </w:r>
          </w:p>
        </w:tc>
      </w:tr>
      <w:tr>
        <w:tblPrEx/>
        <w:trPr>
          <w:cantSplit/>
          <w:jc w:val="center"/>
          <w:trHeight w:val="240"/>
        </w:trPr>
        <w:tc>
          <w:tcPr>
            <w:tcBorders>
              <w:top w:val="none" w:color="000000" w:sz="4" w:space="0"/>
              <w:left w:val="single" w:color="auto" w:sz="6" w:space="0"/>
              <w:bottom w:val="none" w:color="000000" w:sz="4" w:space="0"/>
              <w:right w:val="single" w:color="auto" w:sz="6" w:space="0"/>
            </w:tcBorders>
            <w:tcW w:w="741" w:type="dxa"/>
            <w:vAlign w:val="center"/>
            <w:vMerge w:val="continue"/>
            <w:textDirection w:val="lrTb"/>
            <w:noWrap w:val="false"/>
          </w:tcPr>
          <w:p>
            <w:pPr>
              <w:jc w:val="center"/>
              <w:spacing w:line="360" w:lineRule="auto"/>
              <w:widowControl/>
              <w:rPr>
                <w:szCs w:val="24"/>
                <w:lang w:eastAsia="ru-RU"/>
              </w:rPr>
            </w:pPr>
            <w:r>
              <w:rPr>
                <w:szCs w:val="24"/>
                <w:lang w:eastAsia="ru-RU"/>
              </w:rPr>
            </w:r>
            <w:r>
              <w:rPr>
                <w:szCs w:val="24"/>
                <w:lang w:eastAsia="ru-RU"/>
              </w:rPr>
            </w:r>
            <w:r>
              <w:rPr>
                <w:szCs w:val="24"/>
                <w:lang w:eastAsia="ru-RU"/>
              </w:rPr>
            </w:r>
          </w:p>
        </w:tc>
        <w:tc>
          <w:tcPr>
            <w:gridSpan w:val="12"/>
            <w:tcBorders>
              <w:top w:val="single" w:color="auto" w:sz="6" w:space="0"/>
              <w:left w:val="single" w:color="auto" w:sz="6" w:space="0"/>
              <w:bottom w:val="single" w:color="auto" w:sz="6" w:space="0"/>
              <w:right w:val="single" w:color="auto" w:sz="6" w:space="0"/>
            </w:tcBorders>
            <w:tcW w:w="8881" w:type="dxa"/>
            <w:vAlign w:val="center"/>
            <w:textDirection w:val="lrTb"/>
            <w:noWrap w:val="false"/>
          </w:tcPr>
          <w:p>
            <w:pPr>
              <w:jc w:val="center"/>
              <w:spacing w:line="360" w:lineRule="auto"/>
              <w:widowControl/>
              <w:rPr>
                <w:szCs w:val="24"/>
                <w:lang w:eastAsia="ru-RU"/>
              </w:rPr>
            </w:pPr>
            <w:r>
              <w:rPr>
                <w:szCs w:val="24"/>
                <w:lang w:eastAsia="ru-RU"/>
              </w:rPr>
              <w:t xml:space="preserve">Трубопровод</w:t>
            </w:r>
            <w:r>
              <w:rPr>
                <w:szCs w:val="24"/>
                <w:lang w:eastAsia="ru-RU"/>
              </w:rPr>
            </w:r>
            <w:r>
              <w:rPr>
                <w:szCs w:val="24"/>
                <w:lang w:eastAsia="ru-RU"/>
              </w:rPr>
            </w:r>
          </w:p>
        </w:tc>
      </w:tr>
      <w:tr>
        <w:tblPrEx/>
        <w:trPr>
          <w:cantSplit/>
          <w:jc w:val="center"/>
          <w:trHeight w:val="240"/>
        </w:trPr>
        <w:tc>
          <w:tcPr>
            <w:tcBorders>
              <w:top w:val="none" w:color="000000" w:sz="4" w:space="0"/>
              <w:left w:val="single" w:color="auto" w:sz="6" w:space="0"/>
              <w:bottom w:val="none" w:color="000000" w:sz="4" w:space="0"/>
              <w:right w:val="single" w:color="auto" w:sz="6" w:space="0"/>
            </w:tcBorders>
            <w:tcW w:w="741" w:type="dxa"/>
            <w:vAlign w:val="center"/>
            <w:vMerge w:val="continue"/>
            <w:textDirection w:val="lrTb"/>
            <w:noWrap w:val="false"/>
          </w:tcPr>
          <w:p>
            <w:pPr>
              <w:jc w:val="center"/>
              <w:spacing w:line="360" w:lineRule="auto"/>
              <w:widowControl/>
              <w:rPr>
                <w:szCs w:val="24"/>
                <w:lang w:eastAsia="ru-RU"/>
              </w:rPr>
            </w:pPr>
            <w:r>
              <w:rPr>
                <w:szCs w:val="24"/>
                <w:lang w:eastAsia="ru-RU"/>
              </w:rPr>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1" w:type="dxa"/>
            <w:vAlign w:val="center"/>
            <w:textDirection w:val="lrTb"/>
            <w:noWrap w:val="false"/>
          </w:tcPr>
          <w:p>
            <w:pPr>
              <w:jc w:val="center"/>
              <w:spacing w:line="360" w:lineRule="auto"/>
              <w:widowControl/>
              <w:rPr>
                <w:szCs w:val="24"/>
                <w:lang w:eastAsia="ru-RU"/>
              </w:rPr>
            </w:pPr>
            <w:r>
              <w:rPr>
                <w:szCs w:val="24"/>
                <w:lang w:eastAsia="ru-RU"/>
              </w:rPr>
              <w:t xml:space="preserve">подающий</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0" w:type="dxa"/>
            <w:vAlign w:val="center"/>
            <w:textDirection w:val="lrTb"/>
            <w:noWrap w:val="false"/>
          </w:tcPr>
          <w:p>
            <w:pPr>
              <w:jc w:val="center"/>
              <w:spacing w:line="360" w:lineRule="auto"/>
              <w:widowControl/>
              <w:rPr>
                <w:szCs w:val="24"/>
                <w:lang w:eastAsia="ru-RU"/>
              </w:rPr>
            </w:pPr>
            <w:r>
              <w:rPr>
                <w:szCs w:val="24"/>
                <w:lang w:eastAsia="ru-RU"/>
              </w:rPr>
              <w:t xml:space="preserve">обратный</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0" w:type="dxa"/>
            <w:vAlign w:val="center"/>
            <w:textDirection w:val="lrTb"/>
            <w:noWrap w:val="false"/>
          </w:tcPr>
          <w:p>
            <w:pPr>
              <w:jc w:val="center"/>
              <w:spacing w:line="360" w:lineRule="auto"/>
              <w:widowControl/>
              <w:rPr>
                <w:szCs w:val="24"/>
                <w:lang w:eastAsia="ru-RU"/>
              </w:rPr>
            </w:pPr>
            <w:r>
              <w:rPr>
                <w:szCs w:val="24"/>
                <w:lang w:eastAsia="ru-RU"/>
              </w:rPr>
              <w:t xml:space="preserve">подающий</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0" w:type="dxa"/>
            <w:vAlign w:val="center"/>
            <w:textDirection w:val="lrTb"/>
            <w:noWrap w:val="false"/>
          </w:tcPr>
          <w:p>
            <w:pPr>
              <w:jc w:val="center"/>
              <w:spacing w:line="360" w:lineRule="auto"/>
              <w:widowControl/>
              <w:rPr>
                <w:szCs w:val="24"/>
                <w:lang w:eastAsia="ru-RU"/>
              </w:rPr>
            </w:pPr>
            <w:r>
              <w:rPr>
                <w:szCs w:val="24"/>
                <w:lang w:eastAsia="ru-RU"/>
              </w:rPr>
              <w:t xml:space="preserve">обратный</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0" w:type="dxa"/>
            <w:vAlign w:val="center"/>
            <w:textDirection w:val="lrTb"/>
            <w:noWrap w:val="false"/>
          </w:tcPr>
          <w:p>
            <w:pPr>
              <w:jc w:val="center"/>
              <w:spacing w:line="360" w:lineRule="auto"/>
              <w:widowControl/>
              <w:rPr>
                <w:szCs w:val="24"/>
                <w:lang w:eastAsia="ru-RU"/>
              </w:rPr>
            </w:pPr>
            <w:r>
              <w:rPr>
                <w:szCs w:val="24"/>
                <w:lang w:eastAsia="ru-RU"/>
              </w:rPr>
              <w:t xml:space="preserve">подающий</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0" w:type="dxa"/>
            <w:vAlign w:val="center"/>
            <w:textDirection w:val="lrTb"/>
            <w:noWrap w:val="false"/>
          </w:tcPr>
          <w:p>
            <w:pPr>
              <w:jc w:val="center"/>
              <w:spacing w:line="360" w:lineRule="auto"/>
              <w:widowControl/>
              <w:rPr>
                <w:szCs w:val="24"/>
                <w:lang w:eastAsia="ru-RU"/>
              </w:rPr>
            </w:pPr>
            <w:r>
              <w:rPr>
                <w:szCs w:val="24"/>
                <w:lang w:eastAsia="ru-RU"/>
              </w:rPr>
              <w:t xml:space="preserve">обратный</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0" w:type="dxa"/>
            <w:vAlign w:val="center"/>
            <w:textDirection w:val="lrTb"/>
            <w:noWrap w:val="false"/>
          </w:tcPr>
          <w:p>
            <w:pPr>
              <w:jc w:val="center"/>
              <w:spacing w:line="360" w:lineRule="auto"/>
              <w:widowControl/>
              <w:rPr>
                <w:szCs w:val="24"/>
                <w:lang w:eastAsia="ru-RU"/>
              </w:rPr>
            </w:pPr>
            <w:r>
              <w:rPr>
                <w:szCs w:val="24"/>
                <w:lang w:eastAsia="ru-RU"/>
              </w:rPr>
              <w:t xml:space="preserve">подающий</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0" w:type="dxa"/>
            <w:vAlign w:val="center"/>
            <w:textDirection w:val="lrTb"/>
            <w:noWrap w:val="false"/>
          </w:tcPr>
          <w:p>
            <w:pPr>
              <w:jc w:val="center"/>
              <w:spacing w:line="360" w:lineRule="auto"/>
              <w:widowControl/>
              <w:rPr>
                <w:szCs w:val="24"/>
                <w:lang w:eastAsia="ru-RU"/>
              </w:rPr>
            </w:pPr>
            <w:r>
              <w:rPr>
                <w:szCs w:val="24"/>
                <w:lang w:eastAsia="ru-RU"/>
              </w:rPr>
              <w:t xml:space="preserve">обратный</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0" w:type="dxa"/>
            <w:vAlign w:val="center"/>
            <w:textDirection w:val="lrTb"/>
            <w:noWrap w:val="false"/>
          </w:tcPr>
          <w:p>
            <w:pPr>
              <w:jc w:val="center"/>
              <w:spacing w:line="360" w:lineRule="auto"/>
              <w:widowControl/>
              <w:rPr>
                <w:szCs w:val="24"/>
                <w:lang w:eastAsia="ru-RU"/>
              </w:rPr>
            </w:pPr>
            <w:r>
              <w:rPr>
                <w:szCs w:val="24"/>
                <w:lang w:eastAsia="ru-RU"/>
              </w:rPr>
              <w:t xml:space="preserve">подающий</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0" w:type="dxa"/>
            <w:vAlign w:val="center"/>
            <w:textDirection w:val="lrTb"/>
            <w:noWrap w:val="false"/>
          </w:tcPr>
          <w:p>
            <w:pPr>
              <w:jc w:val="center"/>
              <w:spacing w:line="360" w:lineRule="auto"/>
              <w:widowControl/>
              <w:rPr>
                <w:szCs w:val="24"/>
                <w:lang w:eastAsia="ru-RU"/>
              </w:rPr>
            </w:pPr>
            <w:r>
              <w:rPr>
                <w:szCs w:val="24"/>
                <w:lang w:eastAsia="ru-RU"/>
              </w:rPr>
              <w:t xml:space="preserve">обратный</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0" w:type="dxa"/>
            <w:vAlign w:val="center"/>
            <w:textDirection w:val="lrTb"/>
            <w:noWrap w:val="false"/>
          </w:tcPr>
          <w:p>
            <w:pPr>
              <w:jc w:val="center"/>
              <w:spacing w:line="360" w:lineRule="auto"/>
              <w:widowControl/>
              <w:rPr>
                <w:szCs w:val="24"/>
                <w:lang w:eastAsia="ru-RU"/>
              </w:rPr>
            </w:pPr>
            <w:r>
              <w:rPr>
                <w:szCs w:val="24"/>
                <w:lang w:eastAsia="ru-RU"/>
              </w:rPr>
              <w:t xml:space="preserve">подающий</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0" w:type="dxa"/>
            <w:vAlign w:val="center"/>
            <w:textDirection w:val="lrTb"/>
            <w:noWrap w:val="false"/>
          </w:tcPr>
          <w:p>
            <w:pPr>
              <w:jc w:val="center"/>
              <w:spacing w:line="360" w:lineRule="auto"/>
              <w:widowControl/>
              <w:rPr>
                <w:szCs w:val="24"/>
                <w:lang w:eastAsia="ru-RU"/>
              </w:rPr>
            </w:pPr>
            <w:r>
              <w:rPr>
                <w:szCs w:val="24"/>
                <w:lang w:eastAsia="ru-RU"/>
              </w:rPr>
              <w:t xml:space="preserve">обратный</w:t>
            </w:r>
            <w:r>
              <w:rPr>
                <w:szCs w:val="24"/>
                <w:lang w:eastAsia="ru-RU"/>
              </w:rPr>
            </w:r>
            <w:r>
              <w:rPr>
                <w:szCs w:val="24"/>
                <w:lang w:eastAsia="ru-RU"/>
              </w:rPr>
            </w:r>
          </w:p>
        </w:tc>
      </w:tr>
      <w:tr>
        <w:tblPrEx/>
        <w:trPr>
          <w:cantSplit/>
          <w:jc w:val="center"/>
          <w:trHeight w:val="240"/>
        </w:trPr>
        <w:tc>
          <w:tcPr>
            <w:tcBorders>
              <w:top w:val="none" w:color="000000" w:sz="4" w:space="0"/>
              <w:left w:val="single" w:color="auto" w:sz="6" w:space="0"/>
              <w:bottom w:val="none" w:color="000000" w:sz="4" w:space="0"/>
              <w:right w:val="single" w:color="auto" w:sz="6" w:space="0"/>
            </w:tcBorders>
            <w:tcW w:w="741" w:type="dxa"/>
            <w:vAlign w:val="center"/>
            <w:vMerge w:val="continue"/>
            <w:textDirection w:val="lrTb"/>
            <w:noWrap w:val="false"/>
          </w:tcPr>
          <w:p>
            <w:pPr>
              <w:jc w:val="center"/>
              <w:spacing w:line="360" w:lineRule="auto"/>
              <w:widowControl/>
              <w:rPr>
                <w:szCs w:val="24"/>
                <w:lang w:eastAsia="ru-RU"/>
              </w:rPr>
            </w:pPr>
            <w:r>
              <w:rPr>
                <w:szCs w:val="24"/>
                <w:lang w:eastAsia="ru-RU"/>
              </w:rPr>
            </w:r>
            <w:r>
              <w:rPr>
                <w:szCs w:val="24"/>
                <w:lang w:eastAsia="ru-RU"/>
              </w:rPr>
            </w:r>
            <w:r>
              <w:rPr>
                <w:szCs w:val="24"/>
                <w:lang w:eastAsia="ru-RU"/>
              </w:rPr>
            </w:r>
          </w:p>
        </w:tc>
        <w:tc>
          <w:tcPr>
            <w:gridSpan w:val="12"/>
            <w:tcBorders>
              <w:top w:val="single" w:color="auto" w:sz="6" w:space="0"/>
              <w:left w:val="single" w:color="auto" w:sz="6" w:space="0"/>
              <w:bottom w:val="single" w:color="auto" w:sz="6" w:space="0"/>
              <w:right w:val="single" w:color="auto" w:sz="6" w:space="0"/>
            </w:tcBorders>
            <w:tcW w:w="8881" w:type="dxa"/>
            <w:vAlign w:val="center"/>
            <w:textDirection w:val="lrTb"/>
            <w:noWrap w:val="false"/>
          </w:tcPr>
          <w:p>
            <w:pPr>
              <w:jc w:val="center"/>
              <w:spacing w:line="360" w:lineRule="auto"/>
              <w:widowControl/>
              <w:rPr>
                <w:szCs w:val="24"/>
                <w:lang w:eastAsia="ru-RU"/>
              </w:rPr>
            </w:pPr>
            <w:r>
              <w:rPr>
                <w:szCs w:val="24"/>
                <w:lang w:eastAsia="ru-RU"/>
              </w:rPr>
              <w:t xml:space="preserve">Температура теплоносителя, °C</w:t>
            </w:r>
            <w:r>
              <w:rPr>
                <w:szCs w:val="24"/>
                <w:lang w:eastAsia="ru-RU"/>
              </w:rPr>
            </w:r>
            <w:r>
              <w:rPr>
                <w:szCs w:val="24"/>
                <w:lang w:eastAsia="ru-RU"/>
              </w:rPr>
            </w:r>
          </w:p>
        </w:tc>
      </w:tr>
      <w:tr>
        <w:tblPrEx/>
        <w:trPr>
          <w:cantSplit/>
          <w:jc w:val="center"/>
          <w:trHeight w:val="240"/>
        </w:trPr>
        <w:tc>
          <w:tcPr>
            <w:tcBorders>
              <w:top w:val="none" w:color="000000" w:sz="4" w:space="0"/>
              <w:left w:val="single" w:color="auto" w:sz="6" w:space="0"/>
              <w:bottom w:val="single" w:color="auto" w:sz="6" w:space="0"/>
              <w:right w:val="single" w:color="auto" w:sz="6" w:space="0"/>
            </w:tcBorders>
            <w:tcW w:w="741" w:type="dxa"/>
            <w:vAlign w:val="center"/>
            <w:vMerge w:val="continue"/>
            <w:textDirection w:val="lrTb"/>
            <w:noWrap w:val="false"/>
          </w:tcPr>
          <w:p>
            <w:pPr>
              <w:jc w:val="center"/>
              <w:spacing w:line="360" w:lineRule="auto"/>
              <w:widowControl/>
              <w:rPr>
                <w:szCs w:val="24"/>
                <w:lang w:eastAsia="ru-RU"/>
              </w:rPr>
            </w:pPr>
            <w:r>
              <w:rPr>
                <w:szCs w:val="24"/>
                <w:lang w:eastAsia="ru-RU"/>
              </w:rPr>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1" w:type="dxa"/>
            <w:vAlign w:val="center"/>
            <w:textDirection w:val="lrTb"/>
            <w:noWrap w:val="false"/>
          </w:tcPr>
          <w:p>
            <w:pPr>
              <w:jc w:val="center"/>
              <w:spacing w:line="360" w:lineRule="auto"/>
              <w:widowControl/>
              <w:rPr>
                <w:szCs w:val="24"/>
                <w:lang w:eastAsia="ru-RU"/>
              </w:rPr>
            </w:pPr>
            <w:r>
              <w:rPr>
                <w:szCs w:val="24"/>
                <w:lang w:eastAsia="ru-RU"/>
              </w:rPr>
              <w:t xml:space="preserve">65</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0" w:type="dxa"/>
            <w:vAlign w:val="center"/>
            <w:textDirection w:val="lrTb"/>
            <w:noWrap w:val="false"/>
          </w:tcPr>
          <w:p>
            <w:pPr>
              <w:jc w:val="center"/>
              <w:spacing w:line="360" w:lineRule="auto"/>
              <w:widowControl/>
              <w:rPr>
                <w:szCs w:val="24"/>
                <w:lang w:eastAsia="ru-RU"/>
              </w:rPr>
            </w:pPr>
            <w:r>
              <w:rPr>
                <w:szCs w:val="24"/>
                <w:lang w:eastAsia="ru-RU"/>
              </w:rPr>
              <w:t xml:space="preserve">50</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0" w:type="dxa"/>
            <w:vAlign w:val="center"/>
            <w:textDirection w:val="lrTb"/>
            <w:noWrap w:val="false"/>
          </w:tcPr>
          <w:p>
            <w:pPr>
              <w:jc w:val="center"/>
              <w:spacing w:line="360" w:lineRule="auto"/>
              <w:widowControl/>
              <w:rPr>
                <w:szCs w:val="24"/>
                <w:lang w:eastAsia="ru-RU"/>
              </w:rPr>
            </w:pPr>
            <w:r>
              <w:rPr>
                <w:szCs w:val="24"/>
                <w:lang w:eastAsia="ru-RU"/>
              </w:rPr>
              <w:t xml:space="preserve">90</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0" w:type="dxa"/>
            <w:vAlign w:val="center"/>
            <w:textDirection w:val="lrTb"/>
            <w:noWrap w:val="false"/>
          </w:tcPr>
          <w:p>
            <w:pPr>
              <w:jc w:val="center"/>
              <w:spacing w:line="360" w:lineRule="auto"/>
              <w:widowControl/>
              <w:rPr>
                <w:szCs w:val="24"/>
                <w:lang w:eastAsia="ru-RU"/>
              </w:rPr>
            </w:pPr>
            <w:r>
              <w:rPr>
                <w:szCs w:val="24"/>
                <w:lang w:eastAsia="ru-RU"/>
              </w:rPr>
              <w:t xml:space="preserve">50</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0" w:type="dxa"/>
            <w:vAlign w:val="center"/>
            <w:textDirection w:val="lrTb"/>
            <w:noWrap w:val="false"/>
          </w:tcPr>
          <w:p>
            <w:pPr>
              <w:jc w:val="center"/>
              <w:spacing w:line="360" w:lineRule="auto"/>
              <w:widowControl/>
              <w:rPr>
                <w:szCs w:val="24"/>
                <w:lang w:eastAsia="ru-RU"/>
              </w:rPr>
            </w:pPr>
            <w:r>
              <w:rPr>
                <w:szCs w:val="24"/>
                <w:lang w:eastAsia="ru-RU"/>
              </w:rPr>
              <w:t xml:space="preserve">110</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0" w:type="dxa"/>
            <w:vAlign w:val="center"/>
            <w:textDirection w:val="lrTb"/>
            <w:noWrap w:val="false"/>
          </w:tcPr>
          <w:p>
            <w:pPr>
              <w:jc w:val="center"/>
              <w:spacing w:line="360" w:lineRule="auto"/>
              <w:widowControl/>
              <w:rPr>
                <w:szCs w:val="24"/>
                <w:lang w:eastAsia="ru-RU"/>
              </w:rPr>
            </w:pPr>
            <w:r>
              <w:rPr>
                <w:szCs w:val="24"/>
                <w:lang w:eastAsia="ru-RU"/>
              </w:rPr>
              <w:t xml:space="preserve">50</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0" w:type="dxa"/>
            <w:vAlign w:val="center"/>
            <w:textDirection w:val="lrTb"/>
            <w:noWrap w:val="false"/>
          </w:tcPr>
          <w:p>
            <w:pPr>
              <w:jc w:val="center"/>
              <w:spacing w:line="360" w:lineRule="auto"/>
              <w:widowControl/>
              <w:rPr>
                <w:szCs w:val="24"/>
                <w:lang w:eastAsia="ru-RU"/>
              </w:rPr>
            </w:pPr>
            <w:r>
              <w:rPr>
                <w:szCs w:val="24"/>
                <w:lang w:eastAsia="ru-RU"/>
              </w:rPr>
              <w:t xml:space="preserve">65</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0" w:type="dxa"/>
            <w:vAlign w:val="center"/>
            <w:textDirection w:val="lrTb"/>
            <w:noWrap w:val="false"/>
          </w:tcPr>
          <w:p>
            <w:pPr>
              <w:jc w:val="center"/>
              <w:spacing w:line="360" w:lineRule="auto"/>
              <w:widowControl/>
              <w:rPr>
                <w:szCs w:val="24"/>
                <w:lang w:eastAsia="ru-RU"/>
              </w:rPr>
            </w:pPr>
            <w:r>
              <w:rPr>
                <w:szCs w:val="24"/>
                <w:lang w:eastAsia="ru-RU"/>
              </w:rPr>
              <w:t xml:space="preserve">50</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0" w:type="dxa"/>
            <w:vAlign w:val="center"/>
            <w:textDirection w:val="lrTb"/>
            <w:noWrap w:val="false"/>
          </w:tcPr>
          <w:p>
            <w:pPr>
              <w:jc w:val="center"/>
              <w:spacing w:line="360" w:lineRule="auto"/>
              <w:widowControl/>
              <w:rPr>
                <w:szCs w:val="24"/>
                <w:lang w:eastAsia="ru-RU"/>
              </w:rPr>
            </w:pPr>
            <w:r>
              <w:rPr>
                <w:szCs w:val="24"/>
                <w:lang w:eastAsia="ru-RU"/>
              </w:rPr>
              <w:t xml:space="preserve">90</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0" w:type="dxa"/>
            <w:vAlign w:val="center"/>
            <w:textDirection w:val="lrTb"/>
            <w:noWrap w:val="false"/>
          </w:tcPr>
          <w:p>
            <w:pPr>
              <w:jc w:val="center"/>
              <w:spacing w:line="360" w:lineRule="auto"/>
              <w:widowControl/>
              <w:rPr>
                <w:szCs w:val="24"/>
                <w:lang w:eastAsia="ru-RU"/>
              </w:rPr>
            </w:pPr>
            <w:r>
              <w:rPr>
                <w:szCs w:val="24"/>
                <w:lang w:eastAsia="ru-RU"/>
              </w:rPr>
              <w:t xml:space="preserve">50</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0" w:type="dxa"/>
            <w:vAlign w:val="center"/>
            <w:textDirection w:val="lrTb"/>
            <w:noWrap w:val="false"/>
          </w:tcPr>
          <w:p>
            <w:pPr>
              <w:jc w:val="center"/>
              <w:spacing w:line="360" w:lineRule="auto"/>
              <w:widowControl/>
              <w:rPr>
                <w:szCs w:val="24"/>
                <w:lang w:eastAsia="ru-RU"/>
              </w:rPr>
            </w:pPr>
            <w:r>
              <w:rPr>
                <w:szCs w:val="24"/>
                <w:lang w:eastAsia="ru-RU"/>
              </w:rPr>
              <w:t xml:space="preserve">110</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0" w:type="dxa"/>
            <w:vAlign w:val="center"/>
            <w:textDirection w:val="lrTb"/>
            <w:noWrap w:val="false"/>
          </w:tcPr>
          <w:p>
            <w:pPr>
              <w:jc w:val="center"/>
              <w:spacing w:line="360" w:lineRule="auto"/>
              <w:widowControl/>
              <w:rPr>
                <w:szCs w:val="24"/>
                <w:lang w:eastAsia="ru-RU"/>
              </w:rPr>
            </w:pPr>
            <w:r>
              <w:rPr>
                <w:szCs w:val="24"/>
                <w:lang w:eastAsia="ru-RU"/>
              </w:rPr>
              <w:t xml:space="preserve">50</w:t>
            </w:r>
            <w:r>
              <w:rPr>
                <w:szCs w:val="24"/>
                <w:lang w:eastAsia="ru-RU"/>
              </w:rPr>
            </w:r>
            <w:r>
              <w:rPr>
                <w:szCs w:val="24"/>
                <w:lang w:eastAsia="ru-RU"/>
              </w:rPr>
            </w:r>
          </w:p>
        </w:tc>
      </w:tr>
      <w:tr>
        <w:tblPrEx/>
        <w:trPr>
          <w:cantSplit/>
          <w:jc w:val="center"/>
          <w:trHeight w:val="5941"/>
        </w:trPr>
        <w:tc>
          <w:tcPr>
            <w:tcBorders>
              <w:top w:val="single" w:color="auto" w:sz="6" w:space="0"/>
              <w:left w:val="single" w:color="auto" w:sz="6" w:space="0"/>
              <w:bottom w:val="single" w:color="auto" w:sz="6" w:space="0"/>
              <w:right w:val="single" w:color="auto" w:sz="6" w:space="0"/>
            </w:tcBorders>
            <w:tcW w:w="741" w:type="dxa"/>
            <w:vAlign w:val="center"/>
            <w:textDirection w:val="lrTb"/>
            <w:noWrap w:val="false"/>
          </w:tcPr>
          <w:p>
            <w:pPr>
              <w:jc w:val="center"/>
              <w:spacing w:line="360" w:lineRule="auto"/>
              <w:widowControl/>
              <w:rPr>
                <w:szCs w:val="24"/>
                <w:lang w:eastAsia="ru-RU"/>
              </w:rPr>
            </w:pPr>
            <w:r>
              <w:rPr>
                <w:szCs w:val="24"/>
                <w:lang w:eastAsia="ru-RU"/>
              </w:rPr>
              <w:t xml:space="preserve">25   </w:t>
            </w:r>
            <w:r>
              <w:rPr>
                <w:szCs w:val="24"/>
                <w:lang w:eastAsia="ru-RU"/>
              </w:rPr>
              <w:br/>
              <w:t xml:space="preserve">30   </w:t>
            </w:r>
            <w:r>
              <w:rPr>
                <w:szCs w:val="24"/>
                <w:lang w:eastAsia="ru-RU"/>
              </w:rPr>
              <w:br/>
              <w:t xml:space="preserve">40   </w:t>
            </w:r>
            <w:r>
              <w:rPr>
                <w:szCs w:val="24"/>
                <w:lang w:eastAsia="ru-RU"/>
              </w:rPr>
              <w:br/>
              <w:t xml:space="preserve">50   </w:t>
            </w:r>
            <w:r>
              <w:rPr>
                <w:szCs w:val="24"/>
                <w:lang w:eastAsia="ru-RU"/>
              </w:rPr>
              <w:br/>
              <w:t xml:space="preserve">65   </w:t>
            </w:r>
            <w:r>
              <w:rPr>
                <w:szCs w:val="24"/>
                <w:lang w:eastAsia="ru-RU"/>
              </w:rPr>
              <w:br/>
              <w:t xml:space="preserve">80   </w:t>
            </w:r>
            <w:r>
              <w:rPr>
                <w:szCs w:val="24"/>
                <w:lang w:eastAsia="ru-RU"/>
              </w:rPr>
              <w:br/>
              <w:t xml:space="preserve">100   </w:t>
            </w:r>
            <w:r>
              <w:rPr>
                <w:szCs w:val="24"/>
                <w:lang w:eastAsia="ru-RU"/>
              </w:rPr>
              <w:br/>
              <w:t xml:space="preserve">125   </w:t>
            </w:r>
            <w:r>
              <w:rPr>
                <w:szCs w:val="24"/>
                <w:lang w:eastAsia="ru-RU"/>
              </w:rPr>
              <w:br/>
              <w:t xml:space="preserve">150   </w:t>
            </w:r>
            <w:r>
              <w:rPr>
                <w:szCs w:val="24"/>
                <w:lang w:eastAsia="ru-RU"/>
              </w:rPr>
              <w:br/>
              <w:t xml:space="preserve">200   </w:t>
            </w:r>
            <w:r>
              <w:rPr>
                <w:szCs w:val="24"/>
                <w:lang w:eastAsia="ru-RU"/>
              </w:rPr>
              <w:br/>
              <w:t xml:space="preserve">250   </w:t>
            </w:r>
            <w:r>
              <w:rPr>
                <w:szCs w:val="24"/>
                <w:lang w:eastAsia="ru-RU"/>
              </w:rPr>
              <w:br/>
              <w:t xml:space="preserve">300   </w:t>
            </w:r>
            <w:r>
              <w:rPr>
                <w:szCs w:val="24"/>
                <w:lang w:eastAsia="ru-RU"/>
              </w:rPr>
              <w:br/>
              <w:t xml:space="preserve">350   </w:t>
            </w:r>
            <w:r>
              <w:rPr>
                <w:szCs w:val="24"/>
                <w:lang w:eastAsia="ru-RU"/>
              </w:rPr>
              <w:br/>
              <w:t xml:space="preserve">400   </w:t>
            </w:r>
            <w:r>
              <w:rPr>
                <w:szCs w:val="24"/>
                <w:lang w:eastAsia="ru-RU"/>
              </w:rPr>
              <w:br/>
              <w:t xml:space="preserve">450   </w:t>
            </w:r>
            <w:r>
              <w:rPr>
                <w:szCs w:val="24"/>
                <w:lang w:eastAsia="ru-RU"/>
              </w:rPr>
              <w:br/>
              <w:t xml:space="preserve">500   </w:t>
            </w:r>
            <w:r>
              <w:rPr>
                <w:szCs w:val="24"/>
                <w:lang w:eastAsia="ru-RU"/>
              </w:rPr>
              <w:br/>
              <w:t xml:space="preserve">600   </w:t>
            </w:r>
            <w:r>
              <w:rPr>
                <w:szCs w:val="24"/>
                <w:lang w:eastAsia="ru-RU"/>
              </w:rPr>
              <w:br/>
              <w:t xml:space="preserve">700   </w:t>
            </w:r>
            <w:r>
              <w:rPr>
                <w:szCs w:val="24"/>
                <w:lang w:eastAsia="ru-RU"/>
              </w:rPr>
              <w:br/>
              <w:t xml:space="preserve">800   </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1" w:type="dxa"/>
            <w:vAlign w:val="center"/>
            <w:textDirection w:val="lrTb"/>
            <w:noWrap w:val="false"/>
          </w:tcPr>
          <w:p>
            <w:pPr>
              <w:jc w:val="center"/>
              <w:spacing w:line="360" w:lineRule="auto"/>
              <w:widowControl/>
              <w:rPr>
                <w:szCs w:val="24"/>
                <w:lang w:eastAsia="ru-RU"/>
              </w:rPr>
            </w:pPr>
            <w:r>
              <w:rPr>
                <w:szCs w:val="24"/>
                <w:lang w:eastAsia="ru-RU"/>
              </w:rPr>
              <w:t xml:space="preserve">15    </w:t>
            </w:r>
            <w:r>
              <w:rPr>
                <w:szCs w:val="24"/>
                <w:lang w:eastAsia="ru-RU"/>
              </w:rPr>
              <w:br/>
              <w:t xml:space="preserve">16    </w:t>
            </w:r>
            <w:r>
              <w:rPr>
                <w:szCs w:val="24"/>
                <w:lang w:eastAsia="ru-RU"/>
              </w:rPr>
              <w:br/>
              <w:t xml:space="preserve">18    </w:t>
            </w:r>
            <w:r>
              <w:rPr>
                <w:szCs w:val="24"/>
                <w:lang w:eastAsia="ru-RU"/>
              </w:rPr>
              <w:br/>
              <w:t xml:space="preserve">19    </w:t>
            </w:r>
            <w:r>
              <w:rPr>
                <w:szCs w:val="24"/>
                <w:lang w:eastAsia="ru-RU"/>
              </w:rPr>
              <w:br/>
              <w:t xml:space="preserve">23    </w:t>
            </w:r>
            <w:r>
              <w:rPr>
                <w:szCs w:val="24"/>
                <w:lang w:eastAsia="ru-RU"/>
              </w:rPr>
              <w:br/>
              <w:t xml:space="preserve">25    </w:t>
            </w:r>
            <w:r>
              <w:rPr>
                <w:szCs w:val="24"/>
                <w:lang w:eastAsia="ru-RU"/>
              </w:rPr>
              <w:br/>
              <w:t xml:space="preserve">28    </w:t>
            </w:r>
            <w:r>
              <w:rPr>
                <w:szCs w:val="24"/>
                <w:lang w:eastAsia="ru-RU"/>
              </w:rPr>
              <w:br/>
              <w:t xml:space="preserve">29    </w:t>
            </w:r>
            <w:r>
              <w:rPr>
                <w:szCs w:val="24"/>
                <w:lang w:eastAsia="ru-RU"/>
              </w:rPr>
              <w:br/>
              <w:t xml:space="preserve">33    </w:t>
            </w:r>
            <w:r>
              <w:rPr>
                <w:szCs w:val="24"/>
                <w:lang w:eastAsia="ru-RU"/>
              </w:rPr>
              <w:br/>
              <w:t xml:space="preserve">41    </w:t>
            </w:r>
            <w:r>
              <w:rPr>
                <w:szCs w:val="24"/>
                <w:lang w:eastAsia="ru-RU"/>
              </w:rPr>
              <w:br/>
              <w:t xml:space="preserve">46    </w:t>
            </w:r>
            <w:r>
              <w:rPr>
                <w:szCs w:val="24"/>
                <w:lang w:eastAsia="ru-RU"/>
              </w:rPr>
              <w:br/>
              <w:t xml:space="preserve">53    </w:t>
            </w:r>
            <w:r>
              <w:rPr>
                <w:szCs w:val="24"/>
                <w:lang w:eastAsia="ru-RU"/>
              </w:rPr>
              <w:br/>
              <w:t xml:space="preserve">58    </w:t>
            </w:r>
            <w:r>
              <w:rPr>
                <w:szCs w:val="24"/>
                <w:lang w:eastAsia="ru-RU"/>
              </w:rPr>
              <w:br/>
              <w:t xml:space="preserve">65    </w:t>
            </w:r>
            <w:r>
              <w:rPr>
                <w:szCs w:val="24"/>
                <w:lang w:eastAsia="ru-RU"/>
              </w:rPr>
              <w:br/>
              <w:t xml:space="preserve">66    </w:t>
            </w:r>
            <w:r>
              <w:rPr>
                <w:szCs w:val="24"/>
                <w:lang w:eastAsia="ru-RU"/>
              </w:rPr>
              <w:br/>
              <w:t xml:space="preserve">76    </w:t>
            </w:r>
            <w:r>
              <w:rPr>
                <w:szCs w:val="24"/>
                <w:lang w:eastAsia="ru-RU"/>
              </w:rPr>
              <w:br/>
              <w:t xml:space="preserve">84    </w:t>
            </w:r>
            <w:r>
              <w:rPr>
                <w:szCs w:val="24"/>
                <w:lang w:eastAsia="ru-RU"/>
              </w:rPr>
              <w:br/>
              <w:t xml:space="preserve">92    </w:t>
            </w:r>
            <w:r>
              <w:rPr>
                <w:szCs w:val="24"/>
                <w:lang w:eastAsia="ru-RU"/>
              </w:rPr>
              <w:br/>
              <w:t xml:space="preserve">112   </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0" w:type="dxa"/>
            <w:vAlign w:val="center"/>
            <w:textDirection w:val="lrTb"/>
            <w:noWrap w:val="false"/>
          </w:tcPr>
          <w:p>
            <w:pPr>
              <w:jc w:val="center"/>
              <w:spacing w:line="360" w:lineRule="auto"/>
              <w:widowControl/>
              <w:rPr>
                <w:szCs w:val="24"/>
                <w:lang w:eastAsia="ru-RU"/>
              </w:rPr>
            </w:pPr>
            <w:r>
              <w:rPr>
                <w:szCs w:val="24"/>
                <w:lang w:eastAsia="ru-RU"/>
              </w:rPr>
              <w:t xml:space="preserve">10   </w:t>
            </w:r>
            <w:r>
              <w:rPr>
                <w:szCs w:val="24"/>
                <w:lang w:eastAsia="ru-RU"/>
              </w:rPr>
              <w:br/>
              <w:t xml:space="preserve">11   </w:t>
            </w:r>
            <w:r>
              <w:rPr>
                <w:szCs w:val="24"/>
                <w:lang w:eastAsia="ru-RU"/>
              </w:rPr>
              <w:br/>
              <w:t xml:space="preserve">12   </w:t>
            </w:r>
            <w:r>
              <w:rPr>
                <w:szCs w:val="24"/>
                <w:lang w:eastAsia="ru-RU"/>
              </w:rPr>
              <w:br/>
              <w:t xml:space="preserve">13   </w:t>
            </w:r>
            <w:r>
              <w:rPr>
                <w:szCs w:val="24"/>
                <w:lang w:eastAsia="ru-RU"/>
              </w:rPr>
              <w:br/>
              <w:t xml:space="preserve">16   </w:t>
            </w:r>
            <w:r>
              <w:rPr>
                <w:szCs w:val="24"/>
                <w:lang w:eastAsia="ru-RU"/>
              </w:rPr>
              <w:br/>
              <w:t xml:space="preserve">17   </w:t>
            </w:r>
            <w:r>
              <w:rPr>
                <w:szCs w:val="24"/>
                <w:lang w:eastAsia="ru-RU"/>
              </w:rPr>
              <w:br/>
              <w:t xml:space="preserve">19   </w:t>
            </w:r>
            <w:r>
              <w:rPr>
                <w:szCs w:val="24"/>
                <w:lang w:eastAsia="ru-RU"/>
              </w:rPr>
              <w:br/>
              <w:t xml:space="preserve">20   </w:t>
            </w:r>
            <w:r>
              <w:rPr>
                <w:szCs w:val="24"/>
                <w:lang w:eastAsia="ru-RU"/>
              </w:rPr>
              <w:br/>
              <w:t xml:space="preserve">22   </w:t>
            </w:r>
            <w:r>
              <w:rPr>
                <w:szCs w:val="24"/>
                <w:lang w:eastAsia="ru-RU"/>
              </w:rPr>
              <w:br/>
              <w:t xml:space="preserve">27   </w:t>
            </w:r>
            <w:r>
              <w:rPr>
                <w:szCs w:val="24"/>
                <w:lang w:eastAsia="ru-RU"/>
              </w:rPr>
              <w:br/>
              <w:t xml:space="preserve">30   </w:t>
            </w:r>
            <w:r>
              <w:rPr>
                <w:szCs w:val="24"/>
                <w:lang w:eastAsia="ru-RU"/>
              </w:rPr>
              <w:br/>
              <w:t xml:space="preserve">34   </w:t>
            </w:r>
            <w:r>
              <w:rPr>
                <w:szCs w:val="24"/>
                <w:lang w:eastAsia="ru-RU"/>
              </w:rPr>
              <w:br/>
              <w:t xml:space="preserve">38   </w:t>
            </w:r>
            <w:r>
              <w:rPr>
                <w:szCs w:val="24"/>
                <w:lang w:eastAsia="ru-RU"/>
              </w:rPr>
              <w:br/>
              <w:t xml:space="preserve">40   </w:t>
            </w:r>
            <w:r>
              <w:rPr>
                <w:szCs w:val="24"/>
                <w:lang w:eastAsia="ru-RU"/>
              </w:rPr>
              <w:br/>
              <w:t xml:space="preserve">42   </w:t>
            </w:r>
            <w:r>
              <w:rPr>
                <w:szCs w:val="24"/>
                <w:lang w:eastAsia="ru-RU"/>
              </w:rPr>
              <w:br/>
              <w:t xml:space="preserve">46   </w:t>
            </w:r>
            <w:r>
              <w:rPr>
                <w:szCs w:val="24"/>
                <w:lang w:eastAsia="ru-RU"/>
              </w:rPr>
              <w:br/>
              <w:t xml:space="preserve">50   </w:t>
            </w:r>
            <w:r>
              <w:rPr>
                <w:szCs w:val="24"/>
                <w:lang w:eastAsia="ru-RU"/>
              </w:rPr>
              <w:br/>
              <w:t xml:space="preserve">54   </w:t>
            </w:r>
            <w:r>
              <w:rPr>
                <w:szCs w:val="24"/>
                <w:lang w:eastAsia="ru-RU"/>
              </w:rPr>
              <w:br/>
              <w:t xml:space="preserve">62   </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0" w:type="dxa"/>
            <w:vAlign w:val="center"/>
            <w:textDirection w:val="lrTb"/>
            <w:noWrap w:val="false"/>
          </w:tcPr>
          <w:p>
            <w:pPr>
              <w:jc w:val="center"/>
              <w:spacing w:line="360" w:lineRule="auto"/>
              <w:widowControl/>
              <w:rPr>
                <w:szCs w:val="24"/>
                <w:lang w:eastAsia="ru-RU"/>
              </w:rPr>
            </w:pPr>
            <w:r>
              <w:rPr>
                <w:szCs w:val="24"/>
                <w:lang w:eastAsia="ru-RU"/>
              </w:rPr>
              <w:t xml:space="preserve">22   </w:t>
            </w:r>
            <w:r>
              <w:rPr>
                <w:szCs w:val="24"/>
                <w:lang w:eastAsia="ru-RU"/>
              </w:rPr>
              <w:br/>
              <w:t xml:space="preserve">23   </w:t>
            </w:r>
            <w:r>
              <w:rPr>
                <w:szCs w:val="24"/>
                <w:lang w:eastAsia="ru-RU"/>
              </w:rPr>
              <w:br/>
              <w:t xml:space="preserve">25   </w:t>
            </w:r>
            <w:r>
              <w:rPr>
                <w:szCs w:val="24"/>
                <w:lang w:eastAsia="ru-RU"/>
              </w:rPr>
              <w:br/>
              <w:t xml:space="preserve">28   </w:t>
            </w:r>
            <w:r>
              <w:rPr>
                <w:szCs w:val="24"/>
                <w:lang w:eastAsia="ru-RU"/>
              </w:rPr>
              <w:br/>
              <w:t xml:space="preserve">33   </w:t>
            </w:r>
            <w:r>
              <w:rPr>
                <w:szCs w:val="24"/>
                <w:lang w:eastAsia="ru-RU"/>
              </w:rPr>
              <w:br/>
              <w:t xml:space="preserve">35   </w:t>
            </w:r>
            <w:r>
              <w:rPr>
                <w:szCs w:val="24"/>
                <w:lang w:eastAsia="ru-RU"/>
              </w:rPr>
              <w:br/>
              <w:t xml:space="preserve">40   </w:t>
            </w:r>
            <w:r>
              <w:rPr>
                <w:szCs w:val="24"/>
                <w:lang w:eastAsia="ru-RU"/>
              </w:rPr>
              <w:br/>
              <w:t xml:space="preserve">42   </w:t>
            </w:r>
            <w:r>
              <w:rPr>
                <w:szCs w:val="24"/>
                <w:lang w:eastAsia="ru-RU"/>
              </w:rPr>
              <w:br/>
              <w:t xml:space="preserve">46   </w:t>
            </w:r>
            <w:r>
              <w:rPr>
                <w:szCs w:val="24"/>
                <w:lang w:eastAsia="ru-RU"/>
              </w:rPr>
              <w:br/>
              <w:t xml:space="preserve">57   </w:t>
            </w:r>
            <w:r>
              <w:rPr>
                <w:szCs w:val="24"/>
                <w:lang w:eastAsia="ru-RU"/>
              </w:rPr>
              <w:br/>
              <w:t xml:space="preserve">65   </w:t>
            </w:r>
            <w:r>
              <w:rPr>
                <w:szCs w:val="24"/>
                <w:lang w:eastAsia="ru-RU"/>
              </w:rPr>
              <w:br/>
              <w:t xml:space="preserve">75   </w:t>
            </w:r>
            <w:r>
              <w:rPr>
                <w:szCs w:val="24"/>
                <w:lang w:eastAsia="ru-RU"/>
              </w:rPr>
              <w:br/>
              <w:t xml:space="preserve">80   </w:t>
            </w:r>
            <w:r>
              <w:rPr>
                <w:szCs w:val="24"/>
                <w:lang w:eastAsia="ru-RU"/>
              </w:rPr>
              <w:br/>
              <w:t xml:space="preserve">94   </w:t>
            </w:r>
            <w:r>
              <w:rPr>
                <w:szCs w:val="24"/>
                <w:lang w:eastAsia="ru-RU"/>
              </w:rPr>
              <w:br/>
              <w:t xml:space="preserve">96   </w:t>
            </w:r>
            <w:r>
              <w:rPr>
                <w:szCs w:val="24"/>
                <w:lang w:eastAsia="ru-RU"/>
              </w:rPr>
              <w:br/>
              <w:t xml:space="preserve">108   </w:t>
            </w:r>
            <w:r>
              <w:rPr>
                <w:szCs w:val="24"/>
                <w:lang w:eastAsia="ru-RU"/>
              </w:rPr>
              <w:br/>
              <w:t xml:space="preserve">120   </w:t>
            </w:r>
            <w:r>
              <w:rPr>
                <w:szCs w:val="24"/>
                <w:lang w:eastAsia="ru-RU"/>
              </w:rPr>
              <w:br/>
              <w:t xml:space="preserve">140   </w:t>
            </w:r>
            <w:r>
              <w:rPr>
                <w:szCs w:val="24"/>
                <w:lang w:eastAsia="ru-RU"/>
              </w:rPr>
              <w:br/>
              <w:t xml:space="preserve">156   </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0" w:type="dxa"/>
            <w:vAlign w:val="center"/>
            <w:textDirection w:val="lrTb"/>
            <w:noWrap w:val="false"/>
          </w:tcPr>
          <w:p>
            <w:pPr>
              <w:jc w:val="center"/>
              <w:spacing w:line="360" w:lineRule="auto"/>
              <w:widowControl/>
              <w:rPr>
                <w:szCs w:val="24"/>
                <w:lang w:eastAsia="ru-RU"/>
              </w:rPr>
            </w:pPr>
            <w:r>
              <w:rPr>
                <w:szCs w:val="24"/>
                <w:lang w:eastAsia="ru-RU"/>
              </w:rPr>
              <w:t xml:space="preserve">9    </w:t>
            </w:r>
            <w:r>
              <w:rPr>
                <w:szCs w:val="24"/>
                <w:lang w:eastAsia="ru-RU"/>
              </w:rPr>
              <w:br/>
              <w:t xml:space="preserve">10   </w:t>
            </w:r>
            <w:r>
              <w:rPr>
                <w:szCs w:val="24"/>
                <w:lang w:eastAsia="ru-RU"/>
              </w:rPr>
              <w:br/>
              <w:t xml:space="preserve">11   </w:t>
            </w:r>
            <w:r>
              <w:rPr>
                <w:szCs w:val="24"/>
                <w:lang w:eastAsia="ru-RU"/>
              </w:rPr>
              <w:br/>
              <w:t xml:space="preserve">12   </w:t>
            </w:r>
            <w:r>
              <w:rPr>
                <w:szCs w:val="24"/>
                <w:lang w:eastAsia="ru-RU"/>
              </w:rPr>
              <w:br/>
              <w:t xml:space="preserve">14   </w:t>
            </w:r>
            <w:r>
              <w:rPr>
                <w:szCs w:val="24"/>
                <w:lang w:eastAsia="ru-RU"/>
              </w:rPr>
              <w:br/>
              <w:t xml:space="preserve">15   </w:t>
            </w:r>
            <w:r>
              <w:rPr>
                <w:szCs w:val="24"/>
                <w:lang w:eastAsia="ru-RU"/>
              </w:rPr>
              <w:br/>
              <w:t xml:space="preserve">16   </w:t>
            </w:r>
            <w:r>
              <w:rPr>
                <w:szCs w:val="24"/>
                <w:lang w:eastAsia="ru-RU"/>
              </w:rPr>
              <w:br/>
              <w:t xml:space="preserve">17   </w:t>
            </w:r>
            <w:r>
              <w:rPr>
                <w:szCs w:val="24"/>
                <w:lang w:eastAsia="ru-RU"/>
              </w:rPr>
              <w:br/>
              <w:t xml:space="preserve">19   </w:t>
            </w:r>
            <w:r>
              <w:rPr>
                <w:szCs w:val="24"/>
                <w:lang w:eastAsia="ru-RU"/>
              </w:rPr>
              <w:br/>
              <w:t xml:space="preserve">22   </w:t>
            </w:r>
            <w:r>
              <w:rPr>
                <w:szCs w:val="24"/>
                <w:lang w:eastAsia="ru-RU"/>
              </w:rPr>
              <w:br/>
              <w:t xml:space="preserve">25   </w:t>
            </w:r>
            <w:r>
              <w:rPr>
                <w:szCs w:val="24"/>
                <w:lang w:eastAsia="ru-RU"/>
              </w:rPr>
              <w:br/>
              <w:t xml:space="preserve">28   </w:t>
            </w:r>
            <w:r>
              <w:rPr>
                <w:szCs w:val="24"/>
                <w:lang w:eastAsia="ru-RU"/>
              </w:rPr>
              <w:br/>
              <w:t xml:space="preserve">29   </w:t>
            </w:r>
            <w:r>
              <w:rPr>
                <w:szCs w:val="24"/>
                <w:lang w:eastAsia="ru-RU"/>
              </w:rPr>
              <w:br/>
              <w:t xml:space="preserve">32   </w:t>
            </w:r>
            <w:r>
              <w:rPr>
                <w:szCs w:val="24"/>
                <w:lang w:eastAsia="ru-RU"/>
              </w:rPr>
              <w:br/>
              <w:t xml:space="preserve">34   </w:t>
            </w:r>
            <w:r>
              <w:rPr>
                <w:szCs w:val="24"/>
                <w:lang w:eastAsia="ru-RU"/>
              </w:rPr>
              <w:br/>
              <w:t xml:space="preserve">37   </w:t>
            </w:r>
            <w:r>
              <w:rPr>
                <w:szCs w:val="24"/>
                <w:lang w:eastAsia="ru-RU"/>
              </w:rPr>
              <w:br/>
              <w:t xml:space="preserve">39   </w:t>
            </w:r>
            <w:r>
              <w:rPr>
                <w:szCs w:val="24"/>
                <w:lang w:eastAsia="ru-RU"/>
              </w:rPr>
              <w:br/>
              <w:t xml:space="preserve">40   </w:t>
            </w:r>
            <w:r>
              <w:rPr>
                <w:szCs w:val="24"/>
                <w:lang w:eastAsia="ru-RU"/>
              </w:rPr>
              <w:br/>
              <w:t xml:space="preserve">41   </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0" w:type="dxa"/>
            <w:vAlign w:val="center"/>
            <w:textDirection w:val="lrTb"/>
            <w:noWrap w:val="false"/>
          </w:tcPr>
          <w:p>
            <w:pPr>
              <w:jc w:val="center"/>
              <w:spacing w:line="360" w:lineRule="auto"/>
              <w:widowControl/>
              <w:rPr>
                <w:szCs w:val="24"/>
                <w:lang w:eastAsia="ru-RU"/>
              </w:rPr>
            </w:pPr>
            <w:r>
              <w:rPr>
                <w:szCs w:val="24"/>
                <w:lang w:eastAsia="ru-RU"/>
              </w:rPr>
              <w:t xml:space="preserve">27   </w:t>
            </w:r>
            <w:r>
              <w:rPr>
                <w:szCs w:val="24"/>
                <w:lang w:eastAsia="ru-RU"/>
              </w:rPr>
              <w:br/>
              <w:t xml:space="preserve">28   </w:t>
            </w:r>
            <w:r>
              <w:rPr>
                <w:szCs w:val="24"/>
                <w:lang w:eastAsia="ru-RU"/>
              </w:rPr>
              <w:br/>
              <w:t xml:space="preserve">31   </w:t>
            </w:r>
            <w:r>
              <w:rPr>
                <w:szCs w:val="24"/>
                <w:lang w:eastAsia="ru-RU"/>
              </w:rPr>
              <w:br/>
              <w:t xml:space="preserve">34   </w:t>
            </w:r>
            <w:r>
              <w:rPr>
                <w:szCs w:val="24"/>
                <w:lang w:eastAsia="ru-RU"/>
              </w:rPr>
              <w:br/>
              <w:t xml:space="preserve">40   </w:t>
            </w:r>
            <w:r>
              <w:rPr>
                <w:szCs w:val="24"/>
                <w:lang w:eastAsia="ru-RU"/>
              </w:rPr>
              <w:br/>
              <w:t xml:space="preserve">44   </w:t>
            </w:r>
            <w:r>
              <w:rPr>
                <w:szCs w:val="24"/>
                <w:lang w:eastAsia="ru-RU"/>
              </w:rPr>
              <w:br/>
              <w:t xml:space="preserve">49   </w:t>
            </w:r>
            <w:r>
              <w:rPr>
                <w:szCs w:val="24"/>
                <w:lang w:eastAsia="ru-RU"/>
              </w:rPr>
              <w:br/>
              <w:t xml:space="preserve">52   </w:t>
            </w:r>
            <w:r>
              <w:rPr>
                <w:szCs w:val="24"/>
                <w:lang w:eastAsia="ru-RU"/>
              </w:rPr>
              <w:br/>
              <w:t xml:space="preserve">56   </w:t>
            </w:r>
            <w:r>
              <w:rPr>
                <w:szCs w:val="24"/>
                <w:lang w:eastAsia="ru-RU"/>
              </w:rPr>
              <w:br/>
              <w:t xml:space="preserve">71   </w:t>
            </w:r>
            <w:r>
              <w:rPr>
                <w:szCs w:val="24"/>
                <w:lang w:eastAsia="ru-RU"/>
              </w:rPr>
              <w:br/>
              <w:t xml:space="preserve">80   </w:t>
            </w:r>
            <w:r>
              <w:rPr>
                <w:szCs w:val="24"/>
                <w:lang w:eastAsia="ru-RU"/>
              </w:rPr>
              <w:br/>
              <w:t xml:space="preserve">89   </w:t>
            </w:r>
            <w:r>
              <w:rPr>
                <w:szCs w:val="24"/>
                <w:lang w:eastAsia="ru-RU"/>
              </w:rPr>
              <w:br/>
              <w:t xml:space="preserve">101   </w:t>
            </w:r>
            <w:r>
              <w:rPr>
                <w:szCs w:val="24"/>
                <w:lang w:eastAsia="ru-RU"/>
              </w:rPr>
              <w:br/>
              <w:t xml:space="preserve">106   </w:t>
            </w:r>
            <w:r>
              <w:rPr>
                <w:szCs w:val="24"/>
                <w:lang w:eastAsia="ru-RU"/>
              </w:rPr>
              <w:br/>
              <w:t xml:space="preserve">116   </w:t>
            </w:r>
            <w:r>
              <w:rPr>
                <w:szCs w:val="24"/>
                <w:lang w:eastAsia="ru-RU"/>
              </w:rPr>
              <w:br/>
              <w:t xml:space="preserve">144   </w:t>
            </w:r>
            <w:r>
              <w:rPr>
                <w:szCs w:val="24"/>
                <w:lang w:eastAsia="ru-RU"/>
              </w:rPr>
              <w:br/>
              <w:t xml:space="preserve">147   </w:t>
            </w:r>
            <w:r>
              <w:rPr>
                <w:szCs w:val="24"/>
                <w:lang w:eastAsia="ru-RU"/>
              </w:rPr>
              <w:br/>
              <w:t xml:space="preserve">159   </w:t>
            </w:r>
            <w:r>
              <w:rPr>
                <w:szCs w:val="24"/>
                <w:lang w:eastAsia="ru-RU"/>
              </w:rPr>
              <w:br/>
              <w:t xml:space="preserve">183   </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0" w:type="dxa"/>
            <w:vAlign w:val="center"/>
            <w:textDirection w:val="lrTb"/>
            <w:noWrap w:val="false"/>
          </w:tcPr>
          <w:p>
            <w:pPr>
              <w:jc w:val="center"/>
              <w:spacing w:line="360" w:lineRule="auto"/>
              <w:widowControl/>
              <w:rPr>
                <w:szCs w:val="24"/>
                <w:lang w:eastAsia="ru-RU"/>
              </w:rPr>
            </w:pPr>
            <w:r>
              <w:rPr>
                <w:szCs w:val="24"/>
                <w:lang w:eastAsia="ru-RU"/>
              </w:rPr>
              <w:t xml:space="preserve">9    </w:t>
            </w:r>
            <w:r>
              <w:rPr>
                <w:szCs w:val="24"/>
                <w:lang w:eastAsia="ru-RU"/>
              </w:rPr>
              <w:br/>
              <w:t xml:space="preserve">9    </w:t>
            </w:r>
            <w:r>
              <w:rPr>
                <w:szCs w:val="24"/>
                <w:lang w:eastAsia="ru-RU"/>
              </w:rPr>
              <w:br/>
              <w:t xml:space="preserve">10   </w:t>
            </w:r>
            <w:r>
              <w:rPr>
                <w:szCs w:val="24"/>
                <w:lang w:eastAsia="ru-RU"/>
              </w:rPr>
              <w:br/>
              <w:t xml:space="preserve">11   </w:t>
            </w:r>
            <w:r>
              <w:rPr>
                <w:szCs w:val="24"/>
                <w:lang w:eastAsia="ru-RU"/>
              </w:rPr>
              <w:br/>
              <w:t xml:space="preserve">12   </w:t>
            </w:r>
            <w:r>
              <w:rPr>
                <w:szCs w:val="24"/>
                <w:lang w:eastAsia="ru-RU"/>
              </w:rPr>
              <w:br/>
              <w:t xml:space="preserve">13   </w:t>
            </w:r>
            <w:r>
              <w:rPr>
                <w:szCs w:val="24"/>
                <w:lang w:eastAsia="ru-RU"/>
              </w:rPr>
              <w:br/>
              <w:t xml:space="preserve">15   </w:t>
            </w:r>
            <w:r>
              <w:rPr>
                <w:szCs w:val="24"/>
                <w:lang w:eastAsia="ru-RU"/>
              </w:rPr>
              <w:br/>
              <w:t xml:space="preserve">15   </w:t>
            </w:r>
            <w:r>
              <w:rPr>
                <w:szCs w:val="24"/>
                <w:lang w:eastAsia="ru-RU"/>
              </w:rPr>
              <w:br/>
              <w:t xml:space="preserve">16   </w:t>
            </w:r>
            <w:r>
              <w:rPr>
                <w:szCs w:val="24"/>
                <w:lang w:eastAsia="ru-RU"/>
              </w:rPr>
              <w:br/>
              <w:t xml:space="preserve">20   </w:t>
            </w:r>
            <w:r>
              <w:rPr>
                <w:szCs w:val="24"/>
                <w:lang w:eastAsia="ru-RU"/>
              </w:rPr>
              <w:br/>
              <w:t xml:space="preserve">22   </w:t>
            </w:r>
            <w:r>
              <w:rPr>
                <w:szCs w:val="24"/>
                <w:lang w:eastAsia="ru-RU"/>
              </w:rPr>
              <w:br/>
              <w:t xml:space="preserve">24   </w:t>
            </w:r>
            <w:r>
              <w:rPr>
                <w:szCs w:val="24"/>
                <w:lang w:eastAsia="ru-RU"/>
              </w:rPr>
              <w:br/>
              <w:t xml:space="preserve">25   </w:t>
            </w:r>
            <w:r>
              <w:rPr>
                <w:szCs w:val="24"/>
                <w:lang w:eastAsia="ru-RU"/>
              </w:rPr>
              <w:br/>
              <w:t xml:space="preserve">26   </w:t>
            </w:r>
            <w:r>
              <w:rPr>
                <w:szCs w:val="24"/>
                <w:lang w:eastAsia="ru-RU"/>
              </w:rPr>
              <w:br/>
              <w:t xml:space="preserve">28   </w:t>
            </w:r>
            <w:r>
              <w:rPr>
                <w:szCs w:val="24"/>
                <w:lang w:eastAsia="ru-RU"/>
              </w:rPr>
              <w:br/>
              <w:t xml:space="preserve">28   </w:t>
            </w:r>
            <w:r>
              <w:rPr>
                <w:szCs w:val="24"/>
                <w:lang w:eastAsia="ru-RU"/>
              </w:rPr>
              <w:br/>
              <w:t xml:space="preserve">30   </w:t>
            </w:r>
            <w:r>
              <w:rPr>
                <w:szCs w:val="24"/>
                <w:lang w:eastAsia="ru-RU"/>
              </w:rPr>
              <w:br/>
              <w:t xml:space="preserve">33   </w:t>
            </w:r>
            <w:r>
              <w:rPr>
                <w:szCs w:val="24"/>
                <w:lang w:eastAsia="ru-RU"/>
              </w:rPr>
              <w:br/>
              <w:t xml:space="preserve">36   </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0" w:type="dxa"/>
            <w:vAlign w:val="center"/>
            <w:textDirection w:val="lrTb"/>
            <w:noWrap w:val="false"/>
          </w:tcPr>
          <w:p>
            <w:pPr>
              <w:jc w:val="center"/>
              <w:spacing w:line="360" w:lineRule="auto"/>
              <w:widowControl/>
              <w:rPr>
                <w:szCs w:val="24"/>
                <w:lang w:eastAsia="ru-RU"/>
              </w:rPr>
            </w:pPr>
            <w:r>
              <w:rPr>
                <w:szCs w:val="24"/>
                <w:lang w:eastAsia="ru-RU"/>
              </w:rPr>
              <w:t xml:space="preserve">14   </w:t>
            </w:r>
            <w:r>
              <w:rPr>
                <w:szCs w:val="24"/>
                <w:lang w:eastAsia="ru-RU"/>
              </w:rPr>
              <w:br/>
              <w:t xml:space="preserve">15   </w:t>
            </w:r>
            <w:r>
              <w:rPr>
                <w:szCs w:val="24"/>
                <w:lang w:eastAsia="ru-RU"/>
              </w:rPr>
              <w:br/>
              <w:t xml:space="preserve">15   </w:t>
            </w:r>
            <w:r>
              <w:rPr>
                <w:szCs w:val="24"/>
                <w:lang w:eastAsia="ru-RU"/>
              </w:rPr>
              <w:br/>
              <w:t xml:space="preserve">17   </w:t>
            </w:r>
            <w:r>
              <w:rPr>
                <w:szCs w:val="24"/>
                <w:lang w:eastAsia="ru-RU"/>
              </w:rPr>
              <w:br/>
              <w:t xml:space="preserve">20   </w:t>
            </w:r>
            <w:r>
              <w:rPr>
                <w:szCs w:val="24"/>
                <w:lang w:eastAsia="ru-RU"/>
              </w:rPr>
              <w:br/>
              <w:t xml:space="preserve">22   </w:t>
            </w:r>
            <w:r>
              <w:rPr>
                <w:szCs w:val="24"/>
                <w:lang w:eastAsia="ru-RU"/>
              </w:rPr>
              <w:br/>
              <w:t xml:space="preserve">24   </w:t>
            </w:r>
            <w:r>
              <w:rPr>
                <w:szCs w:val="24"/>
                <w:lang w:eastAsia="ru-RU"/>
              </w:rPr>
              <w:br/>
              <w:t xml:space="preserve">27   </w:t>
            </w:r>
            <w:r>
              <w:rPr>
                <w:szCs w:val="24"/>
                <w:lang w:eastAsia="ru-RU"/>
              </w:rPr>
              <w:br/>
              <w:t xml:space="preserve">28   </w:t>
            </w:r>
            <w:r>
              <w:rPr>
                <w:szCs w:val="24"/>
                <w:lang w:eastAsia="ru-RU"/>
              </w:rPr>
              <w:br/>
              <w:t xml:space="preserve">34   </w:t>
            </w:r>
            <w:r>
              <w:rPr>
                <w:szCs w:val="24"/>
                <w:lang w:eastAsia="ru-RU"/>
              </w:rPr>
              <w:br/>
              <w:t xml:space="preserve">39   </w:t>
            </w:r>
            <w:r>
              <w:rPr>
                <w:szCs w:val="24"/>
                <w:lang w:eastAsia="ru-RU"/>
              </w:rPr>
              <w:br/>
              <w:t xml:space="preserve">43   </w:t>
            </w:r>
            <w:r>
              <w:rPr>
                <w:szCs w:val="24"/>
                <w:lang w:eastAsia="ru-RU"/>
              </w:rPr>
              <w:br/>
              <w:t xml:space="preserve">47   </w:t>
            </w:r>
            <w:r>
              <w:rPr>
                <w:szCs w:val="24"/>
                <w:lang w:eastAsia="ru-RU"/>
              </w:rPr>
              <w:br/>
              <w:t xml:space="preserve">50   </w:t>
            </w:r>
            <w:r>
              <w:rPr>
                <w:szCs w:val="24"/>
                <w:lang w:eastAsia="ru-RU"/>
              </w:rPr>
              <w:br/>
              <w:t xml:space="preserve">58   </w:t>
            </w:r>
            <w:r>
              <w:rPr>
                <w:szCs w:val="24"/>
                <w:lang w:eastAsia="ru-RU"/>
              </w:rPr>
              <w:br/>
              <w:t xml:space="preserve">58   </w:t>
            </w:r>
            <w:r>
              <w:rPr>
                <w:szCs w:val="24"/>
                <w:lang w:eastAsia="ru-RU"/>
              </w:rPr>
              <w:br/>
              <w:t xml:space="preserve">68   </w:t>
            </w:r>
            <w:r>
              <w:rPr>
                <w:szCs w:val="24"/>
                <w:lang w:eastAsia="ru-RU"/>
              </w:rPr>
              <w:br/>
              <w:t xml:space="preserve">77   </w:t>
            </w:r>
            <w:r>
              <w:rPr>
                <w:szCs w:val="24"/>
                <w:lang w:eastAsia="ru-RU"/>
              </w:rPr>
              <w:br/>
              <w:t xml:space="preserve">86   </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0" w:type="dxa"/>
            <w:vAlign w:val="center"/>
            <w:textDirection w:val="lrTb"/>
            <w:noWrap w:val="false"/>
          </w:tcPr>
          <w:p>
            <w:pPr>
              <w:jc w:val="center"/>
              <w:spacing w:line="360" w:lineRule="auto"/>
              <w:widowControl/>
              <w:rPr>
                <w:szCs w:val="24"/>
                <w:lang w:eastAsia="ru-RU"/>
              </w:rPr>
            </w:pPr>
            <w:r>
              <w:rPr>
                <w:szCs w:val="24"/>
                <w:lang w:eastAsia="ru-RU"/>
              </w:rPr>
              <w:t xml:space="preserve">9    </w:t>
            </w:r>
            <w:r>
              <w:rPr>
                <w:szCs w:val="24"/>
                <w:lang w:eastAsia="ru-RU"/>
              </w:rPr>
              <w:br/>
              <w:t xml:space="preserve">10   </w:t>
            </w:r>
            <w:r>
              <w:rPr>
                <w:szCs w:val="24"/>
                <w:lang w:eastAsia="ru-RU"/>
              </w:rPr>
              <w:br/>
              <w:t xml:space="preserve">11   </w:t>
            </w:r>
            <w:r>
              <w:rPr>
                <w:szCs w:val="24"/>
                <w:lang w:eastAsia="ru-RU"/>
              </w:rPr>
              <w:br/>
              <w:t xml:space="preserve">12   </w:t>
            </w:r>
            <w:r>
              <w:rPr>
                <w:szCs w:val="24"/>
                <w:lang w:eastAsia="ru-RU"/>
              </w:rPr>
              <w:br/>
              <w:t xml:space="preserve">14   </w:t>
            </w:r>
            <w:r>
              <w:rPr>
                <w:szCs w:val="24"/>
                <w:lang w:eastAsia="ru-RU"/>
              </w:rPr>
              <w:br/>
              <w:t xml:space="preserve">15   </w:t>
            </w:r>
            <w:r>
              <w:rPr>
                <w:szCs w:val="24"/>
                <w:lang w:eastAsia="ru-RU"/>
              </w:rPr>
              <w:br/>
              <w:t xml:space="preserve">16   </w:t>
            </w:r>
            <w:r>
              <w:rPr>
                <w:szCs w:val="24"/>
                <w:lang w:eastAsia="ru-RU"/>
              </w:rPr>
              <w:br/>
              <w:t xml:space="preserve">18   </w:t>
            </w:r>
            <w:r>
              <w:rPr>
                <w:szCs w:val="24"/>
                <w:lang w:eastAsia="ru-RU"/>
              </w:rPr>
              <w:br/>
              <w:t xml:space="preserve">19   </w:t>
            </w:r>
            <w:r>
              <w:rPr>
                <w:szCs w:val="24"/>
                <w:lang w:eastAsia="ru-RU"/>
              </w:rPr>
              <w:br/>
              <w:t xml:space="preserve">23   </w:t>
            </w:r>
            <w:r>
              <w:rPr>
                <w:szCs w:val="24"/>
                <w:lang w:eastAsia="ru-RU"/>
              </w:rPr>
              <w:br/>
              <w:t xml:space="preserve">26   </w:t>
            </w:r>
            <w:r>
              <w:rPr>
                <w:szCs w:val="24"/>
                <w:lang w:eastAsia="ru-RU"/>
              </w:rPr>
              <w:br/>
              <w:t xml:space="preserve">28   </w:t>
            </w:r>
            <w:r>
              <w:rPr>
                <w:szCs w:val="24"/>
                <w:lang w:eastAsia="ru-RU"/>
              </w:rPr>
              <w:br/>
              <w:t xml:space="preserve">32   </w:t>
            </w:r>
            <w:r>
              <w:rPr>
                <w:szCs w:val="24"/>
                <w:lang w:eastAsia="ru-RU"/>
              </w:rPr>
              <w:br/>
              <w:t xml:space="preserve">33   </w:t>
            </w:r>
            <w:r>
              <w:rPr>
                <w:szCs w:val="24"/>
                <w:lang w:eastAsia="ru-RU"/>
              </w:rPr>
              <w:br/>
              <w:t xml:space="preserve">37   </w:t>
            </w:r>
            <w:r>
              <w:rPr>
                <w:szCs w:val="24"/>
                <w:lang w:eastAsia="ru-RU"/>
              </w:rPr>
              <w:br/>
              <w:t xml:space="preserve">38   </w:t>
            </w:r>
            <w:r>
              <w:rPr>
                <w:szCs w:val="24"/>
                <w:lang w:eastAsia="ru-RU"/>
              </w:rPr>
              <w:br/>
              <w:t xml:space="preserve">43   </w:t>
            </w:r>
            <w:r>
              <w:rPr>
                <w:szCs w:val="24"/>
                <w:lang w:eastAsia="ru-RU"/>
              </w:rPr>
              <w:br/>
              <w:t xml:space="preserve">47   </w:t>
            </w:r>
            <w:r>
              <w:rPr>
                <w:szCs w:val="24"/>
                <w:lang w:eastAsia="ru-RU"/>
              </w:rPr>
              <w:br/>
              <w:t xml:space="preserve">52   </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0" w:type="dxa"/>
            <w:vAlign w:val="center"/>
            <w:textDirection w:val="lrTb"/>
            <w:noWrap w:val="false"/>
          </w:tcPr>
          <w:p>
            <w:pPr>
              <w:jc w:val="center"/>
              <w:spacing w:line="360" w:lineRule="auto"/>
              <w:widowControl/>
              <w:rPr>
                <w:szCs w:val="24"/>
                <w:lang w:eastAsia="ru-RU"/>
              </w:rPr>
            </w:pPr>
            <w:r>
              <w:rPr>
                <w:szCs w:val="24"/>
                <w:lang w:eastAsia="ru-RU"/>
              </w:rPr>
              <w:t xml:space="preserve">20   </w:t>
            </w:r>
            <w:r>
              <w:rPr>
                <w:szCs w:val="24"/>
                <w:lang w:eastAsia="ru-RU"/>
              </w:rPr>
              <w:br/>
              <w:t xml:space="preserve">21   </w:t>
            </w:r>
            <w:r>
              <w:rPr>
                <w:szCs w:val="24"/>
                <w:lang w:eastAsia="ru-RU"/>
              </w:rPr>
              <w:br/>
              <w:t xml:space="preserve">22   </w:t>
            </w:r>
            <w:r>
              <w:rPr>
                <w:szCs w:val="24"/>
                <w:lang w:eastAsia="ru-RU"/>
              </w:rPr>
              <w:br/>
              <w:t xml:space="preserve">24   </w:t>
            </w:r>
            <w:r>
              <w:rPr>
                <w:szCs w:val="24"/>
                <w:lang w:eastAsia="ru-RU"/>
              </w:rPr>
              <w:br/>
              <w:t xml:space="preserve">29   </w:t>
            </w:r>
            <w:r>
              <w:rPr>
                <w:szCs w:val="24"/>
                <w:lang w:eastAsia="ru-RU"/>
              </w:rPr>
              <w:br/>
              <w:t xml:space="preserve">31   </w:t>
            </w:r>
            <w:r>
              <w:rPr>
                <w:szCs w:val="24"/>
                <w:lang w:eastAsia="ru-RU"/>
              </w:rPr>
              <w:br/>
              <w:t xml:space="preserve">35   </w:t>
            </w:r>
            <w:r>
              <w:rPr>
                <w:szCs w:val="24"/>
                <w:lang w:eastAsia="ru-RU"/>
              </w:rPr>
              <w:br/>
              <w:t xml:space="preserve">36   </w:t>
            </w:r>
            <w:r>
              <w:rPr>
                <w:szCs w:val="24"/>
                <w:lang w:eastAsia="ru-RU"/>
              </w:rPr>
              <w:br/>
              <w:t xml:space="preserve">38   </w:t>
            </w:r>
            <w:r>
              <w:rPr>
                <w:szCs w:val="24"/>
                <w:lang w:eastAsia="ru-RU"/>
              </w:rPr>
              <w:br/>
              <w:t xml:space="preserve">46   </w:t>
            </w:r>
            <w:r>
              <w:rPr>
                <w:szCs w:val="24"/>
                <w:lang w:eastAsia="ru-RU"/>
              </w:rPr>
              <w:br/>
              <w:t xml:space="preserve">55   </w:t>
            </w:r>
            <w:r>
              <w:rPr>
                <w:szCs w:val="24"/>
                <w:lang w:eastAsia="ru-RU"/>
              </w:rPr>
              <w:br/>
              <w:t xml:space="preserve">60   </w:t>
            </w:r>
            <w:r>
              <w:rPr>
                <w:szCs w:val="24"/>
                <w:lang w:eastAsia="ru-RU"/>
              </w:rPr>
              <w:br/>
              <w:t xml:space="preserve">65   </w:t>
            </w:r>
            <w:r>
              <w:rPr>
                <w:szCs w:val="24"/>
                <w:lang w:eastAsia="ru-RU"/>
              </w:rPr>
              <w:br/>
              <w:t xml:space="preserve">71   </w:t>
            </w:r>
            <w:r>
              <w:rPr>
                <w:szCs w:val="24"/>
                <w:lang w:eastAsia="ru-RU"/>
              </w:rPr>
              <w:br/>
              <w:t xml:space="preserve">80   </w:t>
            </w:r>
            <w:r>
              <w:rPr>
                <w:szCs w:val="24"/>
                <w:lang w:eastAsia="ru-RU"/>
              </w:rPr>
              <w:br/>
              <w:t xml:space="preserve">84   </w:t>
            </w:r>
            <w:r>
              <w:rPr>
                <w:szCs w:val="24"/>
                <w:lang w:eastAsia="ru-RU"/>
              </w:rPr>
              <w:br/>
              <w:t xml:space="preserve">94   </w:t>
            </w:r>
            <w:r>
              <w:rPr>
                <w:szCs w:val="24"/>
                <w:lang w:eastAsia="ru-RU"/>
              </w:rPr>
              <w:br/>
              <w:t xml:space="preserve">108   </w:t>
            </w:r>
            <w:r>
              <w:rPr>
                <w:szCs w:val="24"/>
                <w:lang w:eastAsia="ru-RU"/>
              </w:rPr>
              <w:br/>
              <w:t xml:space="preserve">120   </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0" w:type="dxa"/>
            <w:vAlign w:val="center"/>
            <w:textDirection w:val="lrTb"/>
            <w:noWrap w:val="false"/>
          </w:tcPr>
          <w:p>
            <w:pPr>
              <w:jc w:val="center"/>
              <w:spacing w:line="360" w:lineRule="auto"/>
              <w:widowControl/>
              <w:rPr>
                <w:szCs w:val="24"/>
                <w:lang w:eastAsia="ru-RU"/>
              </w:rPr>
            </w:pPr>
            <w:r>
              <w:rPr>
                <w:szCs w:val="24"/>
                <w:lang w:eastAsia="ru-RU"/>
              </w:rPr>
              <w:t xml:space="preserve">9    </w:t>
            </w:r>
            <w:r>
              <w:rPr>
                <w:szCs w:val="24"/>
                <w:lang w:eastAsia="ru-RU"/>
              </w:rPr>
              <w:br/>
              <w:t xml:space="preserve">9    </w:t>
            </w:r>
            <w:r>
              <w:rPr>
                <w:szCs w:val="24"/>
                <w:lang w:eastAsia="ru-RU"/>
              </w:rPr>
              <w:br/>
              <w:t xml:space="preserve">10   </w:t>
            </w:r>
            <w:r>
              <w:rPr>
                <w:szCs w:val="24"/>
                <w:lang w:eastAsia="ru-RU"/>
              </w:rPr>
              <w:br/>
              <w:t xml:space="preserve">11   </w:t>
            </w:r>
            <w:r>
              <w:rPr>
                <w:szCs w:val="24"/>
                <w:lang w:eastAsia="ru-RU"/>
              </w:rPr>
              <w:br/>
              <w:t xml:space="preserve">13   </w:t>
            </w:r>
            <w:r>
              <w:rPr>
                <w:szCs w:val="24"/>
                <w:lang w:eastAsia="ru-RU"/>
              </w:rPr>
              <w:br/>
              <w:t xml:space="preserve">14   </w:t>
            </w:r>
            <w:r>
              <w:rPr>
                <w:szCs w:val="24"/>
                <w:lang w:eastAsia="ru-RU"/>
              </w:rPr>
              <w:br/>
              <w:t xml:space="preserve">15   </w:t>
            </w:r>
            <w:r>
              <w:rPr>
                <w:szCs w:val="24"/>
                <w:lang w:eastAsia="ru-RU"/>
              </w:rPr>
              <w:br/>
              <w:t xml:space="preserve">15   </w:t>
            </w:r>
            <w:r>
              <w:rPr>
                <w:szCs w:val="24"/>
                <w:lang w:eastAsia="ru-RU"/>
              </w:rPr>
              <w:br/>
              <w:t xml:space="preserve">16   </w:t>
            </w:r>
            <w:r>
              <w:rPr>
                <w:szCs w:val="24"/>
                <w:lang w:eastAsia="ru-RU"/>
              </w:rPr>
              <w:br/>
              <w:t xml:space="preserve">19   </w:t>
            </w:r>
            <w:r>
              <w:rPr>
                <w:szCs w:val="24"/>
                <w:lang w:eastAsia="ru-RU"/>
              </w:rPr>
              <w:br/>
              <w:t xml:space="preserve">22   </w:t>
            </w:r>
            <w:r>
              <w:rPr>
                <w:szCs w:val="24"/>
                <w:lang w:eastAsia="ru-RU"/>
              </w:rPr>
              <w:br/>
              <w:t xml:space="preserve">24   </w:t>
            </w:r>
            <w:r>
              <w:rPr>
                <w:szCs w:val="24"/>
                <w:lang w:eastAsia="ru-RU"/>
              </w:rPr>
              <w:br/>
              <w:t xml:space="preserve">26   </w:t>
            </w:r>
            <w:r>
              <w:rPr>
                <w:szCs w:val="24"/>
                <w:lang w:eastAsia="ru-RU"/>
              </w:rPr>
              <w:br/>
              <w:t xml:space="preserve">28   </w:t>
            </w:r>
            <w:r>
              <w:rPr>
                <w:szCs w:val="24"/>
                <w:lang w:eastAsia="ru-RU"/>
              </w:rPr>
              <w:br/>
              <w:t xml:space="preserve">31   </w:t>
            </w:r>
            <w:r>
              <w:rPr>
                <w:szCs w:val="24"/>
                <w:lang w:eastAsia="ru-RU"/>
              </w:rPr>
              <w:br/>
              <w:t xml:space="preserve">33   </w:t>
            </w:r>
            <w:r>
              <w:rPr>
                <w:szCs w:val="24"/>
                <w:lang w:eastAsia="ru-RU"/>
              </w:rPr>
              <w:br/>
              <w:t xml:space="preserve">35   </w:t>
            </w:r>
            <w:r>
              <w:rPr>
                <w:szCs w:val="24"/>
                <w:lang w:eastAsia="ru-RU"/>
              </w:rPr>
              <w:br/>
              <w:t xml:space="preserve">37   </w:t>
            </w:r>
            <w:r>
              <w:rPr>
                <w:szCs w:val="24"/>
                <w:lang w:eastAsia="ru-RU"/>
              </w:rPr>
              <w:br/>
              <w:t xml:space="preserve">39   </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0" w:type="dxa"/>
            <w:vAlign w:val="center"/>
            <w:textDirection w:val="lrTb"/>
            <w:noWrap w:val="false"/>
          </w:tcPr>
          <w:p>
            <w:pPr>
              <w:jc w:val="center"/>
              <w:spacing w:line="360" w:lineRule="auto"/>
              <w:widowControl/>
              <w:rPr>
                <w:szCs w:val="24"/>
                <w:lang w:eastAsia="ru-RU"/>
              </w:rPr>
            </w:pPr>
            <w:r>
              <w:rPr>
                <w:szCs w:val="24"/>
                <w:lang w:eastAsia="ru-RU"/>
              </w:rPr>
              <w:t xml:space="preserve">24   </w:t>
            </w:r>
            <w:r>
              <w:rPr>
                <w:szCs w:val="24"/>
                <w:lang w:eastAsia="ru-RU"/>
              </w:rPr>
              <w:br/>
              <w:t xml:space="preserve">26   </w:t>
            </w:r>
            <w:r>
              <w:rPr>
                <w:szCs w:val="24"/>
                <w:lang w:eastAsia="ru-RU"/>
              </w:rPr>
              <w:br/>
              <w:t xml:space="preserve">28   </w:t>
            </w:r>
            <w:r>
              <w:rPr>
                <w:szCs w:val="24"/>
                <w:lang w:eastAsia="ru-RU"/>
              </w:rPr>
              <w:br/>
              <w:t xml:space="preserve">30   </w:t>
            </w:r>
            <w:r>
              <w:rPr>
                <w:szCs w:val="24"/>
                <w:lang w:eastAsia="ru-RU"/>
              </w:rPr>
              <w:br/>
              <w:t xml:space="preserve">34   </w:t>
            </w:r>
            <w:r>
              <w:rPr>
                <w:szCs w:val="24"/>
                <w:lang w:eastAsia="ru-RU"/>
              </w:rPr>
              <w:br/>
              <w:t xml:space="preserve">38   </w:t>
            </w:r>
            <w:r>
              <w:rPr>
                <w:szCs w:val="24"/>
                <w:lang w:eastAsia="ru-RU"/>
              </w:rPr>
              <w:br/>
              <w:t xml:space="preserve">41   </w:t>
            </w:r>
            <w:r>
              <w:rPr>
                <w:szCs w:val="24"/>
                <w:lang w:eastAsia="ru-RU"/>
              </w:rPr>
              <w:br/>
              <w:t xml:space="preserve">43   </w:t>
            </w:r>
            <w:r>
              <w:rPr>
                <w:szCs w:val="24"/>
                <w:lang w:eastAsia="ru-RU"/>
              </w:rPr>
              <w:br/>
              <w:t xml:space="preserve">47   </w:t>
            </w:r>
            <w:r>
              <w:rPr>
                <w:szCs w:val="24"/>
                <w:lang w:eastAsia="ru-RU"/>
              </w:rPr>
              <w:br/>
              <w:t xml:space="preserve">58   </w:t>
            </w:r>
            <w:r>
              <w:rPr>
                <w:szCs w:val="24"/>
                <w:lang w:eastAsia="ru-RU"/>
              </w:rPr>
              <w:br/>
              <w:t xml:space="preserve">66   </w:t>
            </w:r>
            <w:r>
              <w:rPr>
                <w:szCs w:val="24"/>
                <w:lang w:eastAsia="ru-RU"/>
              </w:rPr>
              <w:br/>
              <w:t xml:space="preserve">72   </w:t>
            </w:r>
            <w:r>
              <w:rPr>
                <w:szCs w:val="24"/>
                <w:lang w:eastAsia="ru-RU"/>
              </w:rPr>
              <w:br/>
              <w:t xml:space="preserve">81   </w:t>
            </w:r>
            <w:r>
              <w:rPr>
                <w:szCs w:val="24"/>
                <w:lang w:eastAsia="ru-RU"/>
              </w:rPr>
              <w:br/>
              <w:t xml:space="preserve">87   </w:t>
            </w:r>
            <w:r>
              <w:rPr>
                <w:szCs w:val="24"/>
                <w:lang w:eastAsia="ru-RU"/>
              </w:rPr>
              <w:br/>
              <w:t xml:space="preserve">92   </w:t>
            </w:r>
            <w:r>
              <w:rPr>
                <w:szCs w:val="24"/>
                <w:lang w:eastAsia="ru-RU"/>
              </w:rPr>
              <w:br/>
              <w:t xml:space="preserve">101   </w:t>
            </w:r>
            <w:r>
              <w:rPr>
                <w:szCs w:val="24"/>
                <w:lang w:eastAsia="ru-RU"/>
              </w:rPr>
              <w:br/>
              <w:t xml:space="preserve">114   </w:t>
            </w:r>
            <w:r>
              <w:rPr>
                <w:szCs w:val="24"/>
                <w:lang w:eastAsia="ru-RU"/>
              </w:rPr>
              <w:br/>
              <w:t xml:space="preserve">130   </w:t>
            </w:r>
            <w:r>
              <w:rPr>
                <w:szCs w:val="24"/>
                <w:lang w:eastAsia="ru-RU"/>
              </w:rPr>
              <w:br/>
              <w:t xml:space="preserve">140   </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0" w:type="dxa"/>
            <w:vAlign w:val="center"/>
            <w:textDirection w:val="lrTb"/>
            <w:noWrap w:val="false"/>
          </w:tcPr>
          <w:p>
            <w:pPr>
              <w:jc w:val="center"/>
              <w:spacing w:line="360" w:lineRule="auto"/>
              <w:widowControl/>
              <w:rPr>
                <w:szCs w:val="24"/>
                <w:lang w:eastAsia="ru-RU"/>
              </w:rPr>
            </w:pPr>
            <w:r>
              <w:rPr>
                <w:szCs w:val="24"/>
                <w:lang w:eastAsia="ru-RU"/>
              </w:rPr>
              <w:t xml:space="preserve">8    </w:t>
            </w:r>
            <w:r>
              <w:rPr>
                <w:szCs w:val="24"/>
                <w:lang w:eastAsia="ru-RU"/>
              </w:rPr>
              <w:br/>
              <w:t xml:space="preserve">9    </w:t>
            </w:r>
            <w:r>
              <w:rPr>
                <w:szCs w:val="24"/>
                <w:lang w:eastAsia="ru-RU"/>
              </w:rPr>
              <w:br/>
              <w:t xml:space="preserve">9    </w:t>
            </w:r>
            <w:r>
              <w:rPr>
                <w:szCs w:val="24"/>
                <w:lang w:eastAsia="ru-RU"/>
              </w:rPr>
              <w:br/>
              <w:t xml:space="preserve">10   </w:t>
            </w:r>
            <w:r>
              <w:rPr>
                <w:szCs w:val="24"/>
                <w:lang w:eastAsia="ru-RU"/>
              </w:rPr>
              <w:br/>
              <w:t xml:space="preserve">11   </w:t>
            </w:r>
            <w:r>
              <w:rPr>
                <w:szCs w:val="24"/>
                <w:lang w:eastAsia="ru-RU"/>
              </w:rPr>
              <w:br/>
              <w:t xml:space="preserve">12   </w:t>
            </w:r>
            <w:r>
              <w:rPr>
                <w:szCs w:val="24"/>
                <w:lang w:eastAsia="ru-RU"/>
              </w:rPr>
              <w:br/>
              <w:t xml:space="preserve">13   </w:t>
            </w:r>
            <w:r>
              <w:rPr>
                <w:szCs w:val="24"/>
                <w:lang w:eastAsia="ru-RU"/>
              </w:rPr>
              <w:br/>
              <w:t xml:space="preserve">14   </w:t>
            </w:r>
            <w:r>
              <w:rPr>
                <w:szCs w:val="24"/>
                <w:lang w:eastAsia="ru-RU"/>
              </w:rPr>
              <w:br/>
              <w:t xml:space="preserve">15   </w:t>
            </w:r>
            <w:r>
              <w:rPr>
                <w:szCs w:val="24"/>
                <w:lang w:eastAsia="ru-RU"/>
              </w:rPr>
              <w:br/>
              <w:t xml:space="preserve">18   </w:t>
            </w:r>
            <w:r>
              <w:rPr>
                <w:szCs w:val="24"/>
                <w:lang w:eastAsia="ru-RU"/>
              </w:rPr>
              <w:br/>
              <w:t xml:space="preserve">20   </w:t>
            </w:r>
            <w:r>
              <w:rPr>
                <w:szCs w:val="24"/>
                <w:lang w:eastAsia="ru-RU"/>
              </w:rPr>
              <w:br/>
              <w:t xml:space="preserve">22   </w:t>
            </w:r>
            <w:r>
              <w:rPr>
                <w:szCs w:val="24"/>
                <w:lang w:eastAsia="ru-RU"/>
              </w:rPr>
              <w:br/>
              <w:t xml:space="preserve">22   </w:t>
            </w:r>
            <w:r>
              <w:rPr>
                <w:szCs w:val="24"/>
                <w:lang w:eastAsia="ru-RU"/>
              </w:rPr>
              <w:br/>
              <w:t xml:space="preserve">24   </w:t>
            </w:r>
            <w:r>
              <w:rPr>
                <w:szCs w:val="24"/>
                <w:lang w:eastAsia="ru-RU"/>
              </w:rPr>
              <w:br/>
              <w:t xml:space="preserve">25   </w:t>
            </w:r>
            <w:r>
              <w:rPr>
                <w:szCs w:val="24"/>
                <w:lang w:eastAsia="ru-RU"/>
              </w:rPr>
              <w:br/>
              <w:t xml:space="preserve">28   </w:t>
            </w:r>
            <w:r>
              <w:rPr>
                <w:szCs w:val="24"/>
                <w:lang w:eastAsia="ru-RU"/>
              </w:rPr>
              <w:br/>
              <w:t xml:space="preserve">29   </w:t>
            </w:r>
            <w:r>
              <w:rPr>
                <w:szCs w:val="24"/>
                <w:lang w:eastAsia="ru-RU"/>
              </w:rPr>
              <w:br/>
              <w:t xml:space="preserve">32   </w:t>
            </w:r>
            <w:r>
              <w:rPr>
                <w:szCs w:val="24"/>
                <w:lang w:eastAsia="ru-RU"/>
              </w:rPr>
              <w:br/>
              <w:t xml:space="preserve">34   </w:t>
            </w:r>
            <w:r>
              <w:rPr>
                <w:szCs w:val="24"/>
                <w:lang w:eastAsia="ru-RU"/>
              </w:rPr>
            </w:r>
            <w:r>
              <w:rPr>
                <w:szCs w:val="24"/>
                <w:lang w:eastAsia="ru-RU"/>
              </w:rPr>
            </w:r>
          </w:p>
        </w:tc>
      </w:tr>
    </w:tbl>
    <w:p>
      <w:pPr>
        <w:jc w:val="center"/>
        <w:spacing w:line="360" w:lineRule="auto"/>
        <w:widowControl/>
        <w:rPr>
          <w:szCs w:val="24"/>
          <w:lang w:eastAsia="ru-RU"/>
        </w:rPr>
      </w:pPr>
      <w:r>
        <w:rPr>
          <w:szCs w:val="24"/>
          <w:lang w:eastAsia="ru-RU"/>
        </w:rPr>
        <w:br w:type="page" w:clear="all"/>
      </w:r>
      <w:r>
        <w:rPr>
          <w:szCs w:val="24"/>
          <w:lang w:eastAsia="ru-RU"/>
        </w:rPr>
      </w:r>
      <w:r>
        <w:rPr>
          <w:szCs w:val="24"/>
          <w:lang w:eastAsia="ru-RU"/>
        </w:rPr>
      </w:r>
    </w:p>
    <w:p>
      <w:pPr>
        <w:jc w:val="center"/>
        <w:spacing w:line="360" w:lineRule="auto"/>
        <w:widowControl/>
        <w:rPr>
          <w:szCs w:val="24"/>
          <w:lang w:eastAsia="ru-RU"/>
        </w:rPr>
      </w:pPr>
      <w:r>
        <w:rPr>
          <w:szCs w:val="24"/>
          <w:lang w:eastAsia="ru-RU"/>
        </w:rPr>
        <w:t xml:space="preserve">НОРМЫ ТЕПЛОВЫХ ПОТЕРЬ (ПЛОТНОСТИ ТЕПЛОВОГО ПОТОКА) ТЕПЛОПРОВОДАМИ, СПРОЕКТИРОВАННЫМИ В ПЕРИОД</w:t>
      </w:r>
      <w:r>
        <w:rPr>
          <w:szCs w:val="24"/>
          <w:lang w:eastAsia="ru-RU"/>
        </w:rPr>
      </w:r>
      <w:r>
        <w:rPr>
          <w:szCs w:val="24"/>
          <w:lang w:eastAsia="ru-RU"/>
        </w:rPr>
      </w:r>
    </w:p>
    <w:p>
      <w:pPr>
        <w:jc w:val="center"/>
        <w:spacing w:line="360" w:lineRule="auto"/>
        <w:widowControl/>
        <w:rPr>
          <w:szCs w:val="24"/>
          <w:lang w:eastAsia="ru-RU"/>
        </w:rPr>
      </w:pPr>
      <w:r>
        <w:rPr>
          <w:szCs w:val="24"/>
          <w:lang w:eastAsia="ru-RU"/>
        </w:rPr>
        <w:t xml:space="preserve">С 1998 Г. ПО 2003 Г. ВКЛЮЧИТЕЛЬНО.</w:t>
      </w:r>
      <w:r>
        <w:rPr>
          <w:szCs w:val="24"/>
          <w:lang w:eastAsia="ru-RU"/>
        </w:rPr>
      </w:r>
      <w:r>
        <w:rPr>
          <w:szCs w:val="24"/>
          <w:lang w:eastAsia="ru-RU"/>
        </w:rPr>
      </w:r>
    </w:p>
    <w:p>
      <w:pPr>
        <w:jc w:val="center"/>
        <w:spacing w:line="360" w:lineRule="auto"/>
        <w:widowControl/>
        <w:rPr>
          <w:sz w:val="24"/>
          <w:szCs w:val="24"/>
          <w:lang w:eastAsia="ru-RU"/>
        </w:rPr>
      </w:pPr>
      <w:r>
        <w:rPr>
          <w:sz w:val="24"/>
          <w:szCs w:val="24"/>
          <w:lang w:eastAsia="ru-RU"/>
        </w:rPr>
      </w:r>
      <w:r>
        <w:rPr>
          <w:sz w:val="24"/>
          <w:szCs w:val="24"/>
          <w:lang w:eastAsia="ru-RU"/>
        </w:rPr>
      </w:r>
      <w:r>
        <w:rPr>
          <w:sz w:val="24"/>
          <w:szCs w:val="24"/>
          <w:lang w:eastAsia="ru-RU"/>
        </w:rPr>
      </w:r>
    </w:p>
    <w:p>
      <w:pPr>
        <w:pStyle w:val="1274"/>
        <w:jc w:val="right"/>
        <w:keepNext/>
        <w:rPr>
          <w:b w:val="0"/>
          <w:sz w:val="24"/>
          <w:szCs w:val="24"/>
        </w:rPr>
      </w:pPr>
      <w:r/>
      <w:bookmarkStart w:id="116" w:name="_Toc40787811"/>
      <w:r/>
      <w:bookmarkStart w:id="117" w:name="_Toc71031200"/>
      <w:r>
        <w:rPr>
          <w:b w:val="0"/>
          <w:sz w:val="24"/>
          <w:szCs w:val="24"/>
        </w:rPr>
        <w:t xml:space="preserve">Таблица </w:t>
      </w:r>
      <w:r>
        <w:rPr>
          <w:b w:val="0"/>
          <w:sz w:val="24"/>
          <w:szCs w:val="24"/>
        </w:rPr>
        <w:t xml:space="preserve">1.3.13.4</w:t>
      </w:r>
      <w:r>
        <w:rPr>
          <w:b w:val="0"/>
          <w:sz w:val="24"/>
          <w:szCs w:val="24"/>
        </w:rPr>
      </w:r>
      <w:r>
        <w:rPr>
          <w:b w:val="0"/>
          <w:sz w:val="24"/>
          <w:szCs w:val="24"/>
        </w:rPr>
      </w:r>
    </w:p>
    <w:p>
      <w:pPr>
        <w:pStyle w:val="1274"/>
        <w:keepNext/>
        <w:rPr>
          <w:b w:val="0"/>
          <w:sz w:val="24"/>
          <w:szCs w:val="24"/>
        </w:rPr>
      </w:pPr>
      <w:r>
        <w:rPr>
          <w:b w:val="0"/>
          <w:sz w:val="24"/>
          <w:szCs w:val="24"/>
        </w:rPr>
        <w:t xml:space="preserve">Нормы тепловых потерь трубопроводов, проложенных в непроходных каналах и бесканально</w:t>
      </w:r>
      <w:bookmarkEnd w:id="116"/>
      <w:r/>
      <w:bookmarkEnd w:id="117"/>
      <w:r>
        <w:rPr>
          <w:b w:val="0"/>
          <w:sz w:val="24"/>
          <w:szCs w:val="24"/>
        </w:rPr>
      </w:r>
      <w:r>
        <w:rPr>
          <w:b w:val="0"/>
          <w:sz w:val="24"/>
          <w:szCs w:val="24"/>
        </w:rPr>
      </w:r>
    </w:p>
    <w:tbl>
      <w:tblPr>
        <w:tblW w:w="5000" w:type="pct"/>
        <w:jc w:val="center"/>
        <w:tblLayout w:type="fixed"/>
        <w:tblCellMar>
          <w:left w:w="70" w:type="dxa"/>
          <w:right w:w="70" w:type="dxa"/>
        </w:tblCellMar>
        <w:tblLook w:val="0000" w:firstRow="0" w:lastRow="0" w:firstColumn="0" w:lastColumn="0" w:noHBand="0" w:noVBand="0"/>
      </w:tblPr>
      <w:tblGrid>
        <w:gridCol w:w="761"/>
        <w:gridCol w:w="762"/>
        <w:gridCol w:w="761"/>
        <w:gridCol w:w="761"/>
        <w:gridCol w:w="761"/>
        <w:gridCol w:w="761"/>
        <w:gridCol w:w="761"/>
        <w:gridCol w:w="761"/>
        <w:gridCol w:w="761"/>
        <w:gridCol w:w="761"/>
        <w:gridCol w:w="761"/>
        <w:gridCol w:w="761"/>
        <w:gridCol w:w="761"/>
      </w:tblGrid>
      <w:tr>
        <w:tblPrEx/>
        <w:trPr>
          <w:cantSplit/>
          <w:jc w:val="center"/>
          <w:trHeight w:val="240"/>
        </w:trPr>
        <w:tc>
          <w:tcPr>
            <w:tcBorders>
              <w:top w:val="single" w:color="auto" w:sz="6" w:space="0"/>
              <w:left w:val="single" w:color="auto" w:sz="6" w:space="0"/>
              <w:bottom w:val="none" w:color="000000" w:sz="4" w:space="0"/>
              <w:right w:val="single" w:color="auto" w:sz="6" w:space="0"/>
            </w:tcBorders>
            <w:tcW w:w="741" w:type="dxa"/>
            <w:vAlign w:val="center"/>
            <w:vMerge w:val="restart"/>
            <w:textDirection w:val="lrTb"/>
            <w:noWrap w:val="false"/>
          </w:tcPr>
          <w:p>
            <w:pPr>
              <w:jc w:val="center"/>
              <w:spacing w:line="360" w:lineRule="auto"/>
              <w:widowControl/>
              <w:rPr>
                <w:szCs w:val="24"/>
                <w:lang w:eastAsia="ru-RU"/>
              </w:rPr>
            </w:pPr>
            <w:r>
              <w:rPr>
                <w:szCs w:val="24"/>
                <w:lang w:eastAsia="ru-RU"/>
              </w:rPr>
              <w:t xml:space="preserve">Условный</w:t>
            </w:r>
            <w:r>
              <w:rPr>
                <w:szCs w:val="24"/>
                <w:lang w:eastAsia="ru-RU"/>
              </w:rPr>
              <w:br/>
              <w:t xml:space="preserve">диаметр,</w:t>
            </w:r>
            <w:r>
              <w:rPr>
                <w:szCs w:val="24"/>
                <w:lang w:eastAsia="ru-RU"/>
              </w:rPr>
              <w:br/>
              <w:t xml:space="preserve">мм</w:t>
            </w:r>
            <w:r>
              <w:rPr>
                <w:szCs w:val="24"/>
                <w:lang w:eastAsia="ru-RU"/>
              </w:rPr>
            </w:r>
            <w:r>
              <w:rPr>
                <w:szCs w:val="24"/>
                <w:lang w:eastAsia="ru-RU"/>
              </w:rPr>
            </w:r>
          </w:p>
        </w:tc>
        <w:tc>
          <w:tcPr>
            <w:gridSpan w:val="12"/>
            <w:tcBorders>
              <w:top w:val="single" w:color="auto" w:sz="6" w:space="0"/>
              <w:left w:val="single" w:color="auto" w:sz="6" w:space="0"/>
              <w:bottom w:val="single" w:color="auto" w:sz="6" w:space="0"/>
              <w:right w:val="single" w:color="auto" w:sz="6" w:space="0"/>
            </w:tcBorders>
            <w:tcW w:w="8881" w:type="dxa"/>
            <w:vAlign w:val="center"/>
            <w:textDirection w:val="lrTb"/>
            <w:noWrap w:val="false"/>
          </w:tcPr>
          <w:p>
            <w:pPr>
              <w:jc w:val="center"/>
              <w:spacing w:line="360" w:lineRule="auto"/>
              <w:widowControl/>
              <w:rPr>
                <w:szCs w:val="24"/>
                <w:lang w:eastAsia="ru-RU"/>
              </w:rPr>
            </w:pPr>
            <w:r>
              <w:rPr>
                <w:szCs w:val="24"/>
                <w:lang w:eastAsia="ru-RU"/>
              </w:rPr>
              <w:t xml:space="preserve">Нормы плотности теплового потока, ккал/ч</w:t>
            </w:r>
            <w:r>
              <w:rPr>
                <w:szCs w:val="24"/>
                <w:lang w:eastAsia="ru-RU"/>
              </w:rPr>
            </w:r>
            <w:r>
              <w:rPr>
                <w:szCs w:val="24"/>
                <w:lang w:eastAsia="ru-RU"/>
              </w:rPr>
            </w:r>
          </w:p>
        </w:tc>
      </w:tr>
      <w:tr>
        <w:tblPrEx/>
        <w:trPr>
          <w:cantSplit/>
          <w:jc w:val="center"/>
          <w:trHeight w:val="360"/>
        </w:trPr>
        <w:tc>
          <w:tcPr>
            <w:tcBorders>
              <w:top w:val="none" w:color="000000" w:sz="4" w:space="0"/>
              <w:left w:val="single" w:color="auto" w:sz="6" w:space="0"/>
              <w:bottom w:val="none" w:color="000000" w:sz="4" w:space="0"/>
              <w:right w:val="single" w:color="auto" w:sz="6" w:space="0"/>
            </w:tcBorders>
            <w:tcW w:w="741" w:type="dxa"/>
            <w:vAlign w:val="center"/>
            <w:vMerge w:val="continue"/>
            <w:textDirection w:val="lrTb"/>
            <w:noWrap w:val="false"/>
          </w:tcPr>
          <w:p>
            <w:pPr>
              <w:jc w:val="center"/>
              <w:spacing w:line="360" w:lineRule="auto"/>
              <w:widowControl/>
              <w:rPr>
                <w:szCs w:val="24"/>
                <w:lang w:eastAsia="ru-RU"/>
              </w:rPr>
            </w:pPr>
            <w:r>
              <w:rPr>
                <w:szCs w:val="24"/>
                <w:lang w:eastAsia="ru-RU"/>
              </w:rPr>
            </w:r>
            <w:r>
              <w:rPr>
                <w:szCs w:val="24"/>
                <w:lang w:eastAsia="ru-RU"/>
              </w:rPr>
            </w:r>
            <w:r>
              <w:rPr>
                <w:szCs w:val="24"/>
                <w:lang w:eastAsia="ru-RU"/>
              </w:rPr>
            </w:r>
          </w:p>
        </w:tc>
        <w:tc>
          <w:tcPr>
            <w:gridSpan w:val="6"/>
            <w:tcBorders>
              <w:top w:val="single" w:color="auto" w:sz="6" w:space="0"/>
              <w:left w:val="single" w:color="auto" w:sz="6" w:space="0"/>
              <w:bottom w:val="single" w:color="auto" w:sz="6" w:space="0"/>
              <w:right w:val="single" w:color="auto" w:sz="6" w:space="0"/>
            </w:tcBorders>
            <w:tcW w:w="4441" w:type="dxa"/>
            <w:vAlign w:val="center"/>
            <w:textDirection w:val="lrTb"/>
            <w:noWrap w:val="false"/>
          </w:tcPr>
          <w:p>
            <w:pPr>
              <w:jc w:val="center"/>
              <w:spacing w:line="360" w:lineRule="auto"/>
              <w:widowControl/>
              <w:rPr>
                <w:szCs w:val="24"/>
                <w:lang w:eastAsia="ru-RU"/>
              </w:rPr>
            </w:pPr>
            <w:r>
              <w:rPr>
                <w:szCs w:val="24"/>
                <w:lang w:eastAsia="ru-RU"/>
              </w:rPr>
              <w:t xml:space="preserve">Продолжительность эксплуатации            </w:t>
            </w:r>
            <w:r>
              <w:rPr>
                <w:szCs w:val="24"/>
                <w:lang w:eastAsia="ru-RU"/>
              </w:rPr>
              <w:br/>
              <w:t xml:space="preserve">до 5000 ч/год включительно</w:t>
            </w:r>
            <w:r>
              <w:rPr>
                <w:szCs w:val="24"/>
                <w:lang w:eastAsia="ru-RU"/>
              </w:rPr>
            </w:r>
            <w:r>
              <w:rPr>
                <w:szCs w:val="24"/>
                <w:lang w:eastAsia="ru-RU"/>
              </w:rPr>
            </w:r>
          </w:p>
        </w:tc>
        <w:tc>
          <w:tcPr>
            <w:gridSpan w:val="6"/>
            <w:tcBorders>
              <w:top w:val="single" w:color="auto" w:sz="6" w:space="0"/>
              <w:left w:val="single" w:color="auto" w:sz="6" w:space="0"/>
              <w:bottom w:val="single" w:color="auto" w:sz="6" w:space="0"/>
              <w:right w:val="single" w:color="auto" w:sz="6" w:space="0"/>
            </w:tcBorders>
            <w:tcW w:w="4440" w:type="dxa"/>
            <w:vAlign w:val="center"/>
            <w:textDirection w:val="lrTb"/>
            <w:noWrap w:val="false"/>
          </w:tcPr>
          <w:p>
            <w:pPr>
              <w:jc w:val="center"/>
              <w:spacing w:line="360" w:lineRule="auto"/>
              <w:widowControl/>
              <w:rPr>
                <w:szCs w:val="24"/>
                <w:lang w:eastAsia="ru-RU"/>
              </w:rPr>
            </w:pPr>
            <w:r>
              <w:rPr>
                <w:szCs w:val="24"/>
                <w:lang w:eastAsia="ru-RU"/>
              </w:rPr>
              <w:t xml:space="preserve">Продолжительность эксплуатации           </w:t>
            </w:r>
            <w:r>
              <w:rPr>
                <w:szCs w:val="24"/>
                <w:lang w:eastAsia="ru-RU"/>
              </w:rPr>
              <w:br/>
              <w:t xml:space="preserve">более 5000 ч/год</w:t>
            </w:r>
            <w:r>
              <w:rPr>
                <w:szCs w:val="24"/>
                <w:lang w:eastAsia="ru-RU"/>
              </w:rPr>
            </w:r>
            <w:r>
              <w:rPr>
                <w:szCs w:val="24"/>
                <w:lang w:eastAsia="ru-RU"/>
              </w:rPr>
            </w:r>
          </w:p>
        </w:tc>
      </w:tr>
      <w:tr>
        <w:tblPrEx/>
        <w:trPr>
          <w:cantSplit/>
          <w:jc w:val="center"/>
          <w:trHeight w:val="240"/>
        </w:trPr>
        <w:tc>
          <w:tcPr>
            <w:tcBorders>
              <w:top w:val="none" w:color="000000" w:sz="4" w:space="0"/>
              <w:left w:val="single" w:color="auto" w:sz="6" w:space="0"/>
              <w:bottom w:val="none" w:color="000000" w:sz="4" w:space="0"/>
              <w:right w:val="single" w:color="auto" w:sz="6" w:space="0"/>
            </w:tcBorders>
            <w:tcW w:w="741" w:type="dxa"/>
            <w:vAlign w:val="center"/>
            <w:vMerge w:val="continue"/>
            <w:textDirection w:val="lrTb"/>
            <w:noWrap w:val="false"/>
          </w:tcPr>
          <w:p>
            <w:pPr>
              <w:jc w:val="center"/>
              <w:spacing w:line="360" w:lineRule="auto"/>
              <w:widowControl/>
              <w:rPr>
                <w:szCs w:val="24"/>
                <w:lang w:eastAsia="ru-RU"/>
              </w:rPr>
            </w:pPr>
            <w:r>
              <w:rPr>
                <w:szCs w:val="24"/>
                <w:lang w:eastAsia="ru-RU"/>
              </w:rPr>
            </w:r>
            <w:r>
              <w:rPr>
                <w:szCs w:val="24"/>
                <w:lang w:eastAsia="ru-RU"/>
              </w:rPr>
            </w:r>
            <w:r>
              <w:rPr>
                <w:szCs w:val="24"/>
                <w:lang w:eastAsia="ru-RU"/>
              </w:rPr>
            </w:r>
          </w:p>
        </w:tc>
        <w:tc>
          <w:tcPr>
            <w:gridSpan w:val="12"/>
            <w:tcBorders>
              <w:top w:val="single" w:color="auto" w:sz="6" w:space="0"/>
              <w:left w:val="single" w:color="auto" w:sz="6" w:space="0"/>
              <w:bottom w:val="single" w:color="auto" w:sz="6" w:space="0"/>
              <w:right w:val="single" w:color="auto" w:sz="6" w:space="0"/>
            </w:tcBorders>
            <w:tcW w:w="8881" w:type="dxa"/>
            <w:vAlign w:val="center"/>
            <w:textDirection w:val="lrTb"/>
            <w:noWrap w:val="false"/>
          </w:tcPr>
          <w:p>
            <w:pPr>
              <w:jc w:val="center"/>
              <w:spacing w:line="360" w:lineRule="auto"/>
              <w:widowControl/>
              <w:rPr>
                <w:szCs w:val="24"/>
                <w:lang w:eastAsia="ru-RU"/>
              </w:rPr>
            </w:pPr>
            <w:r>
              <w:rPr>
                <w:szCs w:val="24"/>
                <w:lang w:eastAsia="ru-RU"/>
              </w:rPr>
              <w:t xml:space="preserve">Трубопровод</w:t>
            </w:r>
            <w:r>
              <w:rPr>
                <w:szCs w:val="24"/>
                <w:lang w:eastAsia="ru-RU"/>
              </w:rPr>
            </w:r>
            <w:r>
              <w:rPr>
                <w:szCs w:val="24"/>
                <w:lang w:eastAsia="ru-RU"/>
              </w:rPr>
            </w:r>
          </w:p>
        </w:tc>
      </w:tr>
      <w:tr>
        <w:tblPrEx/>
        <w:trPr>
          <w:cantSplit/>
          <w:jc w:val="center"/>
          <w:trHeight w:val="240"/>
        </w:trPr>
        <w:tc>
          <w:tcPr>
            <w:tcBorders>
              <w:top w:val="none" w:color="000000" w:sz="4" w:space="0"/>
              <w:left w:val="single" w:color="auto" w:sz="6" w:space="0"/>
              <w:bottom w:val="none" w:color="000000" w:sz="4" w:space="0"/>
              <w:right w:val="single" w:color="auto" w:sz="6" w:space="0"/>
            </w:tcBorders>
            <w:tcW w:w="741" w:type="dxa"/>
            <w:vAlign w:val="center"/>
            <w:vMerge w:val="continue"/>
            <w:textDirection w:val="lrTb"/>
            <w:noWrap w:val="false"/>
          </w:tcPr>
          <w:p>
            <w:pPr>
              <w:jc w:val="center"/>
              <w:spacing w:line="360" w:lineRule="auto"/>
              <w:widowControl/>
              <w:rPr>
                <w:szCs w:val="24"/>
                <w:lang w:eastAsia="ru-RU"/>
              </w:rPr>
            </w:pPr>
            <w:r>
              <w:rPr>
                <w:szCs w:val="24"/>
                <w:lang w:eastAsia="ru-RU"/>
              </w:rPr>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1" w:type="dxa"/>
            <w:vAlign w:val="center"/>
            <w:textDirection w:val="lrTb"/>
            <w:noWrap w:val="false"/>
          </w:tcPr>
          <w:p>
            <w:pPr>
              <w:jc w:val="center"/>
              <w:spacing w:line="360" w:lineRule="auto"/>
              <w:widowControl/>
              <w:rPr>
                <w:szCs w:val="24"/>
                <w:lang w:eastAsia="ru-RU"/>
              </w:rPr>
            </w:pPr>
            <w:r>
              <w:rPr>
                <w:szCs w:val="24"/>
                <w:lang w:eastAsia="ru-RU"/>
              </w:rPr>
              <w:t xml:space="preserve">подающий</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0" w:type="dxa"/>
            <w:vAlign w:val="center"/>
            <w:textDirection w:val="lrTb"/>
            <w:noWrap w:val="false"/>
          </w:tcPr>
          <w:p>
            <w:pPr>
              <w:jc w:val="center"/>
              <w:spacing w:line="360" w:lineRule="auto"/>
              <w:widowControl/>
              <w:rPr>
                <w:szCs w:val="24"/>
                <w:lang w:eastAsia="ru-RU"/>
              </w:rPr>
            </w:pPr>
            <w:r>
              <w:rPr>
                <w:szCs w:val="24"/>
                <w:lang w:eastAsia="ru-RU"/>
              </w:rPr>
              <w:t xml:space="preserve">обратный</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0" w:type="dxa"/>
            <w:vAlign w:val="center"/>
            <w:textDirection w:val="lrTb"/>
            <w:noWrap w:val="false"/>
          </w:tcPr>
          <w:p>
            <w:pPr>
              <w:jc w:val="center"/>
              <w:spacing w:line="360" w:lineRule="auto"/>
              <w:widowControl/>
              <w:rPr>
                <w:szCs w:val="24"/>
                <w:lang w:eastAsia="ru-RU"/>
              </w:rPr>
            </w:pPr>
            <w:r>
              <w:rPr>
                <w:szCs w:val="24"/>
                <w:lang w:eastAsia="ru-RU"/>
              </w:rPr>
              <w:t xml:space="preserve">подающий</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0" w:type="dxa"/>
            <w:vAlign w:val="center"/>
            <w:textDirection w:val="lrTb"/>
            <w:noWrap w:val="false"/>
          </w:tcPr>
          <w:p>
            <w:pPr>
              <w:jc w:val="center"/>
              <w:spacing w:line="360" w:lineRule="auto"/>
              <w:widowControl/>
              <w:rPr>
                <w:szCs w:val="24"/>
                <w:lang w:eastAsia="ru-RU"/>
              </w:rPr>
            </w:pPr>
            <w:r>
              <w:rPr>
                <w:szCs w:val="24"/>
                <w:lang w:eastAsia="ru-RU"/>
              </w:rPr>
              <w:t xml:space="preserve">обратный</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0" w:type="dxa"/>
            <w:vAlign w:val="center"/>
            <w:textDirection w:val="lrTb"/>
            <w:noWrap w:val="false"/>
          </w:tcPr>
          <w:p>
            <w:pPr>
              <w:jc w:val="center"/>
              <w:spacing w:line="360" w:lineRule="auto"/>
              <w:widowControl/>
              <w:rPr>
                <w:szCs w:val="24"/>
                <w:lang w:eastAsia="ru-RU"/>
              </w:rPr>
            </w:pPr>
            <w:r>
              <w:rPr>
                <w:szCs w:val="24"/>
                <w:lang w:eastAsia="ru-RU"/>
              </w:rPr>
              <w:t xml:space="preserve">подающий</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0" w:type="dxa"/>
            <w:vAlign w:val="center"/>
            <w:textDirection w:val="lrTb"/>
            <w:noWrap w:val="false"/>
          </w:tcPr>
          <w:p>
            <w:pPr>
              <w:jc w:val="center"/>
              <w:spacing w:line="360" w:lineRule="auto"/>
              <w:widowControl/>
              <w:rPr>
                <w:szCs w:val="24"/>
                <w:lang w:eastAsia="ru-RU"/>
              </w:rPr>
            </w:pPr>
            <w:r>
              <w:rPr>
                <w:szCs w:val="24"/>
                <w:lang w:eastAsia="ru-RU"/>
              </w:rPr>
              <w:t xml:space="preserve">обратный</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0" w:type="dxa"/>
            <w:vAlign w:val="center"/>
            <w:textDirection w:val="lrTb"/>
            <w:noWrap w:val="false"/>
          </w:tcPr>
          <w:p>
            <w:pPr>
              <w:jc w:val="center"/>
              <w:spacing w:line="360" w:lineRule="auto"/>
              <w:widowControl/>
              <w:rPr>
                <w:szCs w:val="24"/>
                <w:lang w:eastAsia="ru-RU"/>
              </w:rPr>
            </w:pPr>
            <w:r>
              <w:rPr>
                <w:szCs w:val="24"/>
                <w:lang w:eastAsia="ru-RU"/>
              </w:rPr>
              <w:t xml:space="preserve">подающий</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0" w:type="dxa"/>
            <w:vAlign w:val="center"/>
            <w:textDirection w:val="lrTb"/>
            <w:noWrap w:val="false"/>
          </w:tcPr>
          <w:p>
            <w:pPr>
              <w:jc w:val="center"/>
              <w:spacing w:line="360" w:lineRule="auto"/>
              <w:widowControl/>
              <w:rPr>
                <w:szCs w:val="24"/>
                <w:lang w:eastAsia="ru-RU"/>
              </w:rPr>
            </w:pPr>
            <w:r>
              <w:rPr>
                <w:szCs w:val="24"/>
                <w:lang w:eastAsia="ru-RU"/>
              </w:rPr>
              <w:t xml:space="preserve">обратный</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0" w:type="dxa"/>
            <w:vAlign w:val="center"/>
            <w:textDirection w:val="lrTb"/>
            <w:noWrap w:val="false"/>
          </w:tcPr>
          <w:p>
            <w:pPr>
              <w:jc w:val="center"/>
              <w:spacing w:line="360" w:lineRule="auto"/>
              <w:widowControl/>
              <w:rPr>
                <w:szCs w:val="24"/>
                <w:lang w:eastAsia="ru-RU"/>
              </w:rPr>
            </w:pPr>
            <w:r>
              <w:rPr>
                <w:szCs w:val="24"/>
                <w:lang w:eastAsia="ru-RU"/>
              </w:rPr>
              <w:t xml:space="preserve">подающий</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0" w:type="dxa"/>
            <w:vAlign w:val="center"/>
            <w:textDirection w:val="lrTb"/>
            <w:noWrap w:val="false"/>
          </w:tcPr>
          <w:p>
            <w:pPr>
              <w:jc w:val="center"/>
              <w:spacing w:line="360" w:lineRule="auto"/>
              <w:widowControl/>
              <w:rPr>
                <w:szCs w:val="24"/>
                <w:lang w:eastAsia="ru-RU"/>
              </w:rPr>
            </w:pPr>
            <w:r>
              <w:rPr>
                <w:szCs w:val="24"/>
                <w:lang w:eastAsia="ru-RU"/>
              </w:rPr>
              <w:t xml:space="preserve">обратный</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0" w:type="dxa"/>
            <w:vAlign w:val="center"/>
            <w:textDirection w:val="lrTb"/>
            <w:noWrap w:val="false"/>
          </w:tcPr>
          <w:p>
            <w:pPr>
              <w:jc w:val="center"/>
              <w:spacing w:line="360" w:lineRule="auto"/>
              <w:widowControl/>
              <w:rPr>
                <w:szCs w:val="24"/>
                <w:lang w:eastAsia="ru-RU"/>
              </w:rPr>
            </w:pPr>
            <w:r>
              <w:rPr>
                <w:szCs w:val="24"/>
                <w:lang w:eastAsia="ru-RU"/>
              </w:rPr>
              <w:t xml:space="preserve">подающий</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0" w:type="dxa"/>
            <w:vAlign w:val="center"/>
            <w:textDirection w:val="lrTb"/>
            <w:noWrap w:val="false"/>
          </w:tcPr>
          <w:p>
            <w:pPr>
              <w:jc w:val="center"/>
              <w:spacing w:line="360" w:lineRule="auto"/>
              <w:widowControl/>
              <w:rPr>
                <w:szCs w:val="24"/>
                <w:lang w:eastAsia="ru-RU"/>
              </w:rPr>
            </w:pPr>
            <w:r>
              <w:rPr>
                <w:szCs w:val="24"/>
                <w:lang w:eastAsia="ru-RU"/>
              </w:rPr>
              <w:t xml:space="preserve">обратный</w:t>
            </w:r>
            <w:r>
              <w:rPr>
                <w:szCs w:val="24"/>
                <w:lang w:eastAsia="ru-RU"/>
              </w:rPr>
            </w:r>
            <w:r>
              <w:rPr>
                <w:szCs w:val="24"/>
                <w:lang w:eastAsia="ru-RU"/>
              </w:rPr>
            </w:r>
          </w:p>
        </w:tc>
      </w:tr>
      <w:tr>
        <w:tblPrEx/>
        <w:trPr>
          <w:cantSplit/>
          <w:jc w:val="center"/>
          <w:trHeight w:val="240"/>
        </w:trPr>
        <w:tc>
          <w:tcPr>
            <w:tcBorders>
              <w:top w:val="none" w:color="000000" w:sz="4" w:space="0"/>
              <w:left w:val="single" w:color="auto" w:sz="6" w:space="0"/>
              <w:bottom w:val="none" w:color="000000" w:sz="4" w:space="0"/>
              <w:right w:val="single" w:color="auto" w:sz="6" w:space="0"/>
            </w:tcBorders>
            <w:tcW w:w="741" w:type="dxa"/>
            <w:vAlign w:val="center"/>
            <w:vMerge w:val="continue"/>
            <w:textDirection w:val="lrTb"/>
            <w:noWrap w:val="false"/>
          </w:tcPr>
          <w:p>
            <w:pPr>
              <w:jc w:val="center"/>
              <w:spacing w:line="360" w:lineRule="auto"/>
              <w:widowControl/>
              <w:rPr>
                <w:szCs w:val="24"/>
                <w:lang w:eastAsia="ru-RU"/>
              </w:rPr>
            </w:pPr>
            <w:r>
              <w:rPr>
                <w:szCs w:val="24"/>
                <w:lang w:eastAsia="ru-RU"/>
              </w:rPr>
            </w:r>
            <w:r>
              <w:rPr>
                <w:szCs w:val="24"/>
                <w:lang w:eastAsia="ru-RU"/>
              </w:rPr>
            </w:r>
            <w:r>
              <w:rPr>
                <w:szCs w:val="24"/>
                <w:lang w:eastAsia="ru-RU"/>
              </w:rPr>
            </w:r>
          </w:p>
        </w:tc>
        <w:tc>
          <w:tcPr>
            <w:gridSpan w:val="12"/>
            <w:tcBorders>
              <w:top w:val="single" w:color="auto" w:sz="6" w:space="0"/>
              <w:left w:val="single" w:color="auto" w:sz="6" w:space="0"/>
              <w:bottom w:val="single" w:color="auto" w:sz="6" w:space="0"/>
              <w:right w:val="single" w:color="auto" w:sz="6" w:space="0"/>
            </w:tcBorders>
            <w:tcW w:w="8881" w:type="dxa"/>
            <w:vAlign w:val="center"/>
            <w:textDirection w:val="lrTb"/>
            <w:noWrap w:val="false"/>
          </w:tcPr>
          <w:p>
            <w:pPr>
              <w:jc w:val="center"/>
              <w:spacing w:line="360" w:lineRule="auto"/>
              <w:widowControl/>
              <w:rPr>
                <w:szCs w:val="24"/>
                <w:lang w:eastAsia="ru-RU"/>
              </w:rPr>
            </w:pPr>
            <w:r>
              <w:rPr>
                <w:szCs w:val="24"/>
                <w:lang w:eastAsia="ru-RU"/>
              </w:rPr>
              <w:t xml:space="preserve">Температура теплоносителя, °C</w:t>
            </w:r>
            <w:r>
              <w:rPr>
                <w:szCs w:val="24"/>
                <w:lang w:eastAsia="ru-RU"/>
              </w:rPr>
            </w:r>
            <w:r>
              <w:rPr>
                <w:szCs w:val="24"/>
                <w:lang w:eastAsia="ru-RU"/>
              </w:rPr>
            </w:r>
          </w:p>
        </w:tc>
      </w:tr>
      <w:tr>
        <w:tblPrEx/>
        <w:trPr>
          <w:cantSplit/>
          <w:jc w:val="center"/>
          <w:trHeight w:val="240"/>
        </w:trPr>
        <w:tc>
          <w:tcPr>
            <w:tcBorders>
              <w:top w:val="none" w:color="000000" w:sz="4" w:space="0"/>
              <w:left w:val="single" w:color="auto" w:sz="6" w:space="0"/>
              <w:bottom w:val="single" w:color="auto" w:sz="6" w:space="0"/>
              <w:right w:val="single" w:color="auto" w:sz="6" w:space="0"/>
            </w:tcBorders>
            <w:tcW w:w="741" w:type="dxa"/>
            <w:vAlign w:val="center"/>
            <w:vMerge w:val="continue"/>
            <w:textDirection w:val="lrTb"/>
            <w:noWrap w:val="false"/>
          </w:tcPr>
          <w:p>
            <w:pPr>
              <w:jc w:val="center"/>
              <w:spacing w:line="360" w:lineRule="auto"/>
              <w:widowControl/>
              <w:rPr>
                <w:szCs w:val="24"/>
                <w:lang w:eastAsia="ru-RU"/>
              </w:rPr>
            </w:pPr>
            <w:r>
              <w:rPr>
                <w:szCs w:val="24"/>
                <w:lang w:eastAsia="ru-RU"/>
              </w:rPr>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1" w:type="dxa"/>
            <w:vAlign w:val="center"/>
            <w:textDirection w:val="lrTb"/>
            <w:noWrap w:val="false"/>
          </w:tcPr>
          <w:p>
            <w:pPr>
              <w:jc w:val="center"/>
              <w:spacing w:line="360" w:lineRule="auto"/>
              <w:widowControl/>
              <w:rPr>
                <w:szCs w:val="24"/>
                <w:lang w:eastAsia="ru-RU"/>
              </w:rPr>
            </w:pPr>
            <w:r>
              <w:rPr>
                <w:szCs w:val="24"/>
                <w:lang w:eastAsia="ru-RU"/>
              </w:rPr>
              <w:t xml:space="preserve">65</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0" w:type="dxa"/>
            <w:vAlign w:val="center"/>
            <w:textDirection w:val="lrTb"/>
            <w:noWrap w:val="false"/>
          </w:tcPr>
          <w:p>
            <w:pPr>
              <w:jc w:val="center"/>
              <w:spacing w:line="360" w:lineRule="auto"/>
              <w:widowControl/>
              <w:rPr>
                <w:szCs w:val="24"/>
                <w:lang w:eastAsia="ru-RU"/>
              </w:rPr>
            </w:pPr>
            <w:r>
              <w:rPr>
                <w:szCs w:val="24"/>
                <w:lang w:eastAsia="ru-RU"/>
              </w:rPr>
              <w:t xml:space="preserve">50</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0" w:type="dxa"/>
            <w:vAlign w:val="center"/>
            <w:textDirection w:val="lrTb"/>
            <w:noWrap w:val="false"/>
          </w:tcPr>
          <w:p>
            <w:pPr>
              <w:jc w:val="center"/>
              <w:spacing w:line="360" w:lineRule="auto"/>
              <w:widowControl/>
              <w:rPr>
                <w:szCs w:val="24"/>
                <w:lang w:eastAsia="ru-RU"/>
              </w:rPr>
            </w:pPr>
            <w:r>
              <w:rPr>
                <w:szCs w:val="24"/>
                <w:lang w:eastAsia="ru-RU"/>
              </w:rPr>
              <w:t xml:space="preserve">90</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0" w:type="dxa"/>
            <w:vAlign w:val="center"/>
            <w:textDirection w:val="lrTb"/>
            <w:noWrap w:val="false"/>
          </w:tcPr>
          <w:p>
            <w:pPr>
              <w:jc w:val="center"/>
              <w:spacing w:line="360" w:lineRule="auto"/>
              <w:widowControl/>
              <w:rPr>
                <w:szCs w:val="24"/>
                <w:lang w:eastAsia="ru-RU"/>
              </w:rPr>
            </w:pPr>
            <w:r>
              <w:rPr>
                <w:szCs w:val="24"/>
                <w:lang w:eastAsia="ru-RU"/>
              </w:rPr>
              <w:t xml:space="preserve">50</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0" w:type="dxa"/>
            <w:vAlign w:val="center"/>
            <w:textDirection w:val="lrTb"/>
            <w:noWrap w:val="false"/>
          </w:tcPr>
          <w:p>
            <w:pPr>
              <w:jc w:val="center"/>
              <w:spacing w:line="360" w:lineRule="auto"/>
              <w:widowControl/>
              <w:rPr>
                <w:szCs w:val="24"/>
                <w:lang w:eastAsia="ru-RU"/>
              </w:rPr>
            </w:pPr>
            <w:r>
              <w:rPr>
                <w:szCs w:val="24"/>
                <w:lang w:eastAsia="ru-RU"/>
              </w:rPr>
              <w:t xml:space="preserve">110</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0" w:type="dxa"/>
            <w:vAlign w:val="center"/>
            <w:textDirection w:val="lrTb"/>
            <w:noWrap w:val="false"/>
          </w:tcPr>
          <w:p>
            <w:pPr>
              <w:jc w:val="center"/>
              <w:spacing w:line="360" w:lineRule="auto"/>
              <w:widowControl/>
              <w:rPr>
                <w:szCs w:val="24"/>
                <w:lang w:eastAsia="ru-RU"/>
              </w:rPr>
            </w:pPr>
            <w:r>
              <w:rPr>
                <w:szCs w:val="24"/>
                <w:lang w:eastAsia="ru-RU"/>
              </w:rPr>
              <w:t xml:space="preserve">50</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0" w:type="dxa"/>
            <w:vAlign w:val="center"/>
            <w:textDirection w:val="lrTb"/>
            <w:noWrap w:val="false"/>
          </w:tcPr>
          <w:p>
            <w:pPr>
              <w:jc w:val="center"/>
              <w:spacing w:line="360" w:lineRule="auto"/>
              <w:widowControl/>
              <w:rPr>
                <w:szCs w:val="24"/>
                <w:lang w:eastAsia="ru-RU"/>
              </w:rPr>
            </w:pPr>
            <w:r>
              <w:rPr>
                <w:szCs w:val="24"/>
                <w:lang w:eastAsia="ru-RU"/>
              </w:rPr>
              <w:t xml:space="preserve">65</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0" w:type="dxa"/>
            <w:vAlign w:val="center"/>
            <w:textDirection w:val="lrTb"/>
            <w:noWrap w:val="false"/>
          </w:tcPr>
          <w:p>
            <w:pPr>
              <w:jc w:val="center"/>
              <w:spacing w:line="360" w:lineRule="auto"/>
              <w:widowControl/>
              <w:rPr>
                <w:szCs w:val="24"/>
                <w:lang w:eastAsia="ru-RU"/>
              </w:rPr>
            </w:pPr>
            <w:r>
              <w:rPr>
                <w:szCs w:val="24"/>
                <w:lang w:eastAsia="ru-RU"/>
              </w:rPr>
              <w:t xml:space="preserve">50</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0" w:type="dxa"/>
            <w:vAlign w:val="center"/>
            <w:textDirection w:val="lrTb"/>
            <w:noWrap w:val="false"/>
          </w:tcPr>
          <w:p>
            <w:pPr>
              <w:jc w:val="center"/>
              <w:spacing w:line="360" w:lineRule="auto"/>
              <w:widowControl/>
              <w:rPr>
                <w:szCs w:val="24"/>
                <w:lang w:eastAsia="ru-RU"/>
              </w:rPr>
            </w:pPr>
            <w:r>
              <w:rPr>
                <w:szCs w:val="24"/>
                <w:lang w:eastAsia="ru-RU"/>
              </w:rPr>
              <w:t xml:space="preserve">90</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0" w:type="dxa"/>
            <w:vAlign w:val="center"/>
            <w:textDirection w:val="lrTb"/>
            <w:noWrap w:val="false"/>
          </w:tcPr>
          <w:p>
            <w:pPr>
              <w:jc w:val="center"/>
              <w:spacing w:line="360" w:lineRule="auto"/>
              <w:widowControl/>
              <w:rPr>
                <w:szCs w:val="24"/>
                <w:lang w:eastAsia="ru-RU"/>
              </w:rPr>
            </w:pPr>
            <w:r>
              <w:rPr>
                <w:szCs w:val="24"/>
                <w:lang w:eastAsia="ru-RU"/>
              </w:rPr>
              <w:t xml:space="preserve">50</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0" w:type="dxa"/>
            <w:vAlign w:val="center"/>
            <w:textDirection w:val="lrTb"/>
            <w:noWrap w:val="false"/>
          </w:tcPr>
          <w:p>
            <w:pPr>
              <w:jc w:val="center"/>
              <w:spacing w:line="360" w:lineRule="auto"/>
              <w:widowControl/>
              <w:rPr>
                <w:szCs w:val="24"/>
                <w:lang w:eastAsia="ru-RU"/>
              </w:rPr>
            </w:pPr>
            <w:r>
              <w:rPr>
                <w:szCs w:val="24"/>
                <w:lang w:eastAsia="ru-RU"/>
              </w:rPr>
              <w:t xml:space="preserve">110</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0" w:type="dxa"/>
            <w:vAlign w:val="center"/>
            <w:textDirection w:val="lrTb"/>
            <w:noWrap w:val="false"/>
          </w:tcPr>
          <w:p>
            <w:pPr>
              <w:jc w:val="center"/>
              <w:spacing w:line="360" w:lineRule="auto"/>
              <w:widowControl/>
              <w:rPr>
                <w:szCs w:val="24"/>
                <w:lang w:eastAsia="ru-RU"/>
              </w:rPr>
            </w:pPr>
            <w:r>
              <w:rPr>
                <w:szCs w:val="24"/>
                <w:lang w:eastAsia="ru-RU"/>
              </w:rPr>
              <w:t xml:space="preserve">50</w:t>
            </w:r>
            <w:r>
              <w:rPr>
                <w:szCs w:val="24"/>
                <w:lang w:eastAsia="ru-RU"/>
              </w:rPr>
            </w:r>
            <w:r>
              <w:rPr>
                <w:szCs w:val="24"/>
                <w:lang w:eastAsia="ru-RU"/>
              </w:rPr>
            </w:r>
          </w:p>
        </w:tc>
      </w:tr>
      <w:tr>
        <w:tblPrEx/>
        <w:trPr>
          <w:cantSplit/>
          <w:jc w:val="center"/>
          <w:trHeight w:val="2880"/>
        </w:trPr>
        <w:tc>
          <w:tcPr>
            <w:tcBorders>
              <w:top w:val="single" w:color="auto" w:sz="6" w:space="0"/>
              <w:left w:val="single" w:color="auto" w:sz="6" w:space="0"/>
              <w:bottom w:val="single" w:color="auto" w:sz="6" w:space="0"/>
              <w:right w:val="single" w:color="auto" w:sz="6" w:space="0"/>
            </w:tcBorders>
            <w:tcW w:w="741" w:type="dxa"/>
            <w:vAlign w:val="center"/>
            <w:textDirection w:val="lrTb"/>
            <w:noWrap w:val="false"/>
          </w:tcPr>
          <w:p>
            <w:pPr>
              <w:jc w:val="center"/>
              <w:spacing w:line="360" w:lineRule="auto"/>
              <w:widowControl/>
              <w:rPr>
                <w:szCs w:val="24"/>
                <w:lang w:eastAsia="ru-RU"/>
              </w:rPr>
            </w:pPr>
            <w:r>
              <w:rPr>
                <w:szCs w:val="24"/>
                <w:lang w:eastAsia="ru-RU"/>
              </w:rPr>
              <w:t xml:space="preserve">25   </w:t>
            </w:r>
            <w:r>
              <w:rPr>
                <w:szCs w:val="24"/>
                <w:lang w:eastAsia="ru-RU"/>
              </w:rPr>
              <w:br/>
              <w:t xml:space="preserve">30   </w:t>
            </w:r>
            <w:r>
              <w:rPr>
                <w:szCs w:val="24"/>
                <w:lang w:eastAsia="ru-RU"/>
              </w:rPr>
              <w:br/>
              <w:t xml:space="preserve">40   </w:t>
            </w:r>
            <w:r>
              <w:rPr>
                <w:szCs w:val="24"/>
                <w:lang w:eastAsia="ru-RU"/>
              </w:rPr>
              <w:br/>
              <w:t xml:space="preserve">50   </w:t>
            </w:r>
            <w:r>
              <w:rPr>
                <w:szCs w:val="24"/>
                <w:lang w:eastAsia="ru-RU"/>
              </w:rPr>
              <w:br/>
              <w:t xml:space="preserve">65   </w:t>
            </w:r>
            <w:r>
              <w:rPr>
                <w:szCs w:val="24"/>
                <w:lang w:eastAsia="ru-RU"/>
              </w:rPr>
              <w:br/>
              <w:t xml:space="preserve">80   </w:t>
            </w:r>
            <w:r>
              <w:rPr>
                <w:szCs w:val="24"/>
                <w:lang w:eastAsia="ru-RU"/>
              </w:rPr>
              <w:br/>
              <w:t xml:space="preserve">100   </w:t>
            </w:r>
            <w:r>
              <w:rPr>
                <w:szCs w:val="24"/>
                <w:lang w:eastAsia="ru-RU"/>
              </w:rPr>
              <w:br/>
              <w:t xml:space="preserve">125   </w:t>
            </w:r>
            <w:r>
              <w:rPr>
                <w:szCs w:val="24"/>
                <w:lang w:eastAsia="ru-RU"/>
              </w:rPr>
              <w:br/>
              <w:t xml:space="preserve">150   </w:t>
            </w:r>
            <w:r>
              <w:rPr>
                <w:szCs w:val="24"/>
                <w:lang w:eastAsia="ru-RU"/>
              </w:rPr>
              <w:br/>
              <w:t xml:space="preserve">200   </w:t>
            </w:r>
            <w:r>
              <w:rPr>
                <w:szCs w:val="24"/>
                <w:lang w:eastAsia="ru-RU"/>
              </w:rPr>
              <w:br/>
              <w:t xml:space="preserve">250   </w:t>
            </w:r>
            <w:r>
              <w:rPr>
                <w:szCs w:val="24"/>
                <w:lang w:eastAsia="ru-RU"/>
              </w:rPr>
              <w:br/>
              <w:t xml:space="preserve">300   </w:t>
            </w:r>
            <w:r>
              <w:rPr>
                <w:szCs w:val="24"/>
                <w:lang w:eastAsia="ru-RU"/>
              </w:rPr>
              <w:br/>
              <w:t xml:space="preserve">350   </w:t>
            </w:r>
            <w:r>
              <w:rPr>
                <w:szCs w:val="24"/>
                <w:lang w:eastAsia="ru-RU"/>
              </w:rPr>
              <w:br/>
              <w:t xml:space="preserve">400   </w:t>
            </w:r>
            <w:r>
              <w:rPr>
                <w:szCs w:val="24"/>
                <w:lang w:eastAsia="ru-RU"/>
              </w:rPr>
              <w:br/>
              <w:t xml:space="preserve">450   </w:t>
            </w:r>
            <w:r>
              <w:rPr>
                <w:szCs w:val="24"/>
                <w:lang w:eastAsia="ru-RU"/>
              </w:rPr>
              <w:br/>
              <w:t xml:space="preserve">500   </w:t>
            </w:r>
            <w:r>
              <w:rPr>
                <w:szCs w:val="24"/>
                <w:lang w:eastAsia="ru-RU"/>
              </w:rPr>
              <w:br/>
              <w:t xml:space="preserve">600   </w:t>
            </w:r>
            <w:r>
              <w:rPr>
                <w:szCs w:val="24"/>
                <w:lang w:eastAsia="ru-RU"/>
              </w:rPr>
              <w:br/>
              <w:t xml:space="preserve">700   </w:t>
            </w:r>
            <w:r>
              <w:rPr>
                <w:szCs w:val="24"/>
                <w:lang w:eastAsia="ru-RU"/>
              </w:rPr>
              <w:br/>
              <w:t xml:space="preserve">800</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1" w:type="dxa"/>
            <w:vAlign w:val="center"/>
            <w:textDirection w:val="lrTb"/>
            <w:noWrap w:val="false"/>
          </w:tcPr>
          <w:p>
            <w:pPr>
              <w:jc w:val="center"/>
              <w:spacing w:line="360" w:lineRule="auto"/>
              <w:widowControl/>
              <w:rPr>
                <w:szCs w:val="24"/>
                <w:lang w:eastAsia="ru-RU"/>
              </w:rPr>
            </w:pPr>
            <w:r>
              <w:rPr>
                <w:szCs w:val="24"/>
                <w:lang w:eastAsia="ru-RU"/>
              </w:rPr>
              <w:t xml:space="preserve">13   </w:t>
            </w:r>
            <w:r>
              <w:rPr>
                <w:szCs w:val="24"/>
                <w:lang w:eastAsia="ru-RU"/>
              </w:rPr>
              <w:br/>
              <w:t xml:space="preserve">14   </w:t>
            </w:r>
            <w:r>
              <w:rPr>
                <w:szCs w:val="24"/>
                <w:lang w:eastAsia="ru-RU"/>
              </w:rPr>
              <w:br/>
              <w:t xml:space="preserve">15   </w:t>
            </w:r>
            <w:r>
              <w:rPr>
                <w:szCs w:val="24"/>
                <w:lang w:eastAsia="ru-RU"/>
              </w:rPr>
              <w:br/>
              <w:t xml:space="preserve">16   </w:t>
            </w:r>
            <w:r>
              <w:rPr>
                <w:szCs w:val="24"/>
                <w:lang w:eastAsia="ru-RU"/>
              </w:rPr>
              <w:br/>
              <w:t xml:space="preserve">20   </w:t>
            </w:r>
            <w:r>
              <w:rPr>
                <w:szCs w:val="24"/>
                <w:lang w:eastAsia="ru-RU"/>
              </w:rPr>
              <w:br/>
              <w:t xml:space="preserve">22   </w:t>
            </w:r>
            <w:r>
              <w:rPr>
                <w:szCs w:val="24"/>
                <w:lang w:eastAsia="ru-RU"/>
              </w:rPr>
              <w:br/>
              <w:t xml:space="preserve">24   </w:t>
            </w:r>
            <w:r>
              <w:rPr>
                <w:szCs w:val="24"/>
                <w:lang w:eastAsia="ru-RU"/>
              </w:rPr>
              <w:br/>
              <w:t xml:space="preserve">25   </w:t>
            </w:r>
            <w:r>
              <w:rPr>
                <w:szCs w:val="24"/>
                <w:lang w:eastAsia="ru-RU"/>
              </w:rPr>
              <w:br/>
              <w:t xml:space="preserve">28   </w:t>
            </w:r>
            <w:r>
              <w:rPr>
                <w:szCs w:val="24"/>
                <w:lang w:eastAsia="ru-RU"/>
              </w:rPr>
              <w:br/>
              <w:t xml:space="preserve">35   </w:t>
            </w:r>
            <w:r>
              <w:rPr>
                <w:szCs w:val="24"/>
                <w:lang w:eastAsia="ru-RU"/>
              </w:rPr>
              <w:br/>
              <w:t xml:space="preserve">40   </w:t>
            </w:r>
            <w:r>
              <w:rPr>
                <w:szCs w:val="24"/>
                <w:lang w:eastAsia="ru-RU"/>
              </w:rPr>
              <w:br/>
              <w:t xml:space="preserve">46   </w:t>
            </w:r>
            <w:r>
              <w:rPr>
                <w:szCs w:val="24"/>
                <w:lang w:eastAsia="ru-RU"/>
              </w:rPr>
              <w:br/>
              <w:t xml:space="preserve">50   </w:t>
            </w:r>
            <w:r>
              <w:rPr>
                <w:szCs w:val="24"/>
                <w:lang w:eastAsia="ru-RU"/>
              </w:rPr>
              <w:br/>
              <w:t xml:space="preserve">56   </w:t>
            </w:r>
            <w:r>
              <w:rPr>
                <w:szCs w:val="24"/>
                <w:lang w:eastAsia="ru-RU"/>
              </w:rPr>
              <w:br/>
              <w:t xml:space="preserve">60   </w:t>
            </w:r>
            <w:r>
              <w:rPr>
                <w:szCs w:val="24"/>
                <w:lang w:eastAsia="ru-RU"/>
              </w:rPr>
              <w:br/>
              <w:t xml:space="preserve">65   </w:t>
            </w:r>
            <w:r>
              <w:rPr>
                <w:szCs w:val="24"/>
                <w:lang w:eastAsia="ru-RU"/>
              </w:rPr>
              <w:br/>
              <w:t xml:space="preserve">71   </w:t>
            </w:r>
            <w:r>
              <w:rPr>
                <w:szCs w:val="24"/>
                <w:lang w:eastAsia="ru-RU"/>
              </w:rPr>
              <w:br/>
              <w:t xml:space="preserve">78   </w:t>
            </w:r>
            <w:r>
              <w:rPr>
                <w:szCs w:val="24"/>
                <w:lang w:eastAsia="ru-RU"/>
              </w:rPr>
              <w:br/>
              <w:t xml:space="preserve">91</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0" w:type="dxa"/>
            <w:vAlign w:val="center"/>
            <w:textDirection w:val="lrTb"/>
            <w:noWrap w:val="false"/>
          </w:tcPr>
          <w:p>
            <w:pPr>
              <w:jc w:val="center"/>
              <w:spacing w:line="360" w:lineRule="auto"/>
              <w:widowControl/>
              <w:rPr>
                <w:szCs w:val="24"/>
                <w:lang w:eastAsia="ru-RU"/>
              </w:rPr>
            </w:pPr>
            <w:r>
              <w:rPr>
                <w:szCs w:val="24"/>
                <w:lang w:eastAsia="ru-RU"/>
              </w:rPr>
              <w:t xml:space="preserve">9    </w:t>
            </w:r>
            <w:r>
              <w:rPr>
                <w:szCs w:val="24"/>
                <w:lang w:eastAsia="ru-RU"/>
              </w:rPr>
              <w:br/>
              <w:t xml:space="preserve">9    </w:t>
            </w:r>
            <w:r>
              <w:rPr>
                <w:szCs w:val="24"/>
                <w:lang w:eastAsia="ru-RU"/>
              </w:rPr>
              <w:br/>
              <w:t xml:space="preserve">10   </w:t>
            </w:r>
            <w:r>
              <w:rPr>
                <w:szCs w:val="24"/>
                <w:lang w:eastAsia="ru-RU"/>
              </w:rPr>
              <w:br/>
              <w:t xml:space="preserve">11   </w:t>
            </w:r>
            <w:r>
              <w:rPr>
                <w:szCs w:val="24"/>
                <w:lang w:eastAsia="ru-RU"/>
              </w:rPr>
              <w:br/>
              <w:t xml:space="preserve">14   </w:t>
            </w:r>
            <w:r>
              <w:rPr>
                <w:szCs w:val="24"/>
                <w:lang w:eastAsia="ru-RU"/>
              </w:rPr>
              <w:br/>
              <w:t xml:space="preserve">15   </w:t>
            </w:r>
            <w:r>
              <w:rPr>
                <w:szCs w:val="24"/>
                <w:lang w:eastAsia="ru-RU"/>
              </w:rPr>
              <w:br/>
              <w:t xml:space="preserve">16   </w:t>
            </w:r>
            <w:r>
              <w:rPr>
                <w:szCs w:val="24"/>
                <w:lang w:eastAsia="ru-RU"/>
              </w:rPr>
              <w:br/>
              <w:t xml:space="preserve">17   </w:t>
            </w:r>
            <w:r>
              <w:rPr>
                <w:szCs w:val="24"/>
                <w:lang w:eastAsia="ru-RU"/>
              </w:rPr>
              <w:br/>
              <w:t xml:space="preserve">20   </w:t>
            </w:r>
            <w:r>
              <w:rPr>
                <w:szCs w:val="24"/>
                <w:lang w:eastAsia="ru-RU"/>
              </w:rPr>
              <w:br/>
              <w:t xml:space="preserve">22   </w:t>
            </w:r>
            <w:r>
              <w:rPr>
                <w:szCs w:val="24"/>
                <w:lang w:eastAsia="ru-RU"/>
              </w:rPr>
              <w:br/>
              <w:t xml:space="preserve">26   </w:t>
            </w:r>
            <w:r>
              <w:rPr>
                <w:szCs w:val="24"/>
                <w:lang w:eastAsia="ru-RU"/>
              </w:rPr>
              <w:br/>
              <w:t xml:space="preserve">29   </w:t>
            </w:r>
            <w:r>
              <w:rPr>
                <w:szCs w:val="24"/>
                <w:lang w:eastAsia="ru-RU"/>
              </w:rPr>
              <w:br/>
              <w:t xml:space="preserve">32   </w:t>
            </w:r>
            <w:r>
              <w:rPr>
                <w:szCs w:val="24"/>
                <w:lang w:eastAsia="ru-RU"/>
              </w:rPr>
              <w:br/>
              <w:t xml:space="preserve">34   </w:t>
            </w:r>
            <w:r>
              <w:rPr>
                <w:szCs w:val="24"/>
                <w:lang w:eastAsia="ru-RU"/>
              </w:rPr>
              <w:br/>
              <w:t xml:space="preserve">36   </w:t>
            </w:r>
            <w:r>
              <w:rPr>
                <w:szCs w:val="24"/>
                <w:lang w:eastAsia="ru-RU"/>
              </w:rPr>
              <w:br/>
              <w:t xml:space="preserve">40   </w:t>
            </w:r>
            <w:r>
              <w:rPr>
                <w:szCs w:val="24"/>
                <w:lang w:eastAsia="ru-RU"/>
              </w:rPr>
              <w:br/>
              <w:t xml:space="preserve">42   </w:t>
            </w:r>
            <w:r>
              <w:rPr>
                <w:szCs w:val="24"/>
                <w:lang w:eastAsia="ru-RU"/>
              </w:rPr>
              <w:br/>
              <w:t xml:space="preserve">46   </w:t>
            </w:r>
            <w:r>
              <w:rPr>
                <w:szCs w:val="24"/>
                <w:lang w:eastAsia="ru-RU"/>
              </w:rPr>
              <w:br/>
              <w:t xml:space="preserve">52</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0" w:type="dxa"/>
            <w:vAlign w:val="center"/>
            <w:textDirection w:val="lrTb"/>
            <w:noWrap w:val="false"/>
          </w:tcPr>
          <w:p>
            <w:pPr>
              <w:jc w:val="center"/>
              <w:spacing w:line="360" w:lineRule="auto"/>
              <w:widowControl/>
              <w:rPr>
                <w:szCs w:val="24"/>
                <w:lang w:eastAsia="ru-RU"/>
              </w:rPr>
            </w:pPr>
            <w:r>
              <w:rPr>
                <w:szCs w:val="24"/>
                <w:lang w:eastAsia="ru-RU"/>
              </w:rPr>
              <w:t xml:space="preserve">19   </w:t>
            </w:r>
            <w:r>
              <w:rPr>
                <w:szCs w:val="24"/>
                <w:lang w:eastAsia="ru-RU"/>
              </w:rPr>
              <w:br/>
              <w:t xml:space="preserve">20   </w:t>
            </w:r>
            <w:r>
              <w:rPr>
                <w:szCs w:val="24"/>
                <w:lang w:eastAsia="ru-RU"/>
              </w:rPr>
              <w:br/>
              <w:t xml:space="preserve">22   </w:t>
            </w:r>
            <w:r>
              <w:rPr>
                <w:szCs w:val="24"/>
                <w:lang w:eastAsia="ru-RU"/>
              </w:rPr>
              <w:br/>
              <w:t xml:space="preserve">24   </w:t>
            </w:r>
            <w:r>
              <w:rPr>
                <w:szCs w:val="24"/>
                <w:lang w:eastAsia="ru-RU"/>
              </w:rPr>
              <w:br/>
              <w:t xml:space="preserve">28   </w:t>
            </w:r>
            <w:r>
              <w:rPr>
                <w:szCs w:val="24"/>
                <w:lang w:eastAsia="ru-RU"/>
              </w:rPr>
              <w:br/>
              <w:t xml:space="preserve">30   </w:t>
            </w:r>
            <w:r>
              <w:rPr>
                <w:szCs w:val="24"/>
                <w:lang w:eastAsia="ru-RU"/>
              </w:rPr>
              <w:br/>
              <w:t xml:space="preserve">34   </w:t>
            </w:r>
            <w:r>
              <w:rPr>
                <w:szCs w:val="24"/>
                <w:lang w:eastAsia="ru-RU"/>
              </w:rPr>
              <w:br/>
              <w:t xml:space="preserve">36   </w:t>
            </w:r>
            <w:r>
              <w:rPr>
                <w:szCs w:val="24"/>
                <w:lang w:eastAsia="ru-RU"/>
              </w:rPr>
              <w:br/>
              <w:t xml:space="preserve">40   </w:t>
            </w:r>
            <w:r>
              <w:rPr>
                <w:szCs w:val="24"/>
                <w:lang w:eastAsia="ru-RU"/>
              </w:rPr>
              <w:br/>
              <w:t xml:space="preserve">47   </w:t>
            </w:r>
            <w:r>
              <w:rPr>
                <w:szCs w:val="24"/>
                <w:lang w:eastAsia="ru-RU"/>
              </w:rPr>
              <w:br/>
              <w:t xml:space="preserve">56   </w:t>
            </w:r>
            <w:r>
              <w:rPr>
                <w:szCs w:val="24"/>
                <w:lang w:eastAsia="ru-RU"/>
              </w:rPr>
              <w:br/>
              <w:t xml:space="preserve">64   </w:t>
            </w:r>
            <w:r>
              <w:rPr>
                <w:szCs w:val="24"/>
                <w:lang w:eastAsia="ru-RU"/>
              </w:rPr>
              <w:br/>
              <w:t xml:space="preserve">68   </w:t>
            </w:r>
            <w:r>
              <w:rPr>
                <w:szCs w:val="24"/>
                <w:lang w:eastAsia="ru-RU"/>
              </w:rPr>
              <w:br/>
              <w:t xml:space="preserve">75   </w:t>
            </w:r>
            <w:r>
              <w:rPr>
                <w:szCs w:val="24"/>
                <w:lang w:eastAsia="ru-RU"/>
              </w:rPr>
              <w:br/>
              <w:t xml:space="preserve">82   </w:t>
            </w:r>
            <w:r>
              <w:rPr>
                <w:szCs w:val="24"/>
                <w:lang w:eastAsia="ru-RU"/>
              </w:rPr>
              <w:br/>
              <w:t xml:space="preserve">92   </w:t>
            </w:r>
            <w:r>
              <w:rPr>
                <w:szCs w:val="24"/>
                <w:lang w:eastAsia="ru-RU"/>
              </w:rPr>
              <w:br/>
              <w:t xml:space="preserve">102   </w:t>
            </w:r>
            <w:r>
              <w:rPr>
                <w:szCs w:val="24"/>
                <w:lang w:eastAsia="ru-RU"/>
              </w:rPr>
              <w:br/>
              <w:t xml:space="preserve">120   </w:t>
            </w:r>
            <w:r>
              <w:rPr>
                <w:szCs w:val="24"/>
                <w:lang w:eastAsia="ru-RU"/>
              </w:rPr>
              <w:br/>
              <w:t xml:space="preserve">129</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0" w:type="dxa"/>
            <w:vAlign w:val="center"/>
            <w:textDirection w:val="lrTb"/>
            <w:noWrap w:val="false"/>
          </w:tcPr>
          <w:p>
            <w:pPr>
              <w:jc w:val="center"/>
              <w:spacing w:line="360" w:lineRule="auto"/>
              <w:widowControl/>
              <w:rPr>
                <w:szCs w:val="24"/>
                <w:lang w:eastAsia="ru-RU"/>
              </w:rPr>
            </w:pPr>
            <w:r>
              <w:rPr>
                <w:szCs w:val="24"/>
                <w:lang w:eastAsia="ru-RU"/>
              </w:rPr>
              <w:t xml:space="preserve">9    </w:t>
            </w:r>
            <w:r>
              <w:rPr>
                <w:szCs w:val="24"/>
                <w:lang w:eastAsia="ru-RU"/>
              </w:rPr>
              <w:br/>
              <w:t xml:space="preserve">9    </w:t>
            </w:r>
            <w:r>
              <w:rPr>
                <w:szCs w:val="24"/>
                <w:lang w:eastAsia="ru-RU"/>
              </w:rPr>
              <w:br/>
              <w:t xml:space="preserve">10   </w:t>
            </w:r>
            <w:r>
              <w:rPr>
                <w:szCs w:val="24"/>
                <w:lang w:eastAsia="ru-RU"/>
              </w:rPr>
              <w:br/>
              <w:t xml:space="preserve">11   </w:t>
            </w:r>
            <w:r>
              <w:rPr>
                <w:szCs w:val="24"/>
                <w:lang w:eastAsia="ru-RU"/>
              </w:rPr>
              <w:br/>
              <w:t xml:space="preserve">12   </w:t>
            </w:r>
            <w:r>
              <w:rPr>
                <w:szCs w:val="24"/>
                <w:lang w:eastAsia="ru-RU"/>
              </w:rPr>
              <w:br/>
              <w:t xml:space="preserve">13   </w:t>
            </w:r>
            <w:r>
              <w:rPr>
                <w:szCs w:val="24"/>
                <w:lang w:eastAsia="ru-RU"/>
              </w:rPr>
              <w:br/>
              <w:t xml:space="preserve">14   </w:t>
            </w:r>
            <w:r>
              <w:rPr>
                <w:szCs w:val="24"/>
                <w:lang w:eastAsia="ru-RU"/>
              </w:rPr>
              <w:br/>
              <w:t xml:space="preserve">15   </w:t>
            </w:r>
            <w:r>
              <w:rPr>
                <w:szCs w:val="24"/>
                <w:lang w:eastAsia="ru-RU"/>
              </w:rPr>
              <w:br/>
              <w:t xml:space="preserve">16   </w:t>
            </w:r>
            <w:r>
              <w:rPr>
                <w:szCs w:val="24"/>
                <w:lang w:eastAsia="ru-RU"/>
              </w:rPr>
              <w:br/>
              <w:t xml:space="preserve">19   </w:t>
            </w:r>
            <w:r>
              <w:rPr>
                <w:szCs w:val="24"/>
                <w:lang w:eastAsia="ru-RU"/>
              </w:rPr>
              <w:br/>
              <w:t xml:space="preserve">22   </w:t>
            </w:r>
            <w:r>
              <w:rPr>
                <w:szCs w:val="24"/>
                <w:lang w:eastAsia="ru-RU"/>
              </w:rPr>
              <w:br/>
              <w:t xml:space="preserve">23   </w:t>
            </w:r>
            <w:r>
              <w:rPr>
                <w:szCs w:val="24"/>
                <w:lang w:eastAsia="ru-RU"/>
              </w:rPr>
              <w:br/>
              <w:t xml:space="preserve">25   </w:t>
            </w:r>
            <w:r>
              <w:rPr>
                <w:szCs w:val="24"/>
                <w:lang w:eastAsia="ru-RU"/>
              </w:rPr>
              <w:br/>
              <w:t xml:space="preserve">28   </w:t>
            </w:r>
            <w:r>
              <w:rPr>
                <w:szCs w:val="24"/>
                <w:lang w:eastAsia="ru-RU"/>
              </w:rPr>
              <w:br/>
              <w:t xml:space="preserve">28   </w:t>
            </w:r>
            <w:r>
              <w:rPr>
                <w:szCs w:val="24"/>
                <w:lang w:eastAsia="ru-RU"/>
              </w:rPr>
              <w:br/>
              <w:t xml:space="preserve">31   </w:t>
            </w:r>
            <w:r>
              <w:rPr>
                <w:szCs w:val="24"/>
                <w:lang w:eastAsia="ru-RU"/>
              </w:rPr>
              <w:br/>
              <w:t xml:space="preserve">33   </w:t>
            </w:r>
            <w:r>
              <w:rPr>
                <w:szCs w:val="24"/>
                <w:lang w:eastAsia="ru-RU"/>
              </w:rPr>
              <w:br/>
              <w:t xml:space="preserve">35   </w:t>
            </w:r>
            <w:r>
              <w:rPr>
                <w:szCs w:val="24"/>
                <w:lang w:eastAsia="ru-RU"/>
              </w:rPr>
              <w:br/>
              <w:t xml:space="preserve">39</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0" w:type="dxa"/>
            <w:vAlign w:val="center"/>
            <w:textDirection w:val="lrTb"/>
            <w:noWrap w:val="false"/>
          </w:tcPr>
          <w:p>
            <w:pPr>
              <w:jc w:val="center"/>
              <w:spacing w:line="360" w:lineRule="auto"/>
              <w:widowControl/>
              <w:rPr>
                <w:szCs w:val="24"/>
                <w:lang w:eastAsia="ru-RU"/>
              </w:rPr>
            </w:pPr>
            <w:r>
              <w:rPr>
                <w:szCs w:val="24"/>
                <w:lang w:eastAsia="ru-RU"/>
              </w:rPr>
              <w:t xml:space="preserve">22   </w:t>
            </w:r>
            <w:r>
              <w:rPr>
                <w:szCs w:val="24"/>
                <w:lang w:eastAsia="ru-RU"/>
              </w:rPr>
              <w:br/>
              <w:t xml:space="preserve">24   </w:t>
            </w:r>
            <w:r>
              <w:rPr>
                <w:szCs w:val="24"/>
                <w:lang w:eastAsia="ru-RU"/>
              </w:rPr>
              <w:br/>
              <w:t xml:space="preserve">27   </w:t>
            </w:r>
            <w:r>
              <w:rPr>
                <w:szCs w:val="24"/>
                <w:lang w:eastAsia="ru-RU"/>
              </w:rPr>
              <w:br/>
              <w:t xml:space="preserve">29   </w:t>
            </w:r>
            <w:r>
              <w:rPr>
                <w:szCs w:val="24"/>
                <w:lang w:eastAsia="ru-RU"/>
              </w:rPr>
              <w:br/>
              <w:t xml:space="preserve">34   </w:t>
            </w:r>
            <w:r>
              <w:rPr>
                <w:szCs w:val="24"/>
                <w:lang w:eastAsia="ru-RU"/>
              </w:rPr>
              <w:br/>
              <w:t xml:space="preserve">37   </w:t>
            </w:r>
            <w:r>
              <w:rPr>
                <w:szCs w:val="24"/>
                <w:lang w:eastAsia="ru-RU"/>
              </w:rPr>
              <w:br/>
              <w:t xml:space="preserve">41   </w:t>
            </w:r>
            <w:r>
              <w:rPr>
                <w:szCs w:val="24"/>
                <w:lang w:eastAsia="ru-RU"/>
              </w:rPr>
              <w:br/>
              <w:t xml:space="preserve">45   </w:t>
            </w:r>
            <w:r>
              <w:rPr>
                <w:szCs w:val="24"/>
                <w:lang w:eastAsia="ru-RU"/>
              </w:rPr>
              <w:br/>
              <w:t xml:space="preserve">47   </w:t>
            </w:r>
            <w:r>
              <w:rPr>
                <w:szCs w:val="24"/>
                <w:lang w:eastAsia="ru-RU"/>
              </w:rPr>
              <w:br/>
              <w:t xml:space="preserve">61   </w:t>
            </w:r>
            <w:r>
              <w:rPr>
                <w:szCs w:val="24"/>
                <w:lang w:eastAsia="ru-RU"/>
              </w:rPr>
              <w:br/>
              <w:t xml:space="preserve">68   </w:t>
            </w:r>
            <w:r>
              <w:rPr>
                <w:szCs w:val="24"/>
                <w:lang w:eastAsia="ru-RU"/>
              </w:rPr>
              <w:br/>
              <w:t xml:space="preserve">76   </w:t>
            </w:r>
            <w:r>
              <w:rPr>
                <w:szCs w:val="24"/>
                <w:lang w:eastAsia="ru-RU"/>
              </w:rPr>
              <w:br/>
              <w:t xml:space="preserve">84   </w:t>
            </w:r>
            <w:r>
              <w:rPr>
                <w:szCs w:val="24"/>
                <w:lang w:eastAsia="ru-RU"/>
              </w:rPr>
              <w:br/>
              <w:t xml:space="preserve">90   </w:t>
            </w:r>
            <w:r>
              <w:rPr>
                <w:szCs w:val="24"/>
                <w:lang w:eastAsia="ru-RU"/>
              </w:rPr>
              <w:br/>
              <w:t xml:space="preserve">99   </w:t>
            </w:r>
            <w:r>
              <w:rPr>
                <w:szCs w:val="24"/>
                <w:lang w:eastAsia="ru-RU"/>
              </w:rPr>
              <w:br/>
              <w:t xml:space="preserve">112   </w:t>
            </w:r>
            <w:r>
              <w:rPr>
                <w:szCs w:val="24"/>
                <w:lang w:eastAsia="ru-RU"/>
              </w:rPr>
              <w:br/>
              <w:t xml:space="preserve">125   </w:t>
            </w:r>
            <w:r>
              <w:rPr>
                <w:szCs w:val="24"/>
                <w:lang w:eastAsia="ru-RU"/>
              </w:rPr>
              <w:br/>
              <w:t xml:space="preserve">135   </w:t>
            </w:r>
            <w:r>
              <w:rPr>
                <w:szCs w:val="24"/>
                <w:lang w:eastAsia="ru-RU"/>
              </w:rPr>
              <w:br/>
              <w:t xml:space="preserve">156</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0" w:type="dxa"/>
            <w:vAlign w:val="center"/>
            <w:textDirection w:val="lrTb"/>
            <w:noWrap w:val="false"/>
          </w:tcPr>
          <w:p>
            <w:pPr>
              <w:jc w:val="center"/>
              <w:spacing w:line="360" w:lineRule="auto"/>
              <w:widowControl/>
              <w:rPr>
                <w:szCs w:val="24"/>
                <w:lang w:eastAsia="ru-RU"/>
              </w:rPr>
            </w:pPr>
            <w:r>
              <w:rPr>
                <w:szCs w:val="24"/>
                <w:lang w:eastAsia="ru-RU"/>
              </w:rPr>
              <w:t xml:space="preserve">9    </w:t>
            </w:r>
            <w:r>
              <w:rPr>
                <w:szCs w:val="24"/>
                <w:lang w:eastAsia="ru-RU"/>
              </w:rPr>
              <w:br/>
              <w:t xml:space="preserve">9    </w:t>
            </w:r>
            <w:r>
              <w:rPr>
                <w:szCs w:val="24"/>
                <w:lang w:eastAsia="ru-RU"/>
              </w:rPr>
              <w:br/>
              <w:t xml:space="preserve">9    </w:t>
            </w:r>
            <w:r>
              <w:rPr>
                <w:szCs w:val="24"/>
                <w:lang w:eastAsia="ru-RU"/>
              </w:rPr>
              <w:br/>
              <w:t xml:space="preserve">10   </w:t>
            </w:r>
            <w:r>
              <w:rPr>
                <w:szCs w:val="24"/>
                <w:lang w:eastAsia="ru-RU"/>
              </w:rPr>
              <w:br/>
              <w:t xml:space="preserve">11   </w:t>
            </w:r>
            <w:r>
              <w:rPr>
                <w:szCs w:val="24"/>
                <w:lang w:eastAsia="ru-RU"/>
              </w:rPr>
              <w:br/>
              <w:t xml:space="preserve">12   </w:t>
            </w:r>
            <w:r>
              <w:rPr>
                <w:szCs w:val="24"/>
                <w:lang w:eastAsia="ru-RU"/>
              </w:rPr>
              <w:br/>
              <w:t xml:space="preserve">14   </w:t>
            </w:r>
            <w:r>
              <w:rPr>
                <w:szCs w:val="24"/>
                <w:lang w:eastAsia="ru-RU"/>
              </w:rPr>
              <w:br/>
              <w:t xml:space="preserve">15   </w:t>
            </w:r>
            <w:r>
              <w:rPr>
                <w:szCs w:val="24"/>
                <w:lang w:eastAsia="ru-RU"/>
              </w:rPr>
              <w:br/>
              <w:t xml:space="preserve">16   </w:t>
            </w:r>
            <w:r>
              <w:rPr>
                <w:szCs w:val="24"/>
                <w:lang w:eastAsia="ru-RU"/>
              </w:rPr>
              <w:br/>
              <w:t xml:space="preserve">17   </w:t>
            </w:r>
            <w:r>
              <w:rPr>
                <w:szCs w:val="24"/>
                <w:lang w:eastAsia="ru-RU"/>
              </w:rPr>
              <w:br/>
              <w:t xml:space="preserve">18   </w:t>
            </w:r>
            <w:r>
              <w:rPr>
                <w:szCs w:val="24"/>
                <w:lang w:eastAsia="ru-RU"/>
              </w:rPr>
              <w:br/>
              <w:t xml:space="preserve">21   </w:t>
            </w:r>
            <w:r>
              <w:rPr>
                <w:szCs w:val="24"/>
                <w:lang w:eastAsia="ru-RU"/>
              </w:rPr>
              <w:br/>
              <w:t xml:space="preserve">22   </w:t>
            </w:r>
            <w:r>
              <w:rPr>
                <w:szCs w:val="24"/>
                <w:lang w:eastAsia="ru-RU"/>
              </w:rPr>
              <w:br/>
              <w:t xml:space="preserve">22   </w:t>
            </w:r>
            <w:r>
              <w:rPr>
                <w:szCs w:val="24"/>
                <w:lang w:eastAsia="ru-RU"/>
              </w:rPr>
              <w:br/>
              <w:t xml:space="preserve">23   </w:t>
            </w:r>
            <w:r>
              <w:rPr>
                <w:szCs w:val="24"/>
                <w:lang w:eastAsia="ru-RU"/>
              </w:rPr>
              <w:br/>
              <w:t xml:space="preserve">24   </w:t>
            </w:r>
            <w:r>
              <w:rPr>
                <w:szCs w:val="24"/>
                <w:lang w:eastAsia="ru-RU"/>
              </w:rPr>
              <w:br/>
              <w:t xml:space="preserve">26   </w:t>
            </w:r>
            <w:r>
              <w:rPr>
                <w:szCs w:val="24"/>
                <w:lang w:eastAsia="ru-RU"/>
              </w:rPr>
              <w:br/>
              <w:t xml:space="preserve">28   </w:t>
            </w:r>
            <w:r>
              <w:rPr>
                <w:szCs w:val="24"/>
                <w:lang w:eastAsia="ru-RU"/>
              </w:rPr>
              <w:br/>
              <w:t xml:space="preserve">31</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0" w:type="dxa"/>
            <w:vAlign w:val="center"/>
            <w:textDirection w:val="lrTb"/>
            <w:noWrap w:val="false"/>
          </w:tcPr>
          <w:p>
            <w:pPr>
              <w:jc w:val="center"/>
              <w:spacing w:line="360" w:lineRule="auto"/>
              <w:widowControl/>
              <w:rPr>
                <w:szCs w:val="24"/>
                <w:lang w:eastAsia="ru-RU"/>
              </w:rPr>
            </w:pPr>
            <w:r>
              <w:rPr>
                <w:szCs w:val="24"/>
                <w:lang w:eastAsia="ru-RU"/>
              </w:rPr>
              <w:t xml:space="preserve">12   </w:t>
            </w:r>
            <w:r>
              <w:rPr>
                <w:szCs w:val="24"/>
                <w:lang w:eastAsia="ru-RU"/>
              </w:rPr>
              <w:br/>
              <w:t xml:space="preserve">13   </w:t>
            </w:r>
            <w:r>
              <w:rPr>
                <w:szCs w:val="24"/>
                <w:lang w:eastAsia="ru-RU"/>
              </w:rPr>
              <w:br/>
              <w:t xml:space="preserve">14   </w:t>
            </w:r>
            <w:r>
              <w:rPr>
                <w:szCs w:val="24"/>
                <w:lang w:eastAsia="ru-RU"/>
              </w:rPr>
              <w:br/>
              <w:t xml:space="preserve">15   </w:t>
            </w:r>
            <w:r>
              <w:rPr>
                <w:szCs w:val="24"/>
                <w:lang w:eastAsia="ru-RU"/>
              </w:rPr>
              <w:br/>
              <w:t xml:space="preserve">17   </w:t>
            </w:r>
            <w:r>
              <w:rPr>
                <w:szCs w:val="24"/>
                <w:lang w:eastAsia="ru-RU"/>
              </w:rPr>
              <w:br/>
              <w:t xml:space="preserve">18   </w:t>
            </w:r>
            <w:r>
              <w:rPr>
                <w:szCs w:val="24"/>
                <w:lang w:eastAsia="ru-RU"/>
              </w:rPr>
              <w:br/>
              <w:t xml:space="preserve">21   </w:t>
            </w:r>
            <w:r>
              <w:rPr>
                <w:szCs w:val="24"/>
                <w:lang w:eastAsia="ru-RU"/>
              </w:rPr>
              <w:br/>
              <w:t xml:space="preserve">22   </w:t>
            </w:r>
            <w:r>
              <w:rPr>
                <w:szCs w:val="24"/>
                <w:lang w:eastAsia="ru-RU"/>
              </w:rPr>
              <w:br/>
              <w:t xml:space="preserve">23   </w:t>
            </w:r>
            <w:r>
              <w:rPr>
                <w:szCs w:val="24"/>
                <w:lang w:eastAsia="ru-RU"/>
              </w:rPr>
              <w:br/>
              <w:t xml:space="preserve">28   </w:t>
            </w:r>
            <w:r>
              <w:rPr>
                <w:szCs w:val="24"/>
                <w:lang w:eastAsia="ru-RU"/>
              </w:rPr>
              <w:br/>
              <w:t xml:space="preserve">33   </w:t>
            </w:r>
            <w:r>
              <w:rPr>
                <w:szCs w:val="24"/>
                <w:lang w:eastAsia="ru-RU"/>
              </w:rPr>
              <w:br/>
              <w:t xml:space="preserve">37   </w:t>
            </w:r>
            <w:r>
              <w:rPr>
                <w:szCs w:val="24"/>
                <w:lang w:eastAsia="ru-RU"/>
              </w:rPr>
              <w:br/>
              <w:t xml:space="preserve">40   </w:t>
            </w:r>
            <w:r>
              <w:rPr>
                <w:szCs w:val="24"/>
                <w:lang w:eastAsia="ru-RU"/>
              </w:rPr>
              <w:br/>
              <w:t xml:space="preserve">43   </w:t>
            </w:r>
            <w:r>
              <w:rPr>
                <w:szCs w:val="24"/>
                <w:lang w:eastAsia="ru-RU"/>
              </w:rPr>
              <w:br/>
              <w:t xml:space="preserve">46   </w:t>
            </w:r>
            <w:r>
              <w:rPr>
                <w:szCs w:val="24"/>
                <w:lang w:eastAsia="ru-RU"/>
              </w:rPr>
              <w:br/>
              <w:t xml:space="preserve">50   </w:t>
            </w:r>
            <w:r>
              <w:rPr>
                <w:szCs w:val="24"/>
                <w:lang w:eastAsia="ru-RU"/>
              </w:rPr>
              <w:br/>
              <w:t xml:space="preserve">58   </w:t>
            </w:r>
            <w:r>
              <w:rPr>
                <w:szCs w:val="24"/>
                <w:lang w:eastAsia="ru-RU"/>
              </w:rPr>
              <w:br/>
              <w:t xml:space="preserve">65   </w:t>
            </w:r>
            <w:r>
              <w:rPr>
                <w:szCs w:val="24"/>
                <w:lang w:eastAsia="ru-RU"/>
              </w:rPr>
              <w:br/>
              <w:t xml:space="preserve">73</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0" w:type="dxa"/>
            <w:vAlign w:val="center"/>
            <w:textDirection w:val="lrTb"/>
            <w:noWrap w:val="false"/>
          </w:tcPr>
          <w:p>
            <w:pPr>
              <w:jc w:val="center"/>
              <w:spacing w:line="360" w:lineRule="auto"/>
              <w:widowControl/>
              <w:rPr>
                <w:szCs w:val="24"/>
                <w:lang w:eastAsia="ru-RU"/>
              </w:rPr>
            </w:pPr>
            <w:r>
              <w:rPr>
                <w:szCs w:val="24"/>
                <w:lang w:eastAsia="ru-RU"/>
              </w:rPr>
              <w:t xml:space="preserve">8    </w:t>
            </w:r>
            <w:r>
              <w:rPr>
                <w:szCs w:val="24"/>
                <w:lang w:eastAsia="ru-RU"/>
              </w:rPr>
              <w:br/>
              <w:t xml:space="preserve">9    </w:t>
            </w:r>
            <w:r>
              <w:rPr>
                <w:szCs w:val="24"/>
                <w:lang w:eastAsia="ru-RU"/>
              </w:rPr>
              <w:br/>
              <w:t xml:space="preserve">9    </w:t>
            </w:r>
            <w:r>
              <w:rPr>
                <w:szCs w:val="24"/>
                <w:lang w:eastAsia="ru-RU"/>
              </w:rPr>
              <w:br/>
              <w:t xml:space="preserve">10   </w:t>
            </w:r>
            <w:r>
              <w:rPr>
                <w:szCs w:val="24"/>
                <w:lang w:eastAsia="ru-RU"/>
              </w:rPr>
              <w:br/>
              <w:t xml:space="preserve">11   </w:t>
            </w:r>
            <w:r>
              <w:rPr>
                <w:szCs w:val="24"/>
                <w:lang w:eastAsia="ru-RU"/>
              </w:rPr>
              <w:br/>
              <w:t xml:space="preserve">12   </w:t>
            </w:r>
            <w:r>
              <w:rPr>
                <w:szCs w:val="24"/>
                <w:lang w:eastAsia="ru-RU"/>
              </w:rPr>
              <w:br/>
              <w:t xml:space="preserve">14   </w:t>
            </w:r>
            <w:r>
              <w:rPr>
                <w:szCs w:val="24"/>
                <w:lang w:eastAsia="ru-RU"/>
              </w:rPr>
              <w:br/>
              <w:t xml:space="preserve">15   </w:t>
            </w:r>
            <w:r>
              <w:rPr>
                <w:szCs w:val="24"/>
                <w:lang w:eastAsia="ru-RU"/>
              </w:rPr>
              <w:br/>
              <w:t xml:space="preserve">16   </w:t>
            </w:r>
            <w:r>
              <w:rPr>
                <w:szCs w:val="24"/>
                <w:lang w:eastAsia="ru-RU"/>
              </w:rPr>
              <w:br/>
              <w:t xml:space="preserve">20   </w:t>
            </w:r>
            <w:r>
              <w:rPr>
                <w:szCs w:val="24"/>
                <w:lang w:eastAsia="ru-RU"/>
              </w:rPr>
              <w:br/>
              <w:t xml:space="preserve">22   </w:t>
            </w:r>
            <w:r>
              <w:rPr>
                <w:szCs w:val="24"/>
                <w:lang w:eastAsia="ru-RU"/>
              </w:rPr>
              <w:br/>
              <w:t xml:space="preserve">24   </w:t>
            </w:r>
            <w:r>
              <w:rPr>
                <w:szCs w:val="24"/>
                <w:lang w:eastAsia="ru-RU"/>
              </w:rPr>
              <w:br/>
              <w:t xml:space="preserve">27   </w:t>
            </w:r>
            <w:r>
              <w:rPr>
                <w:szCs w:val="24"/>
                <w:lang w:eastAsia="ru-RU"/>
              </w:rPr>
              <w:br/>
              <w:t xml:space="preserve">28   </w:t>
            </w:r>
            <w:r>
              <w:rPr>
                <w:szCs w:val="24"/>
                <w:lang w:eastAsia="ru-RU"/>
              </w:rPr>
              <w:br/>
              <w:t xml:space="preserve">31   </w:t>
            </w:r>
            <w:r>
              <w:rPr>
                <w:szCs w:val="24"/>
                <w:lang w:eastAsia="ru-RU"/>
              </w:rPr>
              <w:br/>
              <w:t xml:space="preserve">32   </w:t>
            </w:r>
            <w:r>
              <w:rPr>
                <w:szCs w:val="24"/>
                <w:lang w:eastAsia="ru-RU"/>
              </w:rPr>
              <w:br/>
              <w:t xml:space="preserve">36   </w:t>
            </w:r>
            <w:r>
              <w:rPr>
                <w:szCs w:val="24"/>
                <w:lang w:eastAsia="ru-RU"/>
              </w:rPr>
              <w:br/>
              <w:t xml:space="preserve">40   </w:t>
            </w:r>
            <w:r>
              <w:rPr>
                <w:szCs w:val="24"/>
                <w:lang w:eastAsia="ru-RU"/>
              </w:rPr>
              <w:br/>
              <w:t xml:space="preserve">44</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0" w:type="dxa"/>
            <w:vAlign w:val="center"/>
            <w:textDirection w:val="lrTb"/>
            <w:noWrap w:val="false"/>
          </w:tcPr>
          <w:p>
            <w:pPr>
              <w:jc w:val="center"/>
              <w:spacing w:line="360" w:lineRule="auto"/>
              <w:widowControl/>
              <w:rPr>
                <w:szCs w:val="24"/>
                <w:lang w:eastAsia="ru-RU"/>
              </w:rPr>
            </w:pPr>
            <w:r>
              <w:rPr>
                <w:szCs w:val="24"/>
                <w:lang w:eastAsia="ru-RU"/>
              </w:rPr>
              <w:t xml:space="preserve">17   </w:t>
            </w:r>
            <w:r>
              <w:rPr>
                <w:szCs w:val="24"/>
                <w:lang w:eastAsia="ru-RU"/>
              </w:rPr>
              <w:br/>
              <w:t xml:space="preserve">17   </w:t>
            </w:r>
            <w:r>
              <w:rPr>
                <w:szCs w:val="24"/>
                <w:lang w:eastAsia="ru-RU"/>
              </w:rPr>
              <w:br/>
              <w:t xml:space="preserve">19   </w:t>
            </w:r>
            <w:r>
              <w:rPr>
                <w:szCs w:val="24"/>
                <w:lang w:eastAsia="ru-RU"/>
              </w:rPr>
              <w:br/>
              <w:t xml:space="preserve">21   </w:t>
            </w:r>
            <w:r>
              <w:rPr>
                <w:szCs w:val="24"/>
                <w:lang w:eastAsia="ru-RU"/>
              </w:rPr>
              <w:br/>
              <w:t xml:space="preserve">25   </w:t>
            </w:r>
            <w:r>
              <w:rPr>
                <w:szCs w:val="24"/>
                <w:lang w:eastAsia="ru-RU"/>
              </w:rPr>
              <w:br/>
              <w:t xml:space="preserve">27   </w:t>
            </w:r>
            <w:r>
              <w:rPr>
                <w:szCs w:val="24"/>
                <w:lang w:eastAsia="ru-RU"/>
              </w:rPr>
              <w:br/>
              <w:t xml:space="preserve">30   </w:t>
            </w:r>
            <w:r>
              <w:rPr>
                <w:szCs w:val="24"/>
                <w:lang w:eastAsia="ru-RU"/>
              </w:rPr>
              <w:br/>
              <w:t xml:space="preserve">33   </w:t>
            </w:r>
            <w:r>
              <w:rPr>
                <w:szCs w:val="24"/>
                <w:lang w:eastAsia="ru-RU"/>
              </w:rPr>
              <w:br/>
              <w:t xml:space="preserve">36   </w:t>
            </w:r>
            <w:r>
              <w:rPr>
                <w:szCs w:val="24"/>
                <w:lang w:eastAsia="ru-RU"/>
              </w:rPr>
              <w:br/>
              <w:t xml:space="preserve">42   </w:t>
            </w:r>
            <w:r>
              <w:rPr>
                <w:szCs w:val="24"/>
                <w:lang w:eastAsia="ru-RU"/>
              </w:rPr>
              <w:br/>
              <w:t xml:space="preserve">46   </w:t>
            </w:r>
            <w:r>
              <w:rPr>
                <w:szCs w:val="24"/>
                <w:lang w:eastAsia="ru-RU"/>
              </w:rPr>
              <w:br/>
              <w:t xml:space="preserve">52   </w:t>
            </w:r>
            <w:r>
              <w:rPr>
                <w:szCs w:val="24"/>
                <w:lang w:eastAsia="ru-RU"/>
              </w:rPr>
              <w:br/>
              <w:t xml:space="preserve">55   </w:t>
            </w:r>
            <w:r>
              <w:rPr>
                <w:szCs w:val="24"/>
                <w:lang w:eastAsia="ru-RU"/>
              </w:rPr>
              <w:br/>
              <w:t xml:space="preserve">60   </w:t>
            </w:r>
            <w:r>
              <w:rPr>
                <w:szCs w:val="24"/>
                <w:lang w:eastAsia="ru-RU"/>
              </w:rPr>
              <w:br/>
              <w:t xml:space="preserve">68   </w:t>
            </w:r>
            <w:r>
              <w:rPr>
                <w:szCs w:val="24"/>
                <w:lang w:eastAsia="ru-RU"/>
              </w:rPr>
              <w:br/>
              <w:t xml:space="preserve">72   </w:t>
            </w:r>
            <w:r>
              <w:rPr>
                <w:szCs w:val="24"/>
                <w:lang w:eastAsia="ru-RU"/>
              </w:rPr>
              <w:br/>
              <w:t xml:space="preserve">80   </w:t>
            </w:r>
            <w:r>
              <w:rPr>
                <w:szCs w:val="24"/>
                <w:lang w:eastAsia="ru-RU"/>
              </w:rPr>
              <w:br/>
              <w:t xml:space="preserve">92   </w:t>
            </w:r>
            <w:r>
              <w:rPr>
                <w:szCs w:val="24"/>
                <w:lang w:eastAsia="ru-RU"/>
              </w:rPr>
              <w:br/>
              <w:t xml:space="preserve">102</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0" w:type="dxa"/>
            <w:vAlign w:val="center"/>
            <w:textDirection w:val="lrTb"/>
            <w:noWrap w:val="false"/>
          </w:tcPr>
          <w:p>
            <w:pPr>
              <w:jc w:val="center"/>
              <w:spacing w:line="360" w:lineRule="auto"/>
              <w:widowControl/>
              <w:rPr>
                <w:szCs w:val="24"/>
                <w:lang w:eastAsia="ru-RU"/>
              </w:rPr>
            </w:pPr>
            <w:r>
              <w:rPr>
                <w:szCs w:val="24"/>
                <w:lang w:eastAsia="ru-RU"/>
              </w:rPr>
              <w:t xml:space="preserve">8    </w:t>
            </w:r>
            <w:r>
              <w:rPr>
                <w:szCs w:val="24"/>
                <w:lang w:eastAsia="ru-RU"/>
              </w:rPr>
              <w:br/>
              <w:t xml:space="preserve">9    </w:t>
            </w:r>
            <w:r>
              <w:rPr>
                <w:szCs w:val="24"/>
                <w:lang w:eastAsia="ru-RU"/>
              </w:rPr>
              <w:br/>
              <w:t xml:space="preserve">9    </w:t>
            </w:r>
            <w:r>
              <w:rPr>
                <w:szCs w:val="24"/>
                <w:lang w:eastAsia="ru-RU"/>
              </w:rPr>
              <w:br/>
              <w:t xml:space="preserve">10   </w:t>
            </w:r>
            <w:r>
              <w:rPr>
                <w:szCs w:val="24"/>
                <w:lang w:eastAsia="ru-RU"/>
              </w:rPr>
              <w:br/>
              <w:t xml:space="preserve">11   </w:t>
            </w:r>
            <w:r>
              <w:rPr>
                <w:szCs w:val="24"/>
                <w:lang w:eastAsia="ru-RU"/>
              </w:rPr>
              <w:br/>
              <w:t xml:space="preserve">12   </w:t>
            </w:r>
            <w:r>
              <w:rPr>
                <w:szCs w:val="24"/>
                <w:lang w:eastAsia="ru-RU"/>
              </w:rPr>
              <w:br/>
              <w:t xml:space="preserve">13   </w:t>
            </w:r>
            <w:r>
              <w:rPr>
                <w:szCs w:val="24"/>
                <w:lang w:eastAsia="ru-RU"/>
              </w:rPr>
              <w:br/>
              <w:t xml:space="preserve">14   </w:t>
            </w:r>
            <w:r>
              <w:rPr>
                <w:szCs w:val="24"/>
                <w:lang w:eastAsia="ru-RU"/>
              </w:rPr>
              <w:br/>
              <w:t xml:space="preserve">15   </w:t>
            </w:r>
            <w:r>
              <w:rPr>
                <w:szCs w:val="24"/>
                <w:lang w:eastAsia="ru-RU"/>
              </w:rPr>
              <w:br/>
              <w:t xml:space="preserve">16   </w:t>
            </w:r>
            <w:r>
              <w:rPr>
                <w:szCs w:val="24"/>
                <w:lang w:eastAsia="ru-RU"/>
              </w:rPr>
              <w:br/>
              <w:t xml:space="preserve">18   </w:t>
            </w:r>
            <w:r>
              <w:rPr>
                <w:szCs w:val="24"/>
                <w:lang w:eastAsia="ru-RU"/>
              </w:rPr>
              <w:br/>
              <w:t xml:space="preserve">21   </w:t>
            </w:r>
            <w:r>
              <w:rPr>
                <w:szCs w:val="24"/>
                <w:lang w:eastAsia="ru-RU"/>
              </w:rPr>
              <w:br/>
              <w:t xml:space="preserve">22   </w:t>
            </w:r>
            <w:r>
              <w:rPr>
                <w:szCs w:val="24"/>
                <w:lang w:eastAsia="ru-RU"/>
              </w:rPr>
              <w:br/>
              <w:t xml:space="preserve">24   </w:t>
            </w:r>
            <w:r>
              <w:rPr>
                <w:szCs w:val="24"/>
                <w:lang w:eastAsia="ru-RU"/>
              </w:rPr>
              <w:br/>
              <w:t xml:space="preserve">27   </w:t>
            </w:r>
            <w:r>
              <w:rPr>
                <w:szCs w:val="24"/>
                <w:lang w:eastAsia="ru-RU"/>
              </w:rPr>
              <w:br/>
              <w:t xml:space="preserve">28   </w:t>
            </w:r>
            <w:r>
              <w:rPr>
                <w:szCs w:val="24"/>
                <w:lang w:eastAsia="ru-RU"/>
              </w:rPr>
              <w:br/>
              <w:t xml:space="preserve">30   </w:t>
            </w:r>
            <w:r>
              <w:rPr>
                <w:szCs w:val="24"/>
                <w:lang w:eastAsia="ru-RU"/>
              </w:rPr>
              <w:br/>
              <w:t xml:space="preserve">32   </w:t>
            </w:r>
            <w:r>
              <w:rPr>
                <w:szCs w:val="24"/>
                <w:lang w:eastAsia="ru-RU"/>
              </w:rPr>
              <w:br/>
              <w:t xml:space="preserve">33</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0" w:type="dxa"/>
            <w:vAlign w:val="center"/>
            <w:textDirection w:val="lrTb"/>
            <w:noWrap w:val="false"/>
          </w:tcPr>
          <w:p>
            <w:pPr>
              <w:jc w:val="center"/>
              <w:spacing w:line="360" w:lineRule="auto"/>
              <w:widowControl/>
              <w:rPr>
                <w:szCs w:val="24"/>
                <w:lang w:eastAsia="ru-RU"/>
              </w:rPr>
            </w:pPr>
            <w:r>
              <w:rPr>
                <w:szCs w:val="24"/>
                <w:lang w:eastAsia="ru-RU"/>
              </w:rPr>
              <w:t xml:space="preserve">21   </w:t>
            </w:r>
            <w:r>
              <w:rPr>
                <w:szCs w:val="24"/>
                <w:lang w:eastAsia="ru-RU"/>
              </w:rPr>
              <w:br/>
              <w:t xml:space="preserve">22   </w:t>
            </w:r>
            <w:r>
              <w:rPr>
                <w:szCs w:val="24"/>
                <w:lang w:eastAsia="ru-RU"/>
              </w:rPr>
              <w:br/>
              <w:t xml:space="preserve">23   </w:t>
            </w:r>
            <w:r>
              <w:rPr>
                <w:szCs w:val="24"/>
                <w:lang w:eastAsia="ru-RU"/>
              </w:rPr>
              <w:br/>
              <w:t xml:space="preserve">26   </w:t>
            </w:r>
            <w:r>
              <w:rPr>
                <w:szCs w:val="24"/>
                <w:lang w:eastAsia="ru-RU"/>
              </w:rPr>
              <w:br/>
              <w:t xml:space="preserve">29   </w:t>
            </w:r>
            <w:r>
              <w:rPr>
                <w:szCs w:val="24"/>
                <w:lang w:eastAsia="ru-RU"/>
              </w:rPr>
              <w:br/>
              <w:t xml:space="preserve">32   </w:t>
            </w:r>
            <w:r>
              <w:rPr>
                <w:szCs w:val="24"/>
                <w:lang w:eastAsia="ru-RU"/>
              </w:rPr>
              <w:br/>
              <w:t xml:space="preserve">35   </w:t>
            </w:r>
            <w:r>
              <w:rPr>
                <w:szCs w:val="24"/>
                <w:lang w:eastAsia="ru-RU"/>
              </w:rPr>
              <w:br/>
              <w:t xml:space="preserve">37   </w:t>
            </w:r>
            <w:r>
              <w:rPr>
                <w:szCs w:val="24"/>
                <w:lang w:eastAsia="ru-RU"/>
              </w:rPr>
              <w:br/>
              <w:t xml:space="preserve">40   </w:t>
            </w:r>
            <w:r>
              <w:rPr>
                <w:szCs w:val="24"/>
                <w:lang w:eastAsia="ru-RU"/>
              </w:rPr>
              <w:br/>
              <w:t xml:space="preserve">50   </w:t>
            </w:r>
            <w:r>
              <w:rPr>
                <w:szCs w:val="24"/>
                <w:lang w:eastAsia="ru-RU"/>
              </w:rPr>
              <w:br/>
              <w:t xml:space="preserve">57   </w:t>
            </w:r>
            <w:r>
              <w:rPr>
                <w:szCs w:val="24"/>
                <w:lang w:eastAsia="ru-RU"/>
              </w:rPr>
              <w:br/>
              <w:t xml:space="preserve">61   </w:t>
            </w:r>
            <w:r>
              <w:rPr>
                <w:szCs w:val="24"/>
                <w:lang w:eastAsia="ru-RU"/>
              </w:rPr>
              <w:br/>
              <w:t xml:space="preserve">69   </w:t>
            </w:r>
            <w:r>
              <w:rPr>
                <w:szCs w:val="24"/>
                <w:lang w:eastAsia="ru-RU"/>
              </w:rPr>
              <w:br/>
              <w:t xml:space="preserve">74   </w:t>
            </w:r>
            <w:r>
              <w:rPr>
                <w:szCs w:val="24"/>
                <w:lang w:eastAsia="ru-RU"/>
              </w:rPr>
              <w:br/>
              <w:t xml:space="preserve">78   </w:t>
            </w:r>
            <w:r>
              <w:rPr>
                <w:szCs w:val="24"/>
                <w:lang w:eastAsia="ru-RU"/>
              </w:rPr>
              <w:br/>
              <w:t xml:space="preserve">86   </w:t>
            </w:r>
            <w:r>
              <w:rPr>
                <w:szCs w:val="24"/>
                <w:lang w:eastAsia="ru-RU"/>
              </w:rPr>
              <w:br/>
              <w:t xml:space="preserve">96   </w:t>
            </w:r>
            <w:r>
              <w:rPr>
                <w:szCs w:val="24"/>
                <w:lang w:eastAsia="ru-RU"/>
              </w:rPr>
              <w:br/>
              <w:t xml:space="preserve">110   </w:t>
            </w:r>
            <w:r>
              <w:rPr>
                <w:szCs w:val="24"/>
                <w:lang w:eastAsia="ru-RU"/>
              </w:rPr>
              <w:br/>
              <w:t xml:space="preserve">120</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740" w:type="dxa"/>
            <w:vAlign w:val="center"/>
            <w:textDirection w:val="lrTb"/>
            <w:noWrap w:val="false"/>
          </w:tcPr>
          <w:p>
            <w:pPr>
              <w:jc w:val="center"/>
              <w:spacing w:line="360" w:lineRule="auto"/>
              <w:widowControl/>
              <w:rPr>
                <w:szCs w:val="24"/>
                <w:lang w:eastAsia="ru-RU"/>
              </w:rPr>
            </w:pPr>
            <w:r>
              <w:rPr>
                <w:szCs w:val="24"/>
                <w:lang w:eastAsia="ru-RU"/>
              </w:rPr>
              <w:t xml:space="preserve">7    </w:t>
            </w:r>
            <w:r>
              <w:rPr>
                <w:szCs w:val="24"/>
                <w:lang w:eastAsia="ru-RU"/>
              </w:rPr>
              <w:br/>
              <w:t xml:space="preserve">8    </w:t>
            </w:r>
            <w:r>
              <w:rPr>
                <w:szCs w:val="24"/>
                <w:lang w:eastAsia="ru-RU"/>
              </w:rPr>
              <w:br/>
              <w:t xml:space="preserve">9    </w:t>
            </w:r>
            <w:r>
              <w:rPr>
                <w:szCs w:val="24"/>
                <w:lang w:eastAsia="ru-RU"/>
              </w:rPr>
              <w:br/>
              <w:t xml:space="preserve">9    </w:t>
            </w:r>
            <w:r>
              <w:rPr>
                <w:szCs w:val="24"/>
                <w:lang w:eastAsia="ru-RU"/>
              </w:rPr>
              <w:br/>
              <w:t xml:space="preserve">10   </w:t>
            </w:r>
            <w:r>
              <w:rPr>
                <w:szCs w:val="24"/>
                <w:lang w:eastAsia="ru-RU"/>
              </w:rPr>
              <w:br/>
              <w:t xml:space="preserve">11   </w:t>
            </w:r>
            <w:r>
              <w:rPr>
                <w:szCs w:val="24"/>
                <w:lang w:eastAsia="ru-RU"/>
              </w:rPr>
              <w:br/>
              <w:t xml:space="preserve">12   </w:t>
            </w:r>
            <w:r>
              <w:rPr>
                <w:szCs w:val="24"/>
                <w:lang w:eastAsia="ru-RU"/>
              </w:rPr>
              <w:br/>
              <w:t xml:space="preserve">13   </w:t>
            </w:r>
            <w:r>
              <w:rPr>
                <w:szCs w:val="24"/>
                <w:lang w:eastAsia="ru-RU"/>
              </w:rPr>
              <w:br/>
              <w:t xml:space="preserve">14   </w:t>
            </w:r>
            <w:r>
              <w:rPr>
                <w:szCs w:val="24"/>
                <w:lang w:eastAsia="ru-RU"/>
              </w:rPr>
              <w:br/>
              <w:t xml:space="preserve">15   </w:t>
            </w:r>
            <w:r>
              <w:rPr>
                <w:szCs w:val="24"/>
                <w:lang w:eastAsia="ru-RU"/>
              </w:rPr>
              <w:br/>
              <w:t xml:space="preserve">17   </w:t>
            </w:r>
            <w:r>
              <w:rPr>
                <w:szCs w:val="24"/>
                <w:lang w:eastAsia="ru-RU"/>
              </w:rPr>
              <w:br/>
              <w:t xml:space="preserve">18   </w:t>
            </w:r>
            <w:r>
              <w:rPr>
                <w:szCs w:val="24"/>
                <w:lang w:eastAsia="ru-RU"/>
              </w:rPr>
              <w:br/>
              <w:t xml:space="preserve">19   </w:t>
            </w:r>
            <w:r>
              <w:rPr>
                <w:szCs w:val="24"/>
                <w:lang w:eastAsia="ru-RU"/>
              </w:rPr>
              <w:br/>
              <w:t xml:space="preserve">21   </w:t>
            </w:r>
            <w:r>
              <w:rPr>
                <w:szCs w:val="24"/>
                <w:lang w:eastAsia="ru-RU"/>
              </w:rPr>
              <w:br/>
              <w:t xml:space="preserve">22   </w:t>
            </w:r>
            <w:r>
              <w:rPr>
                <w:szCs w:val="24"/>
                <w:lang w:eastAsia="ru-RU"/>
              </w:rPr>
              <w:br/>
              <w:t xml:space="preserve">23   </w:t>
            </w:r>
            <w:r>
              <w:rPr>
                <w:szCs w:val="24"/>
                <w:lang w:eastAsia="ru-RU"/>
              </w:rPr>
              <w:br/>
              <w:t xml:space="preserve">27   </w:t>
            </w:r>
            <w:r>
              <w:rPr>
                <w:szCs w:val="24"/>
                <w:lang w:eastAsia="ru-RU"/>
              </w:rPr>
              <w:br/>
              <w:t xml:space="preserve">27   </w:t>
            </w:r>
            <w:r>
              <w:rPr>
                <w:szCs w:val="24"/>
                <w:lang w:eastAsia="ru-RU"/>
              </w:rPr>
              <w:br/>
              <w:t xml:space="preserve">29</w:t>
            </w:r>
            <w:r>
              <w:rPr>
                <w:szCs w:val="24"/>
                <w:lang w:eastAsia="ru-RU"/>
              </w:rPr>
            </w:r>
            <w:r>
              <w:rPr>
                <w:szCs w:val="24"/>
                <w:lang w:eastAsia="ru-RU"/>
              </w:rPr>
            </w:r>
          </w:p>
        </w:tc>
      </w:tr>
    </w:tbl>
    <w:p>
      <w:pPr>
        <w:jc w:val="center"/>
        <w:spacing w:line="360" w:lineRule="auto"/>
        <w:widowControl/>
        <w:rPr>
          <w:szCs w:val="24"/>
          <w:lang w:eastAsia="ru-RU"/>
        </w:rPr>
      </w:pPr>
      <w:r>
        <w:rPr>
          <w:szCs w:val="24"/>
          <w:lang w:eastAsia="ru-RU"/>
        </w:rPr>
      </w:r>
      <w:r>
        <w:rPr>
          <w:szCs w:val="24"/>
          <w:lang w:eastAsia="ru-RU"/>
        </w:rPr>
      </w:r>
      <w:r>
        <w:rPr>
          <w:szCs w:val="24"/>
          <w:lang w:eastAsia="ru-RU"/>
        </w:rPr>
      </w:r>
    </w:p>
    <w:p>
      <w:pPr>
        <w:rPr>
          <w:szCs w:val="24"/>
          <w:lang w:eastAsia="ru-RU"/>
        </w:rPr>
      </w:pPr>
      <w:r>
        <w:rPr>
          <w:szCs w:val="24"/>
          <w:lang w:eastAsia="ru-RU"/>
        </w:rPr>
        <w:br w:type="page" w:clear="all"/>
      </w:r>
      <w:r>
        <w:rPr>
          <w:szCs w:val="24"/>
          <w:lang w:eastAsia="ru-RU"/>
        </w:rPr>
      </w:r>
      <w:r>
        <w:rPr>
          <w:szCs w:val="24"/>
          <w:lang w:eastAsia="ru-RU"/>
        </w:rPr>
      </w:r>
    </w:p>
    <w:p>
      <w:pPr>
        <w:jc w:val="center"/>
        <w:spacing w:line="360" w:lineRule="auto"/>
        <w:widowControl/>
        <w:rPr>
          <w:szCs w:val="24"/>
          <w:lang w:eastAsia="ru-RU"/>
        </w:rPr>
      </w:pPr>
      <w:r>
        <w:rPr>
          <w:szCs w:val="24"/>
          <w:lang w:eastAsia="ru-RU"/>
        </w:rPr>
        <w:t xml:space="preserve">НОРМЫ ТЕПЛОВЫХ ПОТЕРЬ (ПЛОТНОСТИ ТЕПЛОВОГО ПОТОКА) ТЕПЛОПРОВОДАМИ, СПРОЕКТИРОВАННЫМИ В ПЕРИОД С 2004 г.</w:t>
      </w:r>
      <w:r>
        <w:rPr>
          <w:szCs w:val="24"/>
          <w:lang w:eastAsia="ru-RU"/>
        </w:rPr>
      </w:r>
      <w:r>
        <w:rPr>
          <w:szCs w:val="24"/>
          <w:lang w:eastAsia="ru-RU"/>
        </w:rPr>
      </w:r>
    </w:p>
    <w:p>
      <w:pPr>
        <w:ind w:firstLine="540"/>
        <w:spacing w:line="360" w:lineRule="auto"/>
        <w:widowControl/>
        <w:rPr>
          <w:szCs w:val="24"/>
          <w:lang w:eastAsia="ru-RU"/>
        </w:rPr>
      </w:pPr>
      <w:r>
        <w:rPr>
          <w:szCs w:val="24"/>
          <w:lang w:eastAsia="ru-RU"/>
        </w:rPr>
      </w:r>
      <w:r>
        <w:rPr>
          <w:szCs w:val="24"/>
          <w:lang w:eastAsia="ru-RU"/>
        </w:rPr>
      </w:r>
      <w:r>
        <w:rPr>
          <w:szCs w:val="24"/>
          <w:lang w:eastAsia="ru-RU"/>
        </w:rPr>
      </w:r>
    </w:p>
    <w:p>
      <w:pPr>
        <w:pStyle w:val="1274"/>
        <w:jc w:val="right"/>
        <w:keepNext/>
        <w:rPr>
          <w:b w:val="0"/>
          <w:sz w:val="24"/>
          <w:szCs w:val="24"/>
        </w:rPr>
      </w:pPr>
      <w:r/>
      <w:bookmarkStart w:id="118" w:name="_Toc40787812"/>
      <w:r/>
      <w:bookmarkStart w:id="119" w:name="_Toc71031201"/>
      <w:r>
        <w:rPr>
          <w:b w:val="0"/>
          <w:sz w:val="24"/>
          <w:szCs w:val="24"/>
        </w:rPr>
        <w:t xml:space="preserve">Таблица </w:t>
      </w:r>
      <w:r>
        <w:rPr>
          <w:b w:val="0"/>
          <w:sz w:val="24"/>
          <w:szCs w:val="24"/>
        </w:rPr>
        <w:t xml:space="preserve">1.3.13.5</w:t>
      </w:r>
      <w:r>
        <w:rPr>
          <w:b w:val="0"/>
          <w:sz w:val="24"/>
          <w:szCs w:val="24"/>
        </w:rPr>
      </w:r>
      <w:r>
        <w:rPr>
          <w:b w:val="0"/>
          <w:sz w:val="24"/>
          <w:szCs w:val="24"/>
        </w:rPr>
      </w:r>
    </w:p>
    <w:p>
      <w:pPr>
        <w:pStyle w:val="1274"/>
        <w:keepNext/>
        <w:rPr>
          <w:b w:val="0"/>
          <w:sz w:val="24"/>
          <w:szCs w:val="24"/>
        </w:rPr>
      </w:pPr>
      <w:r>
        <w:rPr>
          <w:b w:val="0"/>
          <w:sz w:val="24"/>
          <w:szCs w:val="24"/>
        </w:rPr>
        <w:t xml:space="preserve">Нормы тепловых потерь трубопроводов водяных тепловых сетей</w:t>
      </w:r>
      <w:bookmarkEnd w:id="118"/>
      <w:r/>
      <w:bookmarkEnd w:id="119"/>
      <w:r>
        <w:rPr>
          <w:b w:val="0"/>
          <w:sz w:val="24"/>
          <w:szCs w:val="24"/>
        </w:rPr>
      </w:r>
      <w:r>
        <w:rPr>
          <w:b w:val="0"/>
          <w:sz w:val="24"/>
          <w:szCs w:val="24"/>
        </w:rPr>
      </w:r>
    </w:p>
    <w:p>
      <w:pPr>
        <w:pStyle w:val="1274"/>
        <w:keepNext/>
        <w:rPr>
          <w:b w:val="0"/>
          <w:sz w:val="24"/>
          <w:szCs w:val="24"/>
        </w:rPr>
      </w:pPr>
      <w:r>
        <w:rPr>
          <w:b w:val="0"/>
          <w:sz w:val="24"/>
          <w:szCs w:val="24"/>
        </w:rPr>
        <w:t xml:space="preserve">при канальной прокладке</w:t>
      </w:r>
      <w:r>
        <w:rPr>
          <w:b w:val="0"/>
          <w:sz w:val="24"/>
          <w:szCs w:val="24"/>
        </w:rPr>
      </w:r>
      <w:r>
        <w:rPr>
          <w:b w:val="0"/>
          <w:sz w:val="24"/>
          <w:szCs w:val="24"/>
        </w:rPr>
      </w:r>
    </w:p>
    <w:tbl>
      <w:tblPr>
        <w:tblW w:w="5000" w:type="pct"/>
        <w:jc w:val="center"/>
        <w:tblLayout w:type="fixed"/>
        <w:tblCellMar>
          <w:left w:w="70" w:type="dxa"/>
          <w:right w:w="70" w:type="dxa"/>
        </w:tblCellMar>
        <w:tblLook w:val="0000" w:firstRow="0" w:lastRow="0" w:firstColumn="0" w:lastColumn="0" w:noHBand="0" w:noVBand="0"/>
      </w:tblPr>
      <w:tblGrid>
        <w:gridCol w:w="1602"/>
        <w:gridCol w:w="1470"/>
        <w:gridCol w:w="1338"/>
        <w:gridCol w:w="1338"/>
        <w:gridCol w:w="1338"/>
        <w:gridCol w:w="1470"/>
        <w:gridCol w:w="1338"/>
      </w:tblGrid>
      <w:tr>
        <w:tblPrEx/>
        <w:trPr>
          <w:cantSplit/>
          <w:jc w:val="center"/>
          <w:trHeight w:val="240"/>
        </w:trPr>
        <w:tc>
          <w:tcPr>
            <w:tcBorders>
              <w:top w:val="single" w:color="auto" w:sz="6" w:space="0"/>
              <w:left w:val="single" w:color="auto" w:sz="6" w:space="0"/>
              <w:bottom w:val="none" w:color="000000" w:sz="4" w:space="0"/>
              <w:right w:val="single" w:color="auto" w:sz="6" w:space="0"/>
            </w:tcBorders>
            <w:tcW w:w="1558" w:type="dxa"/>
            <w:vAlign w:val="center"/>
            <w:vMerge w:val="restart"/>
            <w:textDirection w:val="lrTb"/>
            <w:noWrap w:val="false"/>
          </w:tcPr>
          <w:p>
            <w:pPr>
              <w:jc w:val="center"/>
              <w:spacing w:line="360" w:lineRule="auto"/>
              <w:widowControl/>
              <w:rPr>
                <w:szCs w:val="24"/>
                <w:lang w:eastAsia="ru-RU"/>
              </w:rPr>
            </w:pPr>
            <w:r>
              <w:rPr>
                <w:szCs w:val="24"/>
                <w:lang w:eastAsia="ru-RU"/>
              </w:rPr>
              <w:t xml:space="preserve">Условный  </w:t>
            </w:r>
            <w:r>
              <w:rPr>
                <w:szCs w:val="24"/>
                <w:lang w:eastAsia="ru-RU"/>
              </w:rPr>
              <w:br/>
              <w:t xml:space="preserve">диаметр,  </w:t>
            </w:r>
            <w:r>
              <w:rPr>
                <w:szCs w:val="24"/>
                <w:lang w:eastAsia="ru-RU"/>
              </w:rPr>
              <w:br/>
              <w:t xml:space="preserve">мм</w:t>
            </w:r>
            <w:r>
              <w:rPr>
                <w:szCs w:val="24"/>
                <w:lang w:eastAsia="ru-RU"/>
              </w:rPr>
            </w:r>
            <w:r>
              <w:rPr>
                <w:szCs w:val="24"/>
                <w:lang w:eastAsia="ru-RU"/>
              </w:rPr>
            </w:r>
          </w:p>
        </w:tc>
        <w:tc>
          <w:tcPr>
            <w:gridSpan w:val="6"/>
            <w:tcBorders>
              <w:top w:val="single" w:color="auto" w:sz="6" w:space="0"/>
              <w:left w:val="single" w:color="auto" w:sz="6" w:space="0"/>
              <w:bottom w:val="single" w:color="auto" w:sz="6" w:space="0"/>
              <w:right w:val="single" w:color="auto" w:sz="6" w:space="0"/>
            </w:tcBorders>
            <w:tcW w:w="8064" w:type="dxa"/>
            <w:vAlign w:val="center"/>
            <w:textDirection w:val="lrTb"/>
            <w:noWrap w:val="false"/>
          </w:tcPr>
          <w:p>
            <w:pPr>
              <w:jc w:val="center"/>
              <w:spacing w:line="360" w:lineRule="auto"/>
              <w:widowControl/>
              <w:rPr>
                <w:szCs w:val="24"/>
                <w:lang w:eastAsia="ru-RU"/>
              </w:rPr>
            </w:pPr>
            <w:r>
              <w:rPr>
                <w:szCs w:val="24"/>
                <w:lang w:eastAsia="ru-RU"/>
              </w:rPr>
              <w:t xml:space="preserve">Нормы плотности теплового потока, ккал/ч</w:t>
            </w:r>
            <w:r>
              <w:rPr>
                <w:szCs w:val="24"/>
                <w:lang w:eastAsia="ru-RU"/>
              </w:rPr>
            </w:r>
            <w:r>
              <w:rPr>
                <w:szCs w:val="24"/>
                <w:lang w:eastAsia="ru-RU"/>
              </w:rPr>
            </w:r>
          </w:p>
        </w:tc>
      </w:tr>
      <w:tr>
        <w:tblPrEx/>
        <w:trPr>
          <w:cantSplit/>
          <w:jc w:val="center"/>
          <w:trHeight w:val="360"/>
        </w:trPr>
        <w:tc>
          <w:tcPr>
            <w:tcBorders>
              <w:top w:val="none" w:color="000000" w:sz="4" w:space="0"/>
              <w:left w:val="single" w:color="auto" w:sz="6" w:space="0"/>
              <w:bottom w:val="none" w:color="000000" w:sz="4" w:space="0"/>
              <w:right w:val="single" w:color="auto" w:sz="6" w:space="0"/>
            </w:tcBorders>
            <w:tcW w:w="1558" w:type="dxa"/>
            <w:vAlign w:val="center"/>
            <w:vMerge w:val="continue"/>
            <w:textDirection w:val="lrTb"/>
            <w:noWrap w:val="false"/>
          </w:tcPr>
          <w:p>
            <w:pPr>
              <w:jc w:val="center"/>
              <w:spacing w:line="360" w:lineRule="auto"/>
              <w:widowControl/>
              <w:rPr>
                <w:szCs w:val="24"/>
                <w:lang w:eastAsia="ru-RU"/>
              </w:rPr>
            </w:pPr>
            <w:r>
              <w:rPr>
                <w:szCs w:val="24"/>
                <w:lang w:eastAsia="ru-RU"/>
              </w:rPr>
            </w:r>
            <w:r>
              <w:rPr>
                <w:szCs w:val="24"/>
                <w:lang w:eastAsia="ru-RU"/>
              </w:rPr>
            </w:r>
            <w:r>
              <w:rPr>
                <w:szCs w:val="24"/>
                <w:lang w:eastAsia="ru-RU"/>
              </w:rPr>
            </w:r>
          </w:p>
        </w:tc>
        <w:tc>
          <w:tcPr>
            <w:gridSpan w:val="3"/>
            <w:tcBorders>
              <w:top w:val="single" w:color="auto" w:sz="6" w:space="0"/>
              <w:left w:val="single" w:color="auto" w:sz="6" w:space="0"/>
              <w:bottom w:val="single" w:color="auto" w:sz="6" w:space="0"/>
              <w:right w:val="single" w:color="auto" w:sz="6" w:space="0"/>
            </w:tcBorders>
            <w:tcW w:w="4032" w:type="dxa"/>
            <w:vAlign w:val="center"/>
            <w:textDirection w:val="lrTb"/>
            <w:noWrap w:val="false"/>
          </w:tcPr>
          <w:p>
            <w:pPr>
              <w:jc w:val="center"/>
              <w:spacing w:line="360" w:lineRule="auto"/>
              <w:widowControl/>
              <w:rPr>
                <w:szCs w:val="24"/>
                <w:lang w:eastAsia="ru-RU"/>
              </w:rPr>
            </w:pPr>
            <w:r>
              <w:rPr>
                <w:szCs w:val="24"/>
                <w:lang w:eastAsia="ru-RU"/>
              </w:rPr>
              <w:t xml:space="preserve">Продолжительность эксплуатации</w:t>
            </w:r>
            <w:r>
              <w:rPr>
                <w:szCs w:val="24"/>
                <w:lang w:eastAsia="ru-RU"/>
              </w:rPr>
              <w:br/>
              <w:t xml:space="preserve">до 5000 ч/год включительно</w:t>
            </w:r>
            <w:r>
              <w:rPr>
                <w:szCs w:val="24"/>
                <w:lang w:eastAsia="ru-RU"/>
              </w:rPr>
            </w:r>
            <w:r>
              <w:rPr>
                <w:szCs w:val="24"/>
                <w:lang w:eastAsia="ru-RU"/>
              </w:rPr>
            </w:r>
          </w:p>
        </w:tc>
        <w:tc>
          <w:tcPr>
            <w:gridSpan w:val="3"/>
            <w:tcBorders>
              <w:top w:val="single" w:color="auto" w:sz="6" w:space="0"/>
              <w:left w:val="single" w:color="auto" w:sz="6" w:space="0"/>
              <w:bottom w:val="single" w:color="auto" w:sz="6" w:space="0"/>
              <w:right w:val="single" w:color="auto" w:sz="6" w:space="0"/>
            </w:tcBorders>
            <w:tcW w:w="4032" w:type="dxa"/>
            <w:vAlign w:val="center"/>
            <w:textDirection w:val="lrTb"/>
            <w:noWrap w:val="false"/>
          </w:tcPr>
          <w:p>
            <w:pPr>
              <w:jc w:val="center"/>
              <w:spacing w:line="360" w:lineRule="auto"/>
              <w:widowControl/>
              <w:rPr>
                <w:szCs w:val="24"/>
                <w:lang w:eastAsia="ru-RU"/>
              </w:rPr>
            </w:pPr>
            <w:r>
              <w:rPr>
                <w:szCs w:val="24"/>
                <w:lang w:eastAsia="ru-RU"/>
              </w:rPr>
              <w:t xml:space="preserve">Продолжительность     </w:t>
            </w:r>
            <w:r>
              <w:rPr>
                <w:szCs w:val="24"/>
                <w:lang w:eastAsia="ru-RU"/>
              </w:rPr>
              <w:br/>
              <w:t xml:space="preserve">эксплуатации более 5000 ч/год</w:t>
            </w:r>
            <w:r>
              <w:rPr>
                <w:szCs w:val="24"/>
                <w:lang w:eastAsia="ru-RU"/>
              </w:rPr>
            </w:r>
            <w:r>
              <w:rPr>
                <w:szCs w:val="24"/>
                <w:lang w:eastAsia="ru-RU"/>
              </w:rPr>
            </w:r>
          </w:p>
        </w:tc>
      </w:tr>
      <w:tr>
        <w:tblPrEx/>
        <w:trPr>
          <w:cantSplit/>
          <w:jc w:val="center"/>
          <w:trHeight w:val="240"/>
        </w:trPr>
        <w:tc>
          <w:tcPr>
            <w:tcBorders>
              <w:top w:val="none" w:color="000000" w:sz="4" w:space="0"/>
              <w:left w:val="single" w:color="auto" w:sz="6" w:space="0"/>
              <w:bottom w:val="none" w:color="000000" w:sz="4" w:space="0"/>
              <w:right w:val="single" w:color="auto" w:sz="6" w:space="0"/>
            </w:tcBorders>
            <w:tcW w:w="1558" w:type="dxa"/>
            <w:vAlign w:val="center"/>
            <w:vMerge w:val="continue"/>
            <w:textDirection w:val="lrTb"/>
            <w:noWrap w:val="false"/>
          </w:tcPr>
          <w:p>
            <w:pPr>
              <w:jc w:val="center"/>
              <w:spacing w:line="360" w:lineRule="auto"/>
              <w:widowControl/>
              <w:rPr>
                <w:szCs w:val="24"/>
                <w:lang w:eastAsia="ru-RU"/>
              </w:rPr>
            </w:pPr>
            <w:r>
              <w:rPr>
                <w:szCs w:val="24"/>
                <w:lang w:eastAsia="ru-RU"/>
              </w:rPr>
            </w:r>
            <w:r>
              <w:rPr>
                <w:szCs w:val="24"/>
                <w:lang w:eastAsia="ru-RU"/>
              </w:rPr>
            </w:r>
            <w:r>
              <w:rPr>
                <w:szCs w:val="24"/>
                <w:lang w:eastAsia="ru-RU"/>
              </w:rPr>
            </w:r>
          </w:p>
        </w:tc>
        <w:tc>
          <w:tcPr>
            <w:gridSpan w:val="6"/>
            <w:tcBorders>
              <w:top w:val="single" w:color="auto" w:sz="6" w:space="0"/>
              <w:left w:val="single" w:color="auto" w:sz="6" w:space="0"/>
              <w:bottom w:val="single" w:color="auto" w:sz="6" w:space="0"/>
              <w:right w:val="single" w:color="auto" w:sz="6" w:space="0"/>
            </w:tcBorders>
            <w:tcW w:w="8064" w:type="dxa"/>
            <w:vAlign w:val="center"/>
            <w:textDirection w:val="lrTb"/>
            <w:noWrap w:val="false"/>
          </w:tcPr>
          <w:p>
            <w:pPr>
              <w:jc w:val="center"/>
              <w:spacing w:line="360" w:lineRule="auto"/>
              <w:widowControl/>
              <w:rPr>
                <w:szCs w:val="24"/>
                <w:lang w:eastAsia="ru-RU"/>
              </w:rPr>
            </w:pPr>
            <w:r>
              <w:rPr>
                <w:szCs w:val="24"/>
                <w:lang w:eastAsia="ru-RU"/>
              </w:rPr>
              <w:t xml:space="preserve">Температура теплоносителя, °C</w:t>
            </w:r>
            <w:r>
              <w:rPr>
                <w:szCs w:val="24"/>
                <w:lang w:eastAsia="ru-RU"/>
              </w:rPr>
            </w:r>
            <w:r>
              <w:rPr>
                <w:szCs w:val="24"/>
                <w:lang w:eastAsia="ru-RU"/>
              </w:rPr>
            </w:r>
          </w:p>
        </w:tc>
      </w:tr>
      <w:tr>
        <w:tblPrEx/>
        <w:trPr>
          <w:cantSplit/>
          <w:jc w:val="center"/>
          <w:trHeight w:val="240"/>
        </w:trPr>
        <w:tc>
          <w:tcPr>
            <w:tcBorders>
              <w:top w:val="none" w:color="000000" w:sz="4" w:space="0"/>
              <w:left w:val="single" w:color="auto" w:sz="6" w:space="0"/>
              <w:bottom w:val="single" w:color="auto" w:sz="6" w:space="0"/>
              <w:right w:val="single" w:color="auto" w:sz="6" w:space="0"/>
            </w:tcBorders>
            <w:tcW w:w="1558" w:type="dxa"/>
            <w:vAlign w:val="center"/>
            <w:vMerge w:val="continue"/>
            <w:textDirection w:val="lrTb"/>
            <w:noWrap w:val="false"/>
          </w:tcPr>
          <w:p>
            <w:pPr>
              <w:jc w:val="center"/>
              <w:spacing w:line="360" w:lineRule="auto"/>
              <w:widowControl/>
              <w:rPr>
                <w:szCs w:val="24"/>
                <w:lang w:eastAsia="ru-RU"/>
              </w:rPr>
            </w:pPr>
            <w:r>
              <w:rPr>
                <w:szCs w:val="24"/>
                <w:lang w:eastAsia="ru-RU"/>
              </w:rPr>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1430" w:type="dxa"/>
            <w:vAlign w:val="center"/>
            <w:textDirection w:val="lrTb"/>
            <w:noWrap w:val="false"/>
          </w:tcPr>
          <w:p>
            <w:pPr>
              <w:jc w:val="center"/>
              <w:spacing w:line="360" w:lineRule="auto"/>
              <w:widowControl/>
              <w:rPr>
                <w:szCs w:val="24"/>
                <w:lang w:eastAsia="ru-RU"/>
              </w:rPr>
            </w:pPr>
            <w:r>
              <w:rPr>
                <w:szCs w:val="24"/>
                <w:lang w:eastAsia="ru-RU"/>
              </w:rPr>
              <w:t xml:space="preserve">65/50</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1301" w:type="dxa"/>
            <w:vAlign w:val="center"/>
            <w:textDirection w:val="lrTb"/>
            <w:noWrap w:val="false"/>
          </w:tcPr>
          <w:p>
            <w:pPr>
              <w:jc w:val="center"/>
              <w:spacing w:line="360" w:lineRule="auto"/>
              <w:widowControl/>
              <w:rPr>
                <w:szCs w:val="24"/>
                <w:lang w:eastAsia="ru-RU"/>
              </w:rPr>
            </w:pPr>
            <w:r>
              <w:rPr>
                <w:szCs w:val="24"/>
                <w:lang w:eastAsia="ru-RU"/>
              </w:rPr>
              <w:t xml:space="preserve">90/50</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1301" w:type="dxa"/>
            <w:vAlign w:val="center"/>
            <w:textDirection w:val="lrTb"/>
            <w:noWrap w:val="false"/>
          </w:tcPr>
          <w:p>
            <w:pPr>
              <w:jc w:val="center"/>
              <w:spacing w:line="360" w:lineRule="auto"/>
              <w:widowControl/>
              <w:rPr>
                <w:szCs w:val="24"/>
                <w:lang w:eastAsia="ru-RU"/>
              </w:rPr>
            </w:pPr>
            <w:r>
              <w:rPr>
                <w:szCs w:val="24"/>
                <w:lang w:eastAsia="ru-RU"/>
              </w:rPr>
              <w:t xml:space="preserve">110/50</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1301" w:type="dxa"/>
            <w:vAlign w:val="center"/>
            <w:textDirection w:val="lrTb"/>
            <w:noWrap w:val="false"/>
          </w:tcPr>
          <w:p>
            <w:pPr>
              <w:jc w:val="center"/>
              <w:spacing w:line="360" w:lineRule="auto"/>
              <w:widowControl/>
              <w:rPr>
                <w:szCs w:val="24"/>
                <w:lang w:eastAsia="ru-RU"/>
              </w:rPr>
            </w:pPr>
            <w:r>
              <w:rPr>
                <w:szCs w:val="24"/>
                <w:lang w:eastAsia="ru-RU"/>
              </w:rPr>
              <w:t xml:space="preserve">65/50</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1430" w:type="dxa"/>
            <w:vAlign w:val="center"/>
            <w:textDirection w:val="lrTb"/>
            <w:noWrap w:val="false"/>
          </w:tcPr>
          <w:p>
            <w:pPr>
              <w:jc w:val="center"/>
              <w:spacing w:line="360" w:lineRule="auto"/>
              <w:widowControl/>
              <w:rPr>
                <w:szCs w:val="24"/>
                <w:lang w:eastAsia="ru-RU"/>
              </w:rPr>
            </w:pPr>
            <w:r>
              <w:rPr>
                <w:szCs w:val="24"/>
                <w:lang w:eastAsia="ru-RU"/>
              </w:rPr>
              <w:t xml:space="preserve">90/50</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1301" w:type="dxa"/>
            <w:vAlign w:val="center"/>
            <w:textDirection w:val="lrTb"/>
            <w:noWrap w:val="false"/>
          </w:tcPr>
          <w:p>
            <w:pPr>
              <w:jc w:val="center"/>
              <w:spacing w:line="360" w:lineRule="auto"/>
              <w:widowControl/>
              <w:rPr>
                <w:szCs w:val="24"/>
                <w:lang w:eastAsia="ru-RU"/>
              </w:rPr>
            </w:pPr>
            <w:r>
              <w:rPr>
                <w:szCs w:val="24"/>
                <w:lang w:eastAsia="ru-RU"/>
              </w:rPr>
              <w:t xml:space="preserve">110/50</w:t>
            </w:r>
            <w:r>
              <w:rPr>
                <w:szCs w:val="24"/>
                <w:lang w:eastAsia="ru-RU"/>
              </w:rPr>
            </w:r>
            <w:r>
              <w:rPr>
                <w:szCs w:val="24"/>
                <w:lang w:eastAsia="ru-RU"/>
              </w:rPr>
            </w:r>
          </w:p>
        </w:tc>
      </w:tr>
      <w:tr>
        <w:tblPrEx/>
        <w:trPr>
          <w:cantSplit/>
          <w:jc w:val="center"/>
          <w:trHeight w:val="2880"/>
        </w:trPr>
        <w:tc>
          <w:tcPr>
            <w:tcBorders>
              <w:top w:val="single" w:color="auto" w:sz="6" w:space="0"/>
              <w:left w:val="single" w:color="auto" w:sz="6" w:space="0"/>
              <w:bottom w:val="single" w:color="auto" w:sz="6" w:space="0"/>
              <w:right w:val="single" w:color="auto" w:sz="6" w:space="0"/>
            </w:tcBorders>
            <w:tcW w:w="1558" w:type="dxa"/>
            <w:vAlign w:val="center"/>
            <w:textDirection w:val="lrTb"/>
            <w:noWrap w:val="false"/>
          </w:tcPr>
          <w:p>
            <w:pPr>
              <w:jc w:val="center"/>
              <w:spacing w:line="360" w:lineRule="auto"/>
              <w:widowControl/>
              <w:rPr>
                <w:szCs w:val="24"/>
                <w:lang w:eastAsia="ru-RU"/>
              </w:rPr>
            </w:pPr>
            <w:r>
              <w:rPr>
                <w:szCs w:val="24"/>
                <w:lang w:eastAsia="ru-RU"/>
              </w:rPr>
              <w:t xml:space="preserve">25     </w:t>
            </w:r>
            <w:r>
              <w:rPr>
                <w:szCs w:val="24"/>
                <w:lang w:eastAsia="ru-RU"/>
              </w:rPr>
              <w:br/>
              <w:t xml:space="preserve">32     </w:t>
            </w:r>
            <w:r>
              <w:rPr>
                <w:szCs w:val="24"/>
                <w:lang w:eastAsia="ru-RU"/>
              </w:rPr>
              <w:br/>
              <w:t xml:space="preserve">40     </w:t>
            </w:r>
            <w:r>
              <w:rPr>
                <w:szCs w:val="24"/>
                <w:lang w:eastAsia="ru-RU"/>
              </w:rPr>
              <w:br/>
              <w:t xml:space="preserve">50     </w:t>
            </w:r>
            <w:r>
              <w:rPr>
                <w:szCs w:val="24"/>
                <w:lang w:eastAsia="ru-RU"/>
              </w:rPr>
              <w:br/>
              <w:t xml:space="preserve">65     </w:t>
            </w:r>
            <w:r>
              <w:rPr>
                <w:szCs w:val="24"/>
                <w:lang w:eastAsia="ru-RU"/>
              </w:rPr>
              <w:br/>
              <w:t xml:space="preserve">80     </w:t>
            </w:r>
            <w:r>
              <w:rPr>
                <w:szCs w:val="24"/>
                <w:lang w:eastAsia="ru-RU"/>
              </w:rPr>
              <w:br/>
              <w:t xml:space="preserve">100    </w:t>
            </w:r>
            <w:r>
              <w:rPr>
                <w:szCs w:val="24"/>
                <w:lang w:eastAsia="ru-RU"/>
              </w:rPr>
              <w:br/>
              <w:t xml:space="preserve">125    </w:t>
            </w:r>
            <w:r>
              <w:rPr>
                <w:szCs w:val="24"/>
                <w:lang w:eastAsia="ru-RU"/>
              </w:rPr>
              <w:br/>
              <w:t xml:space="preserve">150    </w:t>
            </w:r>
            <w:r>
              <w:rPr>
                <w:szCs w:val="24"/>
                <w:lang w:eastAsia="ru-RU"/>
              </w:rPr>
              <w:br/>
              <w:t xml:space="preserve">200    </w:t>
            </w:r>
            <w:r>
              <w:rPr>
                <w:szCs w:val="24"/>
                <w:lang w:eastAsia="ru-RU"/>
              </w:rPr>
              <w:br/>
              <w:t xml:space="preserve">250    </w:t>
            </w:r>
            <w:r>
              <w:rPr>
                <w:szCs w:val="24"/>
                <w:lang w:eastAsia="ru-RU"/>
              </w:rPr>
              <w:br/>
              <w:t xml:space="preserve">300    </w:t>
            </w:r>
            <w:r>
              <w:rPr>
                <w:szCs w:val="24"/>
                <w:lang w:eastAsia="ru-RU"/>
              </w:rPr>
              <w:br/>
              <w:t xml:space="preserve">350    </w:t>
            </w:r>
            <w:r>
              <w:rPr>
                <w:szCs w:val="24"/>
                <w:lang w:eastAsia="ru-RU"/>
              </w:rPr>
              <w:br/>
              <w:t xml:space="preserve">400    </w:t>
            </w:r>
            <w:r>
              <w:rPr>
                <w:szCs w:val="24"/>
                <w:lang w:eastAsia="ru-RU"/>
              </w:rPr>
              <w:br/>
              <w:t xml:space="preserve">450    </w:t>
            </w:r>
            <w:r>
              <w:rPr>
                <w:szCs w:val="24"/>
                <w:lang w:eastAsia="ru-RU"/>
              </w:rPr>
              <w:br/>
              <w:t xml:space="preserve">500    </w:t>
            </w:r>
            <w:r>
              <w:rPr>
                <w:szCs w:val="24"/>
                <w:lang w:eastAsia="ru-RU"/>
              </w:rPr>
              <w:br/>
              <w:t xml:space="preserve">600    </w:t>
            </w:r>
            <w:r>
              <w:rPr>
                <w:szCs w:val="24"/>
                <w:lang w:eastAsia="ru-RU"/>
              </w:rPr>
              <w:br/>
              <w:t xml:space="preserve">700    </w:t>
            </w:r>
            <w:r>
              <w:rPr>
                <w:szCs w:val="24"/>
                <w:lang w:eastAsia="ru-RU"/>
              </w:rPr>
              <w:br/>
              <w:t xml:space="preserve">800</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1430" w:type="dxa"/>
            <w:vAlign w:val="center"/>
            <w:textDirection w:val="lrTb"/>
            <w:noWrap w:val="false"/>
          </w:tcPr>
          <w:p>
            <w:pPr>
              <w:jc w:val="center"/>
              <w:spacing w:line="360" w:lineRule="auto"/>
              <w:widowControl/>
              <w:rPr>
                <w:szCs w:val="24"/>
                <w:lang w:eastAsia="ru-RU"/>
              </w:rPr>
            </w:pPr>
            <w:r>
              <w:rPr>
                <w:szCs w:val="24"/>
                <w:lang w:eastAsia="ru-RU"/>
              </w:rPr>
              <w:t xml:space="preserve">18    </w:t>
            </w:r>
            <w:r>
              <w:rPr>
                <w:szCs w:val="24"/>
                <w:lang w:eastAsia="ru-RU"/>
              </w:rPr>
              <w:br/>
              <w:t xml:space="preserve">21    </w:t>
            </w:r>
            <w:r>
              <w:rPr>
                <w:szCs w:val="24"/>
                <w:lang w:eastAsia="ru-RU"/>
              </w:rPr>
              <w:br/>
              <w:t xml:space="preserve">22    </w:t>
            </w:r>
            <w:r>
              <w:rPr>
                <w:szCs w:val="24"/>
                <w:lang w:eastAsia="ru-RU"/>
              </w:rPr>
              <w:br/>
              <w:t xml:space="preserve">25    </w:t>
            </w:r>
            <w:r>
              <w:rPr>
                <w:szCs w:val="24"/>
                <w:lang w:eastAsia="ru-RU"/>
              </w:rPr>
              <w:br/>
              <w:t xml:space="preserve">28    </w:t>
            </w:r>
            <w:r>
              <w:rPr>
                <w:szCs w:val="24"/>
                <w:lang w:eastAsia="ru-RU"/>
              </w:rPr>
              <w:br/>
              <w:t xml:space="preserve">30    </w:t>
            </w:r>
            <w:r>
              <w:rPr>
                <w:szCs w:val="24"/>
                <w:lang w:eastAsia="ru-RU"/>
              </w:rPr>
              <w:br/>
              <w:t xml:space="preserve">34    </w:t>
            </w:r>
            <w:r>
              <w:rPr>
                <w:szCs w:val="24"/>
                <w:lang w:eastAsia="ru-RU"/>
              </w:rPr>
              <w:br/>
              <w:t xml:space="preserve">38    </w:t>
            </w:r>
            <w:r>
              <w:rPr>
                <w:szCs w:val="24"/>
                <w:lang w:eastAsia="ru-RU"/>
              </w:rPr>
              <w:br/>
              <w:t xml:space="preserve">42    </w:t>
            </w:r>
            <w:r>
              <w:rPr>
                <w:szCs w:val="24"/>
                <w:lang w:eastAsia="ru-RU"/>
              </w:rPr>
              <w:br/>
              <w:t xml:space="preserve">52    </w:t>
            </w:r>
            <w:r>
              <w:rPr>
                <w:szCs w:val="24"/>
                <w:lang w:eastAsia="ru-RU"/>
              </w:rPr>
              <w:br/>
              <w:t xml:space="preserve">61    </w:t>
            </w:r>
            <w:r>
              <w:rPr>
                <w:szCs w:val="24"/>
                <w:lang w:eastAsia="ru-RU"/>
              </w:rPr>
              <w:br/>
              <w:t xml:space="preserve">70    </w:t>
            </w:r>
            <w:r>
              <w:rPr>
                <w:szCs w:val="24"/>
                <w:lang w:eastAsia="ru-RU"/>
              </w:rPr>
              <w:br/>
              <w:t xml:space="preserve">77    </w:t>
            </w:r>
            <w:r>
              <w:rPr>
                <w:szCs w:val="24"/>
                <w:lang w:eastAsia="ru-RU"/>
              </w:rPr>
              <w:br/>
              <w:t xml:space="preserve">84    </w:t>
            </w:r>
            <w:r>
              <w:rPr>
                <w:szCs w:val="24"/>
                <w:lang w:eastAsia="ru-RU"/>
              </w:rPr>
              <w:br/>
              <w:t xml:space="preserve">92    </w:t>
            </w:r>
            <w:r>
              <w:rPr>
                <w:szCs w:val="24"/>
                <w:lang w:eastAsia="ru-RU"/>
              </w:rPr>
              <w:br/>
              <w:t xml:space="preserve">101    </w:t>
            </w:r>
            <w:r>
              <w:rPr>
                <w:szCs w:val="24"/>
                <w:lang w:eastAsia="ru-RU"/>
              </w:rPr>
              <w:br/>
              <w:t xml:space="preserve">115    </w:t>
            </w:r>
            <w:r>
              <w:rPr>
                <w:szCs w:val="24"/>
                <w:lang w:eastAsia="ru-RU"/>
              </w:rPr>
              <w:br/>
              <w:t xml:space="preserve">130    </w:t>
            </w:r>
            <w:r>
              <w:rPr>
                <w:szCs w:val="24"/>
                <w:lang w:eastAsia="ru-RU"/>
              </w:rPr>
              <w:br/>
              <w:t xml:space="preserve">144</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1301" w:type="dxa"/>
            <w:vAlign w:val="center"/>
            <w:textDirection w:val="lrTb"/>
            <w:noWrap w:val="false"/>
          </w:tcPr>
          <w:p>
            <w:pPr>
              <w:jc w:val="center"/>
              <w:spacing w:line="360" w:lineRule="auto"/>
              <w:widowControl/>
              <w:rPr>
                <w:szCs w:val="24"/>
                <w:lang w:eastAsia="ru-RU"/>
              </w:rPr>
            </w:pPr>
            <w:r>
              <w:rPr>
                <w:szCs w:val="24"/>
                <w:lang w:eastAsia="ru-RU"/>
              </w:rPr>
              <w:t xml:space="preserve">22    </w:t>
            </w:r>
            <w:r>
              <w:rPr>
                <w:szCs w:val="24"/>
                <w:lang w:eastAsia="ru-RU"/>
              </w:rPr>
              <w:br/>
              <w:t xml:space="preserve">25    </w:t>
            </w:r>
            <w:r>
              <w:rPr>
                <w:szCs w:val="24"/>
                <w:lang w:eastAsia="ru-RU"/>
              </w:rPr>
              <w:br/>
              <w:t xml:space="preserve">27    </w:t>
            </w:r>
            <w:r>
              <w:rPr>
                <w:szCs w:val="24"/>
                <w:lang w:eastAsia="ru-RU"/>
              </w:rPr>
              <w:br/>
              <w:t xml:space="preserve">29    </w:t>
            </w:r>
            <w:r>
              <w:rPr>
                <w:szCs w:val="24"/>
                <w:lang w:eastAsia="ru-RU"/>
              </w:rPr>
              <w:br/>
              <w:t xml:space="preserve">34    </w:t>
            </w:r>
            <w:r>
              <w:rPr>
                <w:szCs w:val="24"/>
                <w:lang w:eastAsia="ru-RU"/>
              </w:rPr>
              <w:br/>
              <w:t xml:space="preserve">36    </w:t>
            </w:r>
            <w:r>
              <w:rPr>
                <w:szCs w:val="24"/>
                <w:lang w:eastAsia="ru-RU"/>
              </w:rPr>
              <w:br/>
              <w:t xml:space="preserve">40    </w:t>
            </w:r>
            <w:r>
              <w:rPr>
                <w:szCs w:val="24"/>
                <w:lang w:eastAsia="ru-RU"/>
              </w:rPr>
              <w:br/>
              <w:t xml:space="preserve">46    </w:t>
            </w:r>
            <w:r>
              <w:rPr>
                <w:szCs w:val="24"/>
                <w:lang w:eastAsia="ru-RU"/>
              </w:rPr>
              <w:br/>
              <w:t xml:space="preserve">51    </w:t>
            </w:r>
            <w:r>
              <w:rPr>
                <w:szCs w:val="24"/>
                <w:lang w:eastAsia="ru-RU"/>
              </w:rPr>
              <w:br/>
              <w:t xml:space="preserve">61    </w:t>
            </w:r>
            <w:r>
              <w:rPr>
                <w:szCs w:val="24"/>
                <w:lang w:eastAsia="ru-RU"/>
              </w:rPr>
              <w:br/>
              <w:t xml:space="preserve">71    </w:t>
            </w:r>
            <w:r>
              <w:rPr>
                <w:szCs w:val="24"/>
                <w:lang w:eastAsia="ru-RU"/>
              </w:rPr>
              <w:br/>
              <w:t xml:space="preserve">81    </w:t>
            </w:r>
            <w:r>
              <w:rPr>
                <w:szCs w:val="24"/>
                <w:lang w:eastAsia="ru-RU"/>
              </w:rPr>
              <w:br/>
              <w:t xml:space="preserve">90    </w:t>
            </w:r>
            <w:r>
              <w:rPr>
                <w:szCs w:val="24"/>
                <w:lang w:eastAsia="ru-RU"/>
              </w:rPr>
              <w:br/>
              <w:t xml:space="preserve">99    </w:t>
            </w:r>
            <w:r>
              <w:rPr>
                <w:szCs w:val="24"/>
                <w:lang w:eastAsia="ru-RU"/>
              </w:rPr>
              <w:br/>
              <w:t xml:space="preserve">108   </w:t>
            </w:r>
            <w:r>
              <w:rPr>
                <w:szCs w:val="24"/>
                <w:lang w:eastAsia="ru-RU"/>
              </w:rPr>
              <w:br/>
              <w:t xml:space="preserve">118   </w:t>
            </w:r>
            <w:r>
              <w:rPr>
                <w:szCs w:val="24"/>
                <w:lang w:eastAsia="ru-RU"/>
              </w:rPr>
              <w:br/>
              <w:t xml:space="preserve">134   </w:t>
            </w:r>
            <w:r>
              <w:rPr>
                <w:szCs w:val="24"/>
                <w:lang w:eastAsia="ru-RU"/>
              </w:rPr>
              <w:br/>
              <w:t xml:space="preserve">151   </w:t>
            </w:r>
            <w:r>
              <w:rPr>
                <w:szCs w:val="24"/>
                <w:lang w:eastAsia="ru-RU"/>
              </w:rPr>
              <w:br/>
              <w:t xml:space="preserve">168</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1301" w:type="dxa"/>
            <w:vAlign w:val="center"/>
            <w:textDirection w:val="lrTb"/>
            <w:noWrap w:val="false"/>
          </w:tcPr>
          <w:p>
            <w:pPr>
              <w:jc w:val="center"/>
              <w:spacing w:line="360" w:lineRule="auto"/>
              <w:widowControl/>
              <w:rPr>
                <w:szCs w:val="24"/>
                <w:lang w:eastAsia="ru-RU"/>
              </w:rPr>
            </w:pPr>
            <w:r>
              <w:rPr>
                <w:szCs w:val="24"/>
                <w:lang w:eastAsia="ru-RU"/>
              </w:rPr>
              <w:t xml:space="preserve">27    </w:t>
            </w:r>
            <w:r>
              <w:rPr>
                <w:szCs w:val="24"/>
                <w:lang w:eastAsia="ru-RU"/>
              </w:rPr>
              <w:br/>
              <w:t xml:space="preserve">28    </w:t>
            </w:r>
            <w:r>
              <w:rPr>
                <w:szCs w:val="24"/>
                <w:lang w:eastAsia="ru-RU"/>
              </w:rPr>
              <w:br/>
              <w:t xml:space="preserve">30    </w:t>
            </w:r>
            <w:r>
              <w:rPr>
                <w:szCs w:val="24"/>
                <w:lang w:eastAsia="ru-RU"/>
              </w:rPr>
              <w:br/>
              <w:t xml:space="preserve">34    </w:t>
            </w:r>
            <w:r>
              <w:rPr>
                <w:szCs w:val="24"/>
                <w:lang w:eastAsia="ru-RU"/>
              </w:rPr>
              <w:br/>
              <w:t xml:space="preserve">39    </w:t>
            </w:r>
            <w:r>
              <w:rPr>
                <w:szCs w:val="24"/>
                <w:lang w:eastAsia="ru-RU"/>
              </w:rPr>
              <w:br/>
              <w:t xml:space="preserve">41    </w:t>
            </w:r>
            <w:r>
              <w:rPr>
                <w:szCs w:val="24"/>
                <w:lang w:eastAsia="ru-RU"/>
              </w:rPr>
              <w:br/>
              <w:t xml:space="preserve">46    </w:t>
            </w:r>
            <w:r>
              <w:rPr>
                <w:szCs w:val="24"/>
                <w:lang w:eastAsia="ru-RU"/>
              </w:rPr>
              <w:br/>
              <w:t xml:space="preserve">52    </w:t>
            </w:r>
            <w:r>
              <w:rPr>
                <w:szCs w:val="24"/>
                <w:lang w:eastAsia="ru-RU"/>
              </w:rPr>
              <w:br/>
              <w:t xml:space="preserve">57    </w:t>
            </w:r>
            <w:r>
              <w:rPr>
                <w:szCs w:val="24"/>
                <w:lang w:eastAsia="ru-RU"/>
              </w:rPr>
              <w:br/>
              <w:t xml:space="preserve">70    </w:t>
            </w:r>
            <w:r>
              <w:rPr>
                <w:szCs w:val="24"/>
                <w:lang w:eastAsia="ru-RU"/>
              </w:rPr>
              <w:br/>
              <w:t xml:space="preserve">81    </w:t>
            </w:r>
            <w:r>
              <w:rPr>
                <w:szCs w:val="24"/>
                <w:lang w:eastAsia="ru-RU"/>
              </w:rPr>
              <w:br/>
              <w:t xml:space="preserve">90    </w:t>
            </w:r>
            <w:r>
              <w:rPr>
                <w:szCs w:val="24"/>
                <w:lang w:eastAsia="ru-RU"/>
              </w:rPr>
              <w:br/>
              <w:t xml:space="preserve">101   </w:t>
            </w:r>
            <w:r>
              <w:rPr>
                <w:szCs w:val="24"/>
                <w:lang w:eastAsia="ru-RU"/>
              </w:rPr>
              <w:br/>
              <w:t xml:space="preserve">110   </w:t>
            </w:r>
            <w:r>
              <w:rPr>
                <w:szCs w:val="24"/>
                <w:lang w:eastAsia="ru-RU"/>
              </w:rPr>
              <w:br/>
              <w:t xml:space="preserve">120   </w:t>
            </w:r>
            <w:r>
              <w:rPr>
                <w:szCs w:val="24"/>
                <w:lang w:eastAsia="ru-RU"/>
              </w:rPr>
              <w:br/>
              <w:t xml:space="preserve">131   </w:t>
            </w:r>
            <w:r>
              <w:rPr>
                <w:szCs w:val="24"/>
                <w:lang w:eastAsia="ru-RU"/>
              </w:rPr>
              <w:br/>
              <w:t xml:space="preserve">150   </w:t>
            </w:r>
            <w:r>
              <w:rPr>
                <w:szCs w:val="24"/>
                <w:lang w:eastAsia="ru-RU"/>
              </w:rPr>
              <w:br/>
              <w:t xml:space="preserve">167   </w:t>
            </w:r>
            <w:r>
              <w:rPr>
                <w:szCs w:val="24"/>
                <w:lang w:eastAsia="ru-RU"/>
              </w:rPr>
              <w:br/>
              <w:t xml:space="preserve">186</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1301" w:type="dxa"/>
            <w:vAlign w:val="center"/>
            <w:textDirection w:val="lrTb"/>
            <w:noWrap w:val="false"/>
          </w:tcPr>
          <w:p>
            <w:pPr>
              <w:jc w:val="center"/>
              <w:spacing w:line="360" w:lineRule="auto"/>
              <w:widowControl/>
              <w:rPr>
                <w:szCs w:val="24"/>
                <w:lang w:eastAsia="ru-RU"/>
              </w:rPr>
            </w:pPr>
            <w:r>
              <w:rPr>
                <w:szCs w:val="24"/>
                <w:lang w:eastAsia="ru-RU"/>
              </w:rPr>
              <w:t xml:space="preserve">16    </w:t>
            </w:r>
            <w:r>
              <w:rPr>
                <w:szCs w:val="24"/>
                <w:lang w:eastAsia="ru-RU"/>
              </w:rPr>
              <w:br/>
              <w:t xml:space="preserve">18    </w:t>
            </w:r>
            <w:r>
              <w:rPr>
                <w:szCs w:val="24"/>
                <w:lang w:eastAsia="ru-RU"/>
              </w:rPr>
              <w:br/>
              <w:t xml:space="preserve">19    </w:t>
            </w:r>
            <w:r>
              <w:rPr>
                <w:szCs w:val="24"/>
                <w:lang w:eastAsia="ru-RU"/>
              </w:rPr>
              <w:br/>
              <w:t xml:space="preserve">22    </w:t>
            </w:r>
            <w:r>
              <w:rPr>
                <w:szCs w:val="24"/>
                <w:lang w:eastAsia="ru-RU"/>
              </w:rPr>
              <w:br/>
              <w:t xml:space="preserve">25    </w:t>
            </w:r>
            <w:r>
              <w:rPr>
                <w:szCs w:val="24"/>
                <w:lang w:eastAsia="ru-RU"/>
              </w:rPr>
              <w:br/>
              <w:t xml:space="preserve">27    </w:t>
            </w:r>
            <w:r>
              <w:rPr>
                <w:szCs w:val="24"/>
                <w:lang w:eastAsia="ru-RU"/>
              </w:rPr>
              <w:br/>
              <w:t xml:space="preserve">29    </w:t>
            </w:r>
            <w:r>
              <w:rPr>
                <w:szCs w:val="24"/>
                <w:lang w:eastAsia="ru-RU"/>
              </w:rPr>
              <w:br/>
              <w:t xml:space="preserve">34    </w:t>
            </w:r>
            <w:r>
              <w:rPr>
                <w:szCs w:val="24"/>
                <w:lang w:eastAsia="ru-RU"/>
              </w:rPr>
              <w:br/>
              <w:t xml:space="preserve">36    </w:t>
            </w:r>
            <w:r>
              <w:rPr>
                <w:szCs w:val="24"/>
                <w:lang w:eastAsia="ru-RU"/>
              </w:rPr>
              <w:br/>
              <w:t xml:space="preserve">45    </w:t>
            </w:r>
            <w:r>
              <w:rPr>
                <w:szCs w:val="24"/>
                <w:lang w:eastAsia="ru-RU"/>
              </w:rPr>
              <w:br/>
              <w:t xml:space="preserve">52    </w:t>
            </w:r>
            <w:r>
              <w:rPr>
                <w:szCs w:val="24"/>
                <w:lang w:eastAsia="ru-RU"/>
              </w:rPr>
              <w:br/>
              <w:t xml:space="preserve">58    </w:t>
            </w:r>
            <w:r>
              <w:rPr>
                <w:szCs w:val="24"/>
                <w:lang w:eastAsia="ru-RU"/>
              </w:rPr>
              <w:br/>
              <w:t xml:space="preserve">65    </w:t>
            </w:r>
            <w:r>
              <w:rPr>
                <w:szCs w:val="24"/>
                <w:lang w:eastAsia="ru-RU"/>
              </w:rPr>
              <w:br/>
              <w:t xml:space="preserve">70    </w:t>
            </w:r>
            <w:r>
              <w:rPr>
                <w:szCs w:val="24"/>
                <w:lang w:eastAsia="ru-RU"/>
              </w:rPr>
              <w:br/>
              <w:t xml:space="preserve">77    </w:t>
            </w:r>
            <w:r>
              <w:rPr>
                <w:szCs w:val="24"/>
                <w:lang w:eastAsia="ru-RU"/>
              </w:rPr>
              <w:br/>
              <w:t xml:space="preserve">83    </w:t>
            </w:r>
            <w:r>
              <w:rPr>
                <w:szCs w:val="24"/>
                <w:lang w:eastAsia="ru-RU"/>
              </w:rPr>
              <w:br/>
              <w:t xml:space="preserve">95    </w:t>
            </w:r>
            <w:r>
              <w:rPr>
                <w:szCs w:val="24"/>
                <w:lang w:eastAsia="ru-RU"/>
              </w:rPr>
              <w:br/>
              <w:t xml:space="preserve">106   </w:t>
            </w:r>
            <w:r>
              <w:rPr>
                <w:szCs w:val="24"/>
                <w:lang w:eastAsia="ru-RU"/>
              </w:rPr>
              <w:br/>
              <w:t xml:space="preserve">118</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1430" w:type="dxa"/>
            <w:vAlign w:val="center"/>
            <w:textDirection w:val="lrTb"/>
            <w:noWrap w:val="false"/>
          </w:tcPr>
          <w:p>
            <w:pPr>
              <w:jc w:val="center"/>
              <w:spacing w:line="360" w:lineRule="auto"/>
              <w:widowControl/>
              <w:rPr>
                <w:szCs w:val="24"/>
                <w:lang w:eastAsia="ru-RU"/>
              </w:rPr>
            </w:pPr>
            <w:r>
              <w:rPr>
                <w:szCs w:val="24"/>
                <w:lang w:eastAsia="ru-RU"/>
              </w:rPr>
              <w:t xml:space="preserve">21    </w:t>
            </w:r>
            <w:r>
              <w:rPr>
                <w:szCs w:val="24"/>
                <w:lang w:eastAsia="ru-RU"/>
              </w:rPr>
              <w:br/>
              <w:t xml:space="preserve">22    </w:t>
            </w:r>
            <w:r>
              <w:rPr>
                <w:szCs w:val="24"/>
                <w:lang w:eastAsia="ru-RU"/>
              </w:rPr>
              <w:br/>
              <w:t xml:space="preserve">24    </w:t>
            </w:r>
            <w:r>
              <w:rPr>
                <w:szCs w:val="24"/>
                <w:lang w:eastAsia="ru-RU"/>
              </w:rPr>
              <w:br/>
              <w:t xml:space="preserve">26    </w:t>
            </w:r>
            <w:r>
              <w:rPr>
                <w:szCs w:val="24"/>
                <w:lang w:eastAsia="ru-RU"/>
              </w:rPr>
              <w:br/>
              <w:t xml:space="preserve">30    </w:t>
            </w:r>
            <w:r>
              <w:rPr>
                <w:szCs w:val="24"/>
                <w:lang w:eastAsia="ru-RU"/>
              </w:rPr>
              <w:br/>
              <w:t xml:space="preserve">32    </w:t>
            </w:r>
            <w:r>
              <w:rPr>
                <w:szCs w:val="24"/>
                <w:lang w:eastAsia="ru-RU"/>
              </w:rPr>
              <w:br/>
              <w:t xml:space="preserve">34    </w:t>
            </w:r>
            <w:r>
              <w:rPr>
                <w:szCs w:val="24"/>
                <w:lang w:eastAsia="ru-RU"/>
              </w:rPr>
              <w:br/>
              <w:t xml:space="preserve">40    </w:t>
            </w:r>
            <w:r>
              <w:rPr>
                <w:szCs w:val="24"/>
                <w:lang w:eastAsia="ru-RU"/>
              </w:rPr>
              <w:br/>
              <w:t xml:space="preserve">43    </w:t>
            </w:r>
            <w:r>
              <w:rPr>
                <w:szCs w:val="24"/>
                <w:lang w:eastAsia="ru-RU"/>
              </w:rPr>
              <w:br/>
              <w:t xml:space="preserve">52    </w:t>
            </w:r>
            <w:r>
              <w:rPr>
                <w:szCs w:val="24"/>
                <w:lang w:eastAsia="ru-RU"/>
              </w:rPr>
              <w:br/>
              <w:t xml:space="preserve">61    </w:t>
            </w:r>
            <w:r>
              <w:rPr>
                <w:szCs w:val="24"/>
                <w:lang w:eastAsia="ru-RU"/>
              </w:rPr>
              <w:br/>
              <w:t xml:space="preserve">68    </w:t>
            </w:r>
            <w:r>
              <w:rPr>
                <w:szCs w:val="24"/>
                <w:lang w:eastAsia="ru-RU"/>
              </w:rPr>
              <w:br/>
              <w:t xml:space="preserve">76    </w:t>
            </w:r>
            <w:r>
              <w:rPr>
                <w:szCs w:val="24"/>
                <w:lang w:eastAsia="ru-RU"/>
              </w:rPr>
              <w:br/>
              <w:t xml:space="preserve">83    </w:t>
            </w:r>
            <w:r>
              <w:rPr>
                <w:szCs w:val="24"/>
                <w:lang w:eastAsia="ru-RU"/>
              </w:rPr>
              <w:br/>
              <w:t xml:space="preserve">89    </w:t>
            </w:r>
            <w:r>
              <w:rPr>
                <w:szCs w:val="24"/>
                <w:lang w:eastAsia="ru-RU"/>
              </w:rPr>
              <w:br/>
              <w:t xml:space="preserve">97    </w:t>
            </w:r>
            <w:r>
              <w:rPr>
                <w:szCs w:val="24"/>
                <w:lang w:eastAsia="ru-RU"/>
              </w:rPr>
              <w:br/>
              <w:t xml:space="preserve">111    </w:t>
            </w:r>
            <w:r>
              <w:rPr>
                <w:szCs w:val="24"/>
                <w:lang w:eastAsia="ru-RU"/>
              </w:rPr>
              <w:br/>
              <w:t xml:space="preserve">124    </w:t>
            </w:r>
            <w:r>
              <w:rPr>
                <w:szCs w:val="24"/>
                <w:lang w:eastAsia="ru-RU"/>
              </w:rPr>
              <w:br/>
              <w:t xml:space="preserve">138</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1301" w:type="dxa"/>
            <w:vAlign w:val="center"/>
            <w:textDirection w:val="lrTb"/>
            <w:noWrap w:val="false"/>
          </w:tcPr>
          <w:p>
            <w:pPr>
              <w:jc w:val="center"/>
              <w:spacing w:line="360" w:lineRule="auto"/>
              <w:widowControl/>
              <w:rPr>
                <w:szCs w:val="24"/>
                <w:lang w:eastAsia="ru-RU"/>
              </w:rPr>
            </w:pPr>
            <w:r>
              <w:rPr>
                <w:szCs w:val="24"/>
                <w:lang w:eastAsia="ru-RU"/>
              </w:rPr>
              <w:t xml:space="preserve">24    </w:t>
            </w:r>
            <w:r>
              <w:rPr>
                <w:szCs w:val="24"/>
                <w:lang w:eastAsia="ru-RU"/>
              </w:rPr>
              <w:br/>
              <w:t xml:space="preserve">26    </w:t>
            </w:r>
            <w:r>
              <w:rPr>
                <w:szCs w:val="24"/>
                <w:lang w:eastAsia="ru-RU"/>
              </w:rPr>
              <w:br/>
              <w:t xml:space="preserve">28    </w:t>
            </w:r>
            <w:r>
              <w:rPr>
                <w:szCs w:val="24"/>
                <w:lang w:eastAsia="ru-RU"/>
              </w:rPr>
              <w:br/>
              <w:t xml:space="preserve">30    </w:t>
            </w:r>
            <w:r>
              <w:rPr>
                <w:szCs w:val="24"/>
                <w:lang w:eastAsia="ru-RU"/>
              </w:rPr>
              <w:br/>
              <w:t xml:space="preserve">34    </w:t>
            </w:r>
            <w:r>
              <w:rPr>
                <w:szCs w:val="24"/>
                <w:lang w:eastAsia="ru-RU"/>
              </w:rPr>
              <w:br/>
              <w:t xml:space="preserve">37    </w:t>
            </w:r>
            <w:r>
              <w:rPr>
                <w:szCs w:val="24"/>
                <w:lang w:eastAsia="ru-RU"/>
              </w:rPr>
              <w:br/>
              <w:t xml:space="preserve">40    </w:t>
            </w:r>
            <w:r>
              <w:rPr>
                <w:szCs w:val="24"/>
                <w:lang w:eastAsia="ru-RU"/>
              </w:rPr>
              <w:br/>
              <w:t xml:space="preserve">45    </w:t>
            </w:r>
            <w:r>
              <w:rPr>
                <w:szCs w:val="24"/>
                <w:lang w:eastAsia="ru-RU"/>
              </w:rPr>
              <w:br/>
              <w:t xml:space="preserve">49    </w:t>
            </w:r>
            <w:r>
              <w:rPr>
                <w:szCs w:val="24"/>
                <w:lang w:eastAsia="ru-RU"/>
              </w:rPr>
              <w:br/>
              <w:t xml:space="preserve">60    </w:t>
            </w:r>
            <w:r>
              <w:rPr>
                <w:szCs w:val="24"/>
                <w:lang w:eastAsia="ru-RU"/>
              </w:rPr>
              <w:br/>
              <w:t xml:space="preserve">69    </w:t>
            </w:r>
            <w:r>
              <w:rPr>
                <w:szCs w:val="24"/>
                <w:lang w:eastAsia="ru-RU"/>
              </w:rPr>
              <w:br/>
              <w:t xml:space="preserve">77    </w:t>
            </w:r>
            <w:r>
              <w:rPr>
                <w:szCs w:val="24"/>
                <w:lang w:eastAsia="ru-RU"/>
              </w:rPr>
              <w:br/>
              <w:t xml:space="preserve">85    </w:t>
            </w:r>
            <w:r>
              <w:rPr>
                <w:szCs w:val="24"/>
                <w:lang w:eastAsia="ru-RU"/>
              </w:rPr>
              <w:br/>
              <w:t xml:space="preserve">93    </w:t>
            </w:r>
            <w:r>
              <w:rPr>
                <w:szCs w:val="24"/>
                <w:lang w:eastAsia="ru-RU"/>
              </w:rPr>
              <w:br/>
              <w:t xml:space="preserve">101   </w:t>
            </w:r>
            <w:r>
              <w:rPr>
                <w:szCs w:val="24"/>
                <w:lang w:eastAsia="ru-RU"/>
              </w:rPr>
              <w:br/>
              <w:t xml:space="preserve">109   </w:t>
            </w:r>
            <w:r>
              <w:rPr>
                <w:szCs w:val="24"/>
                <w:lang w:eastAsia="ru-RU"/>
              </w:rPr>
              <w:br/>
              <w:t xml:space="preserve">125   </w:t>
            </w:r>
            <w:r>
              <w:rPr>
                <w:szCs w:val="24"/>
                <w:lang w:eastAsia="ru-RU"/>
              </w:rPr>
              <w:br/>
              <w:t xml:space="preserve">138   </w:t>
            </w:r>
            <w:r>
              <w:rPr>
                <w:szCs w:val="24"/>
                <w:lang w:eastAsia="ru-RU"/>
              </w:rPr>
              <w:br/>
              <w:t xml:space="preserve">152</w:t>
            </w:r>
            <w:r>
              <w:rPr>
                <w:szCs w:val="24"/>
                <w:lang w:eastAsia="ru-RU"/>
              </w:rPr>
            </w:r>
            <w:r>
              <w:rPr>
                <w:szCs w:val="24"/>
                <w:lang w:eastAsia="ru-RU"/>
              </w:rPr>
            </w:r>
          </w:p>
        </w:tc>
      </w:tr>
    </w:tbl>
    <w:p>
      <w:pPr>
        <w:spacing w:line="360" w:lineRule="auto"/>
        <w:widowControl/>
        <w:rPr>
          <w:szCs w:val="24"/>
          <w:lang w:eastAsia="ru-RU"/>
        </w:rPr>
        <w:outlineLvl w:val="2"/>
      </w:pPr>
      <w:r>
        <w:rPr>
          <w:szCs w:val="24"/>
          <w:lang w:eastAsia="ru-RU"/>
        </w:rPr>
        <w:br w:type="page" w:clear="all"/>
      </w:r>
      <w:r>
        <w:rPr>
          <w:szCs w:val="24"/>
          <w:lang w:eastAsia="ru-RU"/>
        </w:rPr>
      </w:r>
      <w:r>
        <w:rPr>
          <w:szCs w:val="24"/>
          <w:lang w:eastAsia="ru-RU"/>
        </w:rPr>
      </w:r>
    </w:p>
    <w:p>
      <w:pPr>
        <w:pStyle w:val="1274"/>
        <w:jc w:val="right"/>
        <w:keepNext/>
        <w:rPr>
          <w:b w:val="0"/>
          <w:sz w:val="24"/>
          <w:szCs w:val="24"/>
        </w:rPr>
      </w:pPr>
      <w:r/>
      <w:bookmarkStart w:id="120" w:name="_Toc40787813"/>
      <w:r/>
      <w:bookmarkStart w:id="121" w:name="_Toc71031202"/>
      <w:r>
        <w:rPr>
          <w:b w:val="0"/>
          <w:sz w:val="24"/>
          <w:szCs w:val="24"/>
        </w:rPr>
        <w:t xml:space="preserve">Таблица </w:t>
      </w:r>
      <w:r>
        <w:rPr>
          <w:b w:val="0"/>
          <w:sz w:val="24"/>
          <w:szCs w:val="24"/>
        </w:rPr>
        <w:t xml:space="preserve">1.3.13.6</w:t>
      </w:r>
      <w:r>
        <w:rPr>
          <w:b w:val="0"/>
          <w:sz w:val="24"/>
          <w:szCs w:val="24"/>
        </w:rPr>
      </w:r>
      <w:r>
        <w:rPr>
          <w:b w:val="0"/>
          <w:sz w:val="24"/>
          <w:szCs w:val="24"/>
        </w:rPr>
      </w:r>
    </w:p>
    <w:p>
      <w:pPr>
        <w:pStyle w:val="1274"/>
        <w:keepNext/>
        <w:rPr>
          <w:b w:val="0"/>
          <w:sz w:val="24"/>
          <w:szCs w:val="24"/>
        </w:rPr>
      </w:pPr>
      <w:r>
        <w:rPr>
          <w:b w:val="0"/>
          <w:sz w:val="24"/>
          <w:szCs w:val="24"/>
        </w:rPr>
        <w:t xml:space="preserve"> Нормы тепловых потерь трубопроводов водяных тепловых сетей,</w:t>
      </w:r>
      <w:bookmarkEnd w:id="120"/>
      <w:r/>
      <w:bookmarkEnd w:id="121"/>
      <w:r>
        <w:rPr>
          <w:b w:val="0"/>
          <w:sz w:val="24"/>
          <w:szCs w:val="24"/>
        </w:rPr>
      </w:r>
      <w:r>
        <w:rPr>
          <w:b w:val="0"/>
          <w:sz w:val="24"/>
          <w:szCs w:val="24"/>
        </w:rPr>
      </w:r>
    </w:p>
    <w:p>
      <w:pPr>
        <w:pStyle w:val="1274"/>
        <w:keepNext/>
        <w:rPr>
          <w:b w:val="0"/>
          <w:sz w:val="24"/>
          <w:szCs w:val="24"/>
        </w:rPr>
      </w:pPr>
      <w:r>
        <w:rPr>
          <w:b w:val="0"/>
          <w:sz w:val="24"/>
          <w:szCs w:val="24"/>
        </w:rPr>
        <w:t xml:space="preserve">проложенных бесканально</w:t>
      </w:r>
      <w:r>
        <w:rPr>
          <w:b w:val="0"/>
          <w:sz w:val="24"/>
          <w:szCs w:val="24"/>
        </w:rPr>
      </w:r>
      <w:r>
        <w:rPr>
          <w:b w:val="0"/>
          <w:sz w:val="24"/>
          <w:szCs w:val="24"/>
        </w:rPr>
      </w:r>
    </w:p>
    <w:tbl>
      <w:tblPr>
        <w:tblW w:w="5000" w:type="pct"/>
        <w:jc w:val="center"/>
        <w:tblLayout w:type="fixed"/>
        <w:tblCellMar>
          <w:left w:w="70" w:type="dxa"/>
          <w:right w:w="70" w:type="dxa"/>
        </w:tblCellMar>
        <w:tblLook w:val="0000" w:firstRow="0" w:lastRow="0" w:firstColumn="0" w:lastColumn="0" w:noHBand="0" w:noVBand="0"/>
      </w:tblPr>
      <w:tblGrid>
        <w:gridCol w:w="1604"/>
        <w:gridCol w:w="1338"/>
        <w:gridCol w:w="1470"/>
        <w:gridCol w:w="1338"/>
        <w:gridCol w:w="1204"/>
        <w:gridCol w:w="1470"/>
        <w:gridCol w:w="1470"/>
      </w:tblGrid>
      <w:tr>
        <w:tblPrEx/>
        <w:trPr>
          <w:cantSplit/>
          <w:jc w:val="center"/>
          <w:trHeight w:val="240"/>
        </w:trPr>
        <w:tc>
          <w:tcPr>
            <w:tcBorders>
              <w:top w:val="single" w:color="auto" w:sz="6" w:space="0"/>
              <w:left w:val="single" w:color="auto" w:sz="6" w:space="0"/>
              <w:bottom w:val="none" w:color="000000" w:sz="4" w:space="0"/>
              <w:right w:val="single" w:color="auto" w:sz="6" w:space="0"/>
            </w:tcBorders>
            <w:tcW w:w="1559" w:type="dxa"/>
            <w:vAlign w:val="center"/>
            <w:vMerge w:val="restart"/>
            <w:textDirection w:val="lrTb"/>
            <w:noWrap w:val="false"/>
          </w:tcPr>
          <w:p>
            <w:pPr>
              <w:jc w:val="center"/>
              <w:spacing w:line="360" w:lineRule="auto"/>
              <w:widowControl/>
              <w:rPr>
                <w:szCs w:val="24"/>
                <w:lang w:eastAsia="ru-RU"/>
              </w:rPr>
            </w:pPr>
            <w:r>
              <w:rPr>
                <w:szCs w:val="24"/>
                <w:lang w:eastAsia="ru-RU"/>
              </w:rPr>
              <w:t xml:space="preserve">Условный  </w:t>
            </w:r>
            <w:r>
              <w:rPr>
                <w:szCs w:val="24"/>
                <w:lang w:eastAsia="ru-RU"/>
              </w:rPr>
              <w:br/>
              <w:t xml:space="preserve">диаметр,  </w:t>
            </w:r>
            <w:r>
              <w:rPr>
                <w:szCs w:val="24"/>
                <w:lang w:eastAsia="ru-RU"/>
              </w:rPr>
              <w:br/>
              <w:t xml:space="preserve">мм</w:t>
            </w:r>
            <w:r>
              <w:rPr>
                <w:szCs w:val="24"/>
                <w:lang w:eastAsia="ru-RU"/>
              </w:rPr>
            </w:r>
            <w:r>
              <w:rPr>
                <w:szCs w:val="24"/>
                <w:lang w:eastAsia="ru-RU"/>
              </w:rPr>
            </w:r>
          </w:p>
        </w:tc>
        <w:tc>
          <w:tcPr>
            <w:gridSpan w:val="6"/>
            <w:tcBorders>
              <w:top w:val="single" w:color="auto" w:sz="6" w:space="0"/>
              <w:left w:val="single" w:color="auto" w:sz="6" w:space="0"/>
              <w:bottom w:val="single" w:color="auto" w:sz="6" w:space="0"/>
              <w:right w:val="single" w:color="auto" w:sz="6" w:space="0"/>
            </w:tcBorders>
            <w:tcW w:w="8063" w:type="dxa"/>
            <w:vAlign w:val="center"/>
            <w:textDirection w:val="lrTb"/>
            <w:noWrap w:val="false"/>
          </w:tcPr>
          <w:p>
            <w:pPr>
              <w:jc w:val="center"/>
              <w:spacing w:line="360" w:lineRule="auto"/>
              <w:widowControl/>
              <w:rPr>
                <w:szCs w:val="24"/>
                <w:lang w:eastAsia="ru-RU"/>
              </w:rPr>
            </w:pPr>
            <w:r>
              <w:rPr>
                <w:szCs w:val="24"/>
                <w:lang w:eastAsia="ru-RU"/>
              </w:rPr>
              <w:t xml:space="preserve">Нормы плотности теплового потока, ккал/ч</w:t>
            </w:r>
            <w:r>
              <w:rPr>
                <w:szCs w:val="24"/>
                <w:lang w:eastAsia="ru-RU"/>
              </w:rPr>
            </w:r>
            <w:r>
              <w:rPr>
                <w:szCs w:val="24"/>
                <w:lang w:eastAsia="ru-RU"/>
              </w:rPr>
            </w:r>
          </w:p>
        </w:tc>
      </w:tr>
      <w:tr>
        <w:tblPrEx/>
        <w:trPr>
          <w:cantSplit/>
          <w:jc w:val="center"/>
          <w:trHeight w:val="480"/>
        </w:trPr>
        <w:tc>
          <w:tcPr>
            <w:tcBorders>
              <w:top w:val="none" w:color="000000" w:sz="4" w:space="0"/>
              <w:left w:val="single" w:color="auto" w:sz="6" w:space="0"/>
              <w:bottom w:val="none" w:color="000000" w:sz="4" w:space="0"/>
              <w:right w:val="single" w:color="auto" w:sz="6" w:space="0"/>
            </w:tcBorders>
            <w:tcW w:w="1559" w:type="dxa"/>
            <w:vAlign w:val="center"/>
            <w:vMerge w:val="continue"/>
            <w:textDirection w:val="lrTb"/>
            <w:noWrap w:val="false"/>
          </w:tcPr>
          <w:p>
            <w:pPr>
              <w:jc w:val="center"/>
              <w:spacing w:line="360" w:lineRule="auto"/>
              <w:widowControl/>
              <w:rPr>
                <w:szCs w:val="24"/>
                <w:lang w:eastAsia="ru-RU"/>
              </w:rPr>
            </w:pPr>
            <w:r>
              <w:rPr>
                <w:szCs w:val="24"/>
                <w:lang w:eastAsia="ru-RU"/>
              </w:rPr>
            </w:r>
            <w:r>
              <w:rPr>
                <w:szCs w:val="24"/>
                <w:lang w:eastAsia="ru-RU"/>
              </w:rPr>
            </w:r>
            <w:r>
              <w:rPr>
                <w:szCs w:val="24"/>
                <w:lang w:eastAsia="ru-RU"/>
              </w:rPr>
            </w:r>
          </w:p>
        </w:tc>
        <w:tc>
          <w:tcPr>
            <w:gridSpan w:val="3"/>
            <w:tcBorders>
              <w:top w:val="single" w:color="auto" w:sz="6" w:space="0"/>
              <w:left w:val="single" w:color="auto" w:sz="6" w:space="0"/>
              <w:bottom w:val="single" w:color="auto" w:sz="6" w:space="0"/>
              <w:right w:val="single" w:color="auto" w:sz="6" w:space="0"/>
            </w:tcBorders>
            <w:tcW w:w="4032" w:type="dxa"/>
            <w:vAlign w:val="center"/>
            <w:textDirection w:val="lrTb"/>
            <w:noWrap w:val="false"/>
          </w:tcPr>
          <w:p>
            <w:pPr>
              <w:jc w:val="center"/>
              <w:spacing w:line="360" w:lineRule="auto"/>
              <w:widowControl/>
              <w:rPr>
                <w:szCs w:val="24"/>
                <w:lang w:eastAsia="ru-RU"/>
              </w:rPr>
            </w:pPr>
            <w:r>
              <w:rPr>
                <w:szCs w:val="24"/>
                <w:lang w:eastAsia="ru-RU"/>
              </w:rPr>
              <w:t xml:space="preserve">Продолжительность       </w:t>
            </w:r>
            <w:r>
              <w:rPr>
                <w:szCs w:val="24"/>
                <w:lang w:eastAsia="ru-RU"/>
              </w:rPr>
              <w:br/>
              <w:t xml:space="preserve">эксплуатации до 5000 ч/год  </w:t>
            </w:r>
            <w:r>
              <w:rPr>
                <w:szCs w:val="24"/>
                <w:lang w:eastAsia="ru-RU"/>
              </w:rPr>
              <w:br/>
              <w:t xml:space="preserve">включительно</w:t>
            </w:r>
            <w:r>
              <w:rPr>
                <w:szCs w:val="24"/>
                <w:lang w:eastAsia="ru-RU"/>
              </w:rPr>
            </w:r>
            <w:r>
              <w:rPr>
                <w:szCs w:val="24"/>
                <w:lang w:eastAsia="ru-RU"/>
              </w:rPr>
            </w:r>
          </w:p>
        </w:tc>
        <w:tc>
          <w:tcPr>
            <w:gridSpan w:val="3"/>
            <w:tcBorders>
              <w:top w:val="single" w:color="auto" w:sz="6" w:space="0"/>
              <w:left w:val="single" w:color="auto" w:sz="6" w:space="0"/>
              <w:bottom w:val="single" w:color="auto" w:sz="6" w:space="0"/>
              <w:right w:val="single" w:color="auto" w:sz="6" w:space="0"/>
            </w:tcBorders>
            <w:tcW w:w="4031" w:type="dxa"/>
            <w:vAlign w:val="center"/>
            <w:textDirection w:val="lrTb"/>
            <w:noWrap w:val="false"/>
          </w:tcPr>
          <w:p>
            <w:pPr>
              <w:jc w:val="center"/>
              <w:spacing w:line="360" w:lineRule="auto"/>
              <w:widowControl/>
              <w:rPr>
                <w:szCs w:val="24"/>
                <w:lang w:eastAsia="ru-RU"/>
              </w:rPr>
            </w:pPr>
            <w:r>
              <w:rPr>
                <w:szCs w:val="24"/>
                <w:lang w:eastAsia="ru-RU"/>
              </w:rPr>
              <w:t xml:space="preserve">Продолжительность    </w:t>
            </w:r>
            <w:r>
              <w:rPr>
                <w:szCs w:val="24"/>
                <w:lang w:eastAsia="ru-RU"/>
              </w:rPr>
              <w:br/>
              <w:t xml:space="preserve">эксплуатации более 5000 ч/год</w:t>
            </w:r>
            <w:r>
              <w:rPr>
                <w:szCs w:val="24"/>
                <w:lang w:eastAsia="ru-RU"/>
              </w:rPr>
            </w:r>
            <w:r>
              <w:rPr>
                <w:szCs w:val="24"/>
                <w:lang w:eastAsia="ru-RU"/>
              </w:rPr>
            </w:r>
          </w:p>
        </w:tc>
      </w:tr>
      <w:tr>
        <w:tblPrEx/>
        <w:trPr>
          <w:cantSplit/>
          <w:jc w:val="center"/>
          <w:trHeight w:val="240"/>
        </w:trPr>
        <w:tc>
          <w:tcPr>
            <w:tcBorders>
              <w:top w:val="none" w:color="000000" w:sz="4" w:space="0"/>
              <w:left w:val="single" w:color="auto" w:sz="6" w:space="0"/>
              <w:bottom w:val="none" w:color="000000" w:sz="4" w:space="0"/>
              <w:right w:val="single" w:color="auto" w:sz="6" w:space="0"/>
            </w:tcBorders>
            <w:tcW w:w="1559" w:type="dxa"/>
            <w:vAlign w:val="center"/>
            <w:vMerge w:val="continue"/>
            <w:textDirection w:val="lrTb"/>
            <w:noWrap w:val="false"/>
          </w:tcPr>
          <w:p>
            <w:pPr>
              <w:jc w:val="center"/>
              <w:spacing w:line="360" w:lineRule="auto"/>
              <w:widowControl/>
              <w:rPr>
                <w:szCs w:val="24"/>
                <w:lang w:eastAsia="ru-RU"/>
              </w:rPr>
            </w:pPr>
            <w:r>
              <w:rPr>
                <w:szCs w:val="24"/>
                <w:lang w:eastAsia="ru-RU"/>
              </w:rPr>
            </w:r>
            <w:r>
              <w:rPr>
                <w:szCs w:val="24"/>
                <w:lang w:eastAsia="ru-RU"/>
              </w:rPr>
            </w:r>
            <w:r>
              <w:rPr>
                <w:szCs w:val="24"/>
                <w:lang w:eastAsia="ru-RU"/>
              </w:rPr>
            </w:r>
          </w:p>
        </w:tc>
        <w:tc>
          <w:tcPr>
            <w:gridSpan w:val="6"/>
            <w:tcBorders>
              <w:top w:val="single" w:color="auto" w:sz="6" w:space="0"/>
              <w:left w:val="single" w:color="auto" w:sz="6" w:space="0"/>
              <w:bottom w:val="single" w:color="auto" w:sz="6" w:space="0"/>
              <w:right w:val="single" w:color="auto" w:sz="6" w:space="0"/>
            </w:tcBorders>
            <w:tcW w:w="8063" w:type="dxa"/>
            <w:vAlign w:val="center"/>
            <w:textDirection w:val="lrTb"/>
            <w:noWrap w:val="false"/>
          </w:tcPr>
          <w:p>
            <w:pPr>
              <w:jc w:val="center"/>
              <w:spacing w:line="360" w:lineRule="auto"/>
              <w:widowControl/>
              <w:rPr>
                <w:szCs w:val="24"/>
                <w:lang w:eastAsia="ru-RU"/>
              </w:rPr>
            </w:pPr>
            <w:r>
              <w:rPr>
                <w:szCs w:val="24"/>
                <w:lang w:eastAsia="ru-RU"/>
              </w:rPr>
              <w:t xml:space="preserve">Температура теплоносителя, °C</w:t>
            </w:r>
            <w:r>
              <w:rPr>
                <w:szCs w:val="24"/>
                <w:lang w:eastAsia="ru-RU"/>
              </w:rPr>
            </w:r>
            <w:r>
              <w:rPr>
                <w:szCs w:val="24"/>
                <w:lang w:eastAsia="ru-RU"/>
              </w:rPr>
            </w:r>
          </w:p>
        </w:tc>
      </w:tr>
      <w:tr>
        <w:tblPrEx/>
        <w:trPr>
          <w:cantSplit/>
          <w:jc w:val="center"/>
          <w:trHeight w:val="240"/>
        </w:trPr>
        <w:tc>
          <w:tcPr>
            <w:tcBorders>
              <w:top w:val="none" w:color="000000" w:sz="4" w:space="0"/>
              <w:left w:val="single" w:color="auto" w:sz="6" w:space="0"/>
              <w:bottom w:val="single" w:color="auto" w:sz="6" w:space="0"/>
              <w:right w:val="single" w:color="auto" w:sz="6" w:space="0"/>
            </w:tcBorders>
            <w:tcW w:w="1559" w:type="dxa"/>
            <w:vAlign w:val="center"/>
            <w:vMerge w:val="continue"/>
            <w:textDirection w:val="lrTb"/>
            <w:noWrap w:val="false"/>
          </w:tcPr>
          <w:p>
            <w:pPr>
              <w:jc w:val="center"/>
              <w:spacing w:line="360" w:lineRule="auto"/>
              <w:widowControl/>
              <w:rPr>
                <w:szCs w:val="24"/>
                <w:lang w:eastAsia="ru-RU"/>
              </w:rPr>
            </w:pPr>
            <w:r>
              <w:rPr>
                <w:szCs w:val="24"/>
                <w:lang w:eastAsia="ru-RU"/>
              </w:rPr>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1301" w:type="dxa"/>
            <w:vAlign w:val="center"/>
            <w:textDirection w:val="lrTb"/>
            <w:noWrap w:val="false"/>
          </w:tcPr>
          <w:p>
            <w:pPr>
              <w:jc w:val="center"/>
              <w:spacing w:line="360" w:lineRule="auto"/>
              <w:widowControl/>
              <w:rPr>
                <w:szCs w:val="24"/>
                <w:lang w:eastAsia="ru-RU"/>
              </w:rPr>
            </w:pPr>
            <w:r>
              <w:rPr>
                <w:szCs w:val="24"/>
                <w:lang w:eastAsia="ru-RU"/>
              </w:rPr>
              <w:t xml:space="preserve">65/50</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1430" w:type="dxa"/>
            <w:vAlign w:val="center"/>
            <w:textDirection w:val="lrTb"/>
            <w:noWrap w:val="false"/>
          </w:tcPr>
          <w:p>
            <w:pPr>
              <w:jc w:val="center"/>
              <w:spacing w:line="360" w:lineRule="auto"/>
              <w:widowControl/>
              <w:rPr>
                <w:szCs w:val="24"/>
                <w:lang w:eastAsia="ru-RU"/>
              </w:rPr>
            </w:pPr>
            <w:r>
              <w:rPr>
                <w:szCs w:val="24"/>
                <w:lang w:eastAsia="ru-RU"/>
              </w:rPr>
              <w:t xml:space="preserve">90/50</w:t>
            </w:r>
            <w:r>
              <w:rPr>
                <w:szCs w:val="24"/>
                <w:lang w:eastAsia="ru-RU"/>
              </w:rPr>
            </w:r>
            <w:r>
              <w:rPr>
                <w:szCs w:val="24"/>
                <w:lang w:eastAsia="ru-RU"/>
              </w:rPr>
            </w:r>
          </w:p>
        </w:tc>
        <w:tc>
          <w:tcPr>
            <w:tcBorders>
              <w:top w:val="single" w:color="auto" w:sz="6" w:space="0"/>
              <w:left w:val="single" w:color="auto" w:sz="6" w:space="0"/>
              <w:bottom w:val="single" w:color="auto" w:sz="4" w:space="0"/>
              <w:right w:val="single" w:color="auto" w:sz="6" w:space="0"/>
            </w:tcBorders>
            <w:tcW w:w="1301" w:type="dxa"/>
            <w:vAlign w:val="center"/>
            <w:textDirection w:val="lrTb"/>
            <w:noWrap w:val="false"/>
          </w:tcPr>
          <w:p>
            <w:pPr>
              <w:jc w:val="center"/>
              <w:spacing w:line="360" w:lineRule="auto"/>
              <w:widowControl/>
              <w:rPr>
                <w:szCs w:val="24"/>
                <w:lang w:eastAsia="ru-RU"/>
              </w:rPr>
            </w:pPr>
            <w:r>
              <w:rPr>
                <w:szCs w:val="24"/>
                <w:lang w:eastAsia="ru-RU"/>
              </w:rPr>
              <w:t xml:space="preserve">110/50</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1171" w:type="dxa"/>
            <w:vAlign w:val="center"/>
            <w:textDirection w:val="lrTb"/>
            <w:noWrap w:val="false"/>
          </w:tcPr>
          <w:p>
            <w:pPr>
              <w:jc w:val="center"/>
              <w:spacing w:line="360" w:lineRule="auto"/>
              <w:widowControl/>
              <w:rPr>
                <w:szCs w:val="24"/>
                <w:lang w:eastAsia="ru-RU"/>
              </w:rPr>
            </w:pPr>
            <w:r>
              <w:rPr>
                <w:szCs w:val="24"/>
                <w:lang w:eastAsia="ru-RU"/>
              </w:rPr>
              <w:t xml:space="preserve">65/50</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1430" w:type="dxa"/>
            <w:vAlign w:val="center"/>
            <w:textDirection w:val="lrTb"/>
            <w:noWrap w:val="false"/>
          </w:tcPr>
          <w:p>
            <w:pPr>
              <w:jc w:val="center"/>
              <w:spacing w:line="360" w:lineRule="auto"/>
              <w:widowControl/>
              <w:rPr>
                <w:szCs w:val="24"/>
                <w:lang w:eastAsia="ru-RU"/>
              </w:rPr>
            </w:pPr>
            <w:r>
              <w:rPr>
                <w:szCs w:val="24"/>
                <w:lang w:eastAsia="ru-RU"/>
              </w:rPr>
              <w:t xml:space="preserve">90/50</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1430" w:type="dxa"/>
            <w:vAlign w:val="center"/>
            <w:textDirection w:val="lrTb"/>
            <w:noWrap w:val="false"/>
          </w:tcPr>
          <w:p>
            <w:pPr>
              <w:jc w:val="center"/>
              <w:spacing w:line="360" w:lineRule="auto"/>
              <w:widowControl/>
              <w:rPr>
                <w:szCs w:val="24"/>
                <w:lang w:eastAsia="ru-RU"/>
              </w:rPr>
            </w:pPr>
            <w:r>
              <w:rPr>
                <w:szCs w:val="24"/>
                <w:lang w:eastAsia="ru-RU"/>
              </w:rPr>
              <w:t xml:space="preserve">110/50</w:t>
            </w:r>
            <w:r>
              <w:rPr>
                <w:szCs w:val="24"/>
                <w:lang w:eastAsia="ru-RU"/>
              </w:rPr>
            </w:r>
            <w:r>
              <w:rPr>
                <w:szCs w:val="24"/>
                <w:lang w:eastAsia="ru-RU"/>
              </w:rPr>
            </w:r>
          </w:p>
        </w:tc>
      </w:tr>
      <w:tr>
        <w:tblPrEx/>
        <w:trPr>
          <w:cantSplit/>
          <w:jc w:val="center"/>
          <w:trHeight w:val="2880"/>
        </w:trPr>
        <w:tc>
          <w:tcPr>
            <w:tcBorders>
              <w:top w:val="single" w:color="auto" w:sz="6" w:space="0"/>
              <w:left w:val="single" w:color="auto" w:sz="6" w:space="0"/>
              <w:bottom w:val="single" w:color="auto" w:sz="6" w:space="0"/>
              <w:right w:val="single" w:color="auto" w:sz="6" w:space="0"/>
            </w:tcBorders>
            <w:tcW w:w="1559" w:type="dxa"/>
            <w:vAlign w:val="center"/>
            <w:textDirection w:val="lrTb"/>
            <w:noWrap w:val="false"/>
          </w:tcPr>
          <w:p>
            <w:pPr>
              <w:jc w:val="center"/>
              <w:spacing w:line="360" w:lineRule="auto"/>
              <w:widowControl/>
              <w:rPr>
                <w:szCs w:val="24"/>
                <w:lang w:eastAsia="ru-RU"/>
              </w:rPr>
            </w:pPr>
            <w:r>
              <w:rPr>
                <w:szCs w:val="24"/>
                <w:lang w:eastAsia="ru-RU"/>
              </w:rPr>
              <w:t xml:space="preserve">25     </w:t>
            </w:r>
            <w:r>
              <w:rPr>
                <w:szCs w:val="24"/>
                <w:lang w:eastAsia="ru-RU"/>
              </w:rPr>
              <w:br/>
              <w:t xml:space="preserve">32     </w:t>
            </w:r>
            <w:r>
              <w:rPr>
                <w:szCs w:val="24"/>
                <w:lang w:eastAsia="ru-RU"/>
              </w:rPr>
              <w:br/>
              <w:t xml:space="preserve">40     </w:t>
            </w:r>
            <w:r>
              <w:rPr>
                <w:szCs w:val="24"/>
                <w:lang w:eastAsia="ru-RU"/>
              </w:rPr>
              <w:br/>
              <w:t xml:space="preserve">50     </w:t>
            </w:r>
            <w:r>
              <w:rPr>
                <w:szCs w:val="24"/>
                <w:lang w:eastAsia="ru-RU"/>
              </w:rPr>
              <w:br/>
              <w:t xml:space="preserve">65     </w:t>
            </w:r>
            <w:r>
              <w:rPr>
                <w:szCs w:val="24"/>
                <w:lang w:eastAsia="ru-RU"/>
              </w:rPr>
              <w:br/>
              <w:t xml:space="preserve">80     </w:t>
            </w:r>
            <w:r>
              <w:rPr>
                <w:szCs w:val="24"/>
                <w:lang w:eastAsia="ru-RU"/>
              </w:rPr>
              <w:br/>
              <w:t xml:space="preserve">100    </w:t>
            </w:r>
            <w:r>
              <w:rPr>
                <w:szCs w:val="24"/>
                <w:lang w:eastAsia="ru-RU"/>
              </w:rPr>
              <w:br/>
              <w:t xml:space="preserve">125    </w:t>
            </w:r>
            <w:r>
              <w:rPr>
                <w:szCs w:val="24"/>
                <w:lang w:eastAsia="ru-RU"/>
              </w:rPr>
              <w:br/>
              <w:t xml:space="preserve">150    </w:t>
            </w:r>
            <w:r>
              <w:rPr>
                <w:szCs w:val="24"/>
                <w:lang w:eastAsia="ru-RU"/>
              </w:rPr>
              <w:br/>
              <w:t xml:space="preserve">200    </w:t>
            </w:r>
            <w:r>
              <w:rPr>
                <w:szCs w:val="24"/>
                <w:lang w:eastAsia="ru-RU"/>
              </w:rPr>
              <w:br/>
              <w:t xml:space="preserve">250    </w:t>
            </w:r>
            <w:r>
              <w:rPr>
                <w:szCs w:val="24"/>
                <w:lang w:eastAsia="ru-RU"/>
              </w:rPr>
              <w:br/>
              <w:t xml:space="preserve">300    </w:t>
            </w:r>
            <w:r>
              <w:rPr>
                <w:szCs w:val="24"/>
                <w:lang w:eastAsia="ru-RU"/>
              </w:rPr>
              <w:br/>
              <w:t xml:space="preserve">350    </w:t>
            </w:r>
            <w:r>
              <w:rPr>
                <w:szCs w:val="24"/>
                <w:lang w:eastAsia="ru-RU"/>
              </w:rPr>
              <w:br/>
              <w:t xml:space="preserve">400    </w:t>
            </w:r>
            <w:r>
              <w:rPr>
                <w:szCs w:val="24"/>
                <w:lang w:eastAsia="ru-RU"/>
              </w:rPr>
              <w:br/>
              <w:t xml:space="preserve">450    </w:t>
            </w:r>
            <w:r>
              <w:rPr>
                <w:szCs w:val="24"/>
                <w:lang w:eastAsia="ru-RU"/>
              </w:rPr>
              <w:br/>
              <w:t xml:space="preserve">500    </w:t>
            </w:r>
            <w:r>
              <w:rPr>
                <w:szCs w:val="24"/>
                <w:lang w:eastAsia="ru-RU"/>
              </w:rPr>
              <w:br/>
              <w:t xml:space="preserve">600    </w:t>
            </w:r>
            <w:r>
              <w:rPr>
                <w:szCs w:val="24"/>
                <w:lang w:eastAsia="ru-RU"/>
              </w:rPr>
              <w:br/>
              <w:t xml:space="preserve">700    </w:t>
            </w:r>
            <w:r>
              <w:rPr>
                <w:szCs w:val="24"/>
                <w:lang w:eastAsia="ru-RU"/>
              </w:rPr>
              <w:br/>
              <w:t xml:space="preserve">800</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1301" w:type="dxa"/>
            <w:vAlign w:val="center"/>
            <w:textDirection w:val="lrTb"/>
            <w:noWrap w:val="false"/>
          </w:tcPr>
          <w:p>
            <w:pPr>
              <w:jc w:val="center"/>
              <w:spacing w:line="360" w:lineRule="auto"/>
              <w:widowControl/>
              <w:rPr>
                <w:szCs w:val="24"/>
                <w:lang w:eastAsia="ru-RU"/>
              </w:rPr>
            </w:pPr>
            <w:r>
              <w:rPr>
                <w:szCs w:val="24"/>
                <w:lang w:eastAsia="ru-RU"/>
              </w:rPr>
              <w:t xml:space="preserve">26    </w:t>
            </w:r>
            <w:r>
              <w:rPr>
                <w:szCs w:val="24"/>
                <w:lang w:eastAsia="ru-RU"/>
              </w:rPr>
              <w:br/>
              <w:t xml:space="preserve">28    </w:t>
            </w:r>
            <w:r>
              <w:rPr>
                <w:szCs w:val="24"/>
                <w:lang w:eastAsia="ru-RU"/>
              </w:rPr>
              <w:br/>
              <w:t xml:space="preserve">30    </w:t>
            </w:r>
            <w:r>
              <w:rPr>
                <w:szCs w:val="24"/>
                <w:lang w:eastAsia="ru-RU"/>
              </w:rPr>
              <w:br/>
              <w:t xml:space="preserve">34    </w:t>
            </w:r>
            <w:r>
              <w:rPr>
                <w:szCs w:val="24"/>
                <w:lang w:eastAsia="ru-RU"/>
              </w:rPr>
              <w:br/>
              <w:t xml:space="preserve">40    </w:t>
            </w:r>
            <w:r>
              <w:rPr>
                <w:szCs w:val="24"/>
                <w:lang w:eastAsia="ru-RU"/>
              </w:rPr>
              <w:br/>
              <w:t xml:space="preserve">44    </w:t>
            </w:r>
            <w:r>
              <w:rPr>
                <w:szCs w:val="24"/>
                <w:lang w:eastAsia="ru-RU"/>
              </w:rPr>
              <w:br/>
              <w:t xml:space="preserve">49    </w:t>
            </w:r>
            <w:r>
              <w:rPr>
                <w:szCs w:val="24"/>
                <w:lang w:eastAsia="ru-RU"/>
              </w:rPr>
              <w:br/>
              <w:t xml:space="preserve">56    </w:t>
            </w:r>
            <w:r>
              <w:rPr>
                <w:szCs w:val="24"/>
                <w:lang w:eastAsia="ru-RU"/>
              </w:rPr>
              <w:br/>
              <w:t xml:space="preserve">64    </w:t>
            </w:r>
            <w:r>
              <w:rPr>
                <w:szCs w:val="24"/>
                <w:lang w:eastAsia="ru-RU"/>
              </w:rPr>
              <w:br/>
              <w:t xml:space="preserve">80    </w:t>
            </w:r>
            <w:r>
              <w:rPr>
                <w:szCs w:val="24"/>
                <w:lang w:eastAsia="ru-RU"/>
              </w:rPr>
              <w:br/>
              <w:t xml:space="preserve">95    </w:t>
            </w:r>
            <w:r>
              <w:rPr>
                <w:szCs w:val="24"/>
                <w:lang w:eastAsia="ru-RU"/>
              </w:rPr>
              <w:br/>
              <w:t xml:space="preserve">108   </w:t>
            </w:r>
            <w:r>
              <w:rPr>
                <w:szCs w:val="24"/>
                <w:lang w:eastAsia="ru-RU"/>
              </w:rPr>
              <w:br/>
              <w:t xml:space="preserve">120   </w:t>
            </w:r>
            <w:r>
              <w:rPr>
                <w:szCs w:val="24"/>
                <w:lang w:eastAsia="ru-RU"/>
              </w:rPr>
              <w:br/>
              <w:t xml:space="preserve">134   </w:t>
            </w:r>
            <w:r>
              <w:rPr>
                <w:szCs w:val="24"/>
                <w:lang w:eastAsia="ru-RU"/>
              </w:rPr>
              <w:br/>
              <w:t xml:space="preserve">148   </w:t>
            </w:r>
            <w:r>
              <w:rPr>
                <w:szCs w:val="24"/>
                <w:lang w:eastAsia="ru-RU"/>
              </w:rPr>
              <w:br/>
              <w:t xml:space="preserve">163   </w:t>
            </w:r>
            <w:r>
              <w:rPr>
                <w:szCs w:val="24"/>
                <w:lang w:eastAsia="ru-RU"/>
              </w:rPr>
              <w:br/>
              <w:t xml:space="preserve">188   </w:t>
            </w:r>
            <w:r>
              <w:rPr>
                <w:szCs w:val="24"/>
                <w:lang w:eastAsia="ru-RU"/>
              </w:rPr>
              <w:br/>
              <w:t xml:space="preserve">212   </w:t>
            </w:r>
            <w:r>
              <w:rPr>
                <w:szCs w:val="24"/>
                <w:lang w:eastAsia="ru-RU"/>
              </w:rPr>
              <w:br/>
              <w:t xml:space="preserve">239</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4" w:space="0"/>
            </w:tcBorders>
            <w:tcW w:w="1430" w:type="dxa"/>
            <w:vAlign w:val="center"/>
            <w:textDirection w:val="lrTb"/>
            <w:noWrap w:val="false"/>
          </w:tcPr>
          <w:p>
            <w:pPr>
              <w:jc w:val="center"/>
              <w:spacing w:line="360" w:lineRule="auto"/>
              <w:widowControl/>
              <w:rPr>
                <w:szCs w:val="24"/>
                <w:lang w:eastAsia="ru-RU"/>
              </w:rPr>
            </w:pPr>
            <w:r>
              <w:rPr>
                <w:szCs w:val="24"/>
                <w:lang w:eastAsia="ru-RU"/>
              </w:rPr>
              <w:t xml:space="preserve">30    </w:t>
            </w:r>
            <w:r>
              <w:rPr>
                <w:szCs w:val="24"/>
                <w:lang w:eastAsia="ru-RU"/>
              </w:rPr>
              <w:br/>
              <w:t xml:space="preserve">33    </w:t>
            </w:r>
            <w:r>
              <w:rPr>
                <w:szCs w:val="24"/>
                <w:lang w:eastAsia="ru-RU"/>
              </w:rPr>
              <w:br/>
              <w:t xml:space="preserve">35    </w:t>
            </w:r>
            <w:r>
              <w:rPr>
                <w:szCs w:val="24"/>
                <w:lang w:eastAsia="ru-RU"/>
              </w:rPr>
              <w:br/>
              <w:t xml:space="preserve">40    </w:t>
            </w:r>
            <w:r>
              <w:rPr>
                <w:szCs w:val="24"/>
                <w:lang w:eastAsia="ru-RU"/>
              </w:rPr>
              <w:br/>
              <w:t xml:space="preserve">47    </w:t>
            </w:r>
            <w:r>
              <w:rPr>
                <w:szCs w:val="24"/>
                <w:lang w:eastAsia="ru-RU"/>
              </w:rPr>
              <w:br/>
              <w:t xml:space="preserve">52    </w:t>
            </w:r>
            <w:r>
              <w:rPr>
                <w:szCs w:val="24"/>
                <w:lang w:eastAsia="ru-RU"/>
              </w:rPr>
              <w:br/>
              <w:t xml:space="preserve">58    </w:t>
            </w:r>
            <w:r>
              <w:rPr>
                <w:szCs w:val="24"/>
                <w:lang w:eastAsia="ru-RU"/>
              </w:rPr>
              <w:br/>
              <w:t xml:space="preserve">65    </w:t>
            </w:r>
            <w:r>
              <w:rPr>
                <w:szCs w:val="24"/>
                <w:lang w:eastAsia="ru-RU"/>
              </w:rPr>
              <w:br/>
              <w:t xml:space="preserve">74    </w:t>
            </w:r>
            <w:r>
              <w:rPr>
                <w:szCs w:val="24"/>
                <w:lang w:eastAsia="ru-RU"/>
              </w:rPr>
              <w:br/>
              <w:t xml:space="preserve">92    </w:t>
            </w:r>
            <w:r>
              <w:rPr>
                <w:szCs w:val="24"/>
                <w:lang w:eastAsia="ru-RU"/>
              </w:rPr>
              <w:br/>
              <w:t xml:space="preserve">108    </w:t>
            </w:r>
            <w:r>
              <w:rPr>
                <w:szCs w:val="24"/>
                <w:lang w:eastAsia="ru-RU"/>
              </w:rPr>
              <w:br/>
              <w:t xml:space="preserve">124    </w:t>
            </w:r>
            <w:r>
              <w:rPr>
                <w:szCs w:val="24"/>
                <w:lang w:eastAsia="ru-RU"/>
              </w:rPr>
              <w:br/>
              <w:t xml:space="preserve">139    </w:t>
            </w:r>
            <w:r>
              <w:rPr>
                <w:szCs w:val="24"/>
                <w:lang w:eastAsia="ru-RU"/>
              </w:rPr>
              <w:br/>
              <w:t xml:space="preserve">152    </w:t>
            </w:r>
            <w:r>
              <w:rPr>
                <w:szCs w:val="24"/>
                <w:lang w:eastAsia="ru-RU"/>
              </w:rPr>
              <w:br/>
              <w:t xml:space="preserve">169    </w:t>
            </w:r>
            <w:r>
              <w:rPr>
                <w:szCs w:val="24"/>
                <w:lang w:eastAsia="ru-RU"/>
              </w:rPr>
              <w:br/>
              <w:t xml:space="preserve">184    </w:t>
            </w:r>
            <w:r>
              <w:rPr>
                <w:szCs w:val="24"/>
                <w:lang w:eastAsia="ru-RU"/>
              </w:rPr>
              <w:br/>
              <w:t xml:space="preserve">214    </w:t>
            </w:r>
            <w:r>
              <w:rPr>
                <w:szCs w:val="24"/>
                <w:lang w:eastAsia="ru-RU"/>
              </w:rPr>
              <w:br/>
              <w:t xml:space="preserve">249    </w:t>
            </w:r>
            <w:r>
              <w:rPr>
                <w:szCs w:val="24"/>
                <w:lang w:eastAsia="ru-RU"/>
              </w:rPr>
              <w:br/>
              <w:t xml:space="preserve">268</w:t>
            </w:r>
            <w:r>
              <w:rPr>
                <w:szCs w:val="24"/>
                <w:lang w:eastAsia="ru-RU"/>
              </w:rPr>
            </w:r>
            <w:r>
              <w:rPr>
                <w:szCs w:val="24"/>
                <w:lang w:eastAsia="ru-RU"/>
              </w:rPr>
            </w:r>
          </w:p>
        </w:tc>
        <w:tc>
          <w:tcPr>
            <w:tcBorders>
              <w:top w:val="single" w:color="auto" w:sz="4" w:space="0"/>
              <w:left w:val="single" w:color="auto" w:sz="4" w:space="0"/>
              <w:bottom w:val="single" w:color="auto" w:sz="4" w:space="0"/>
              <w:right w:val="single" w:color="auto" w:sz="4" w:space="0"/>
            </w:tcBorders>
            <w:tcW w:w="1301" w:type="dxa"/>
            <w:vAlign w:val="center"/>
            <w:textDirection w:val="lrTb"/>
            <w:noWrap w:val="false"/>
          </w:tcPr>
          <w:p>
            <w:pPr>
              <w:jc w:val="center"/>
              <w:spacing w:line="360" w:lineRule="auto"/>
              <w:widowControl/>
              <w:rPr>
                <w:szCs w:val="24"/>
                <w:lang w:eastAsia="ru-RU"/>
              </w:rPr>
            </w:pPr>
            <w:r>
              <w:rPr>
                <w:szCs w:val="24"/>
                <w:lang w:eastAsia="ru-RU"/>
              </w:rPr>
              <w:t xml:space="preserve">34    </w:t>
            </w:r>
            <w:r>
              <w:rPr>
                <w:szCs w:val="24"/>
                <w:lang w:eastAsia="ru-RU"/>
              </w:rPr>
              <w:br/>
              <w:t xml:space="preserve">37    </w:t>
            </w:r>
            <w:r>
              <w:rPr>
                <w:szCs w:val="24"/>
                <w:lang w:eastAsia="ru-RU"/>
              </w:rPr>
              <w:br/>
              <w:t xml:space="preserve">40    </w:t>
            </w:r>
            <w:r>
              <w:rPr>
                <w:szCs w:val="24"/>
                <w:lang w:eastAsia="ru-RU"/>
              </w:rPr>
              <w:br/>
              <w:t xml:space="preserve">46    </w:t>
            </w:r>
            <w:r>
              <w:rPr>
                <w:szCs w:val="24"/>
                <w:lang w:eastAsia="ru-RU"/>
              </w:rPr>
              <w:br/>
              <w:t xml:space="preserve">52    </w:t>
            </w:r>
            <w:r>
              <w:rPr>
                <w:szCs w:val="24"/>
                <w:lang w:eastAsia="ru-RU"/>
              </w:rPr>
              <w:br/>
              <w:t xml:space="preserve">57    </w:t>
            </w:r>
            <w:r>
              <w:rPr>
                <w:szCs w:val="24"/>
                <w:lang w:eastAsia="ru-RU"/>
              </w:rPr>
              <w:br/>
              <w:t xml:space="preserve">64    </w:t>
            </w:r>
            <w:r>
              <w:rPr>
                <w:szCs w:val="24"/>
                <w:lang w:eastAsia="ru-RU"/>
              </w:rPr>
              <w:br/>
              <w:t xml:space="preserve">72    </w:t>
            </w:r>
            <w:r>
              <w:rPr>
                <w:szCs w:val="24"/>
                <w:lang w:eastAsia="ru-RU"/>
              </w:rPr>
              <w:br/>
              <w:t xml:space="preserve">81    </w:t>
            </w:r>
            <w:r>
              <w:rPr>
                <w:szCs w:val="24"/>
                <w:lang w:eastAsia="ru-RU"/>
              </w:rPr>
              <w:br/>
              <w:t xml:space="preserve">101   </w:t>
            </w:r>
            <w:r>
              <w:rPr>
                <w:szCs w:val="24"/>
                <w:lang w:eastAsia="ru-RU"/>
              </w:rPr>
              <w:br/>
              <w:t xml:space="preserve">119   </w:t>
            </w:r>
            <w:r>
              <w:rPr>
                <w:szCs w:val="24"/>
                <w:lang w:eastAsia="ru-RU"/>
              </w:rPr>
              <w:br/>
              <w:t xml:space="preserve">135   </w:t>
            </w:r>
            <w:r>
              <w:rPr>
                <w:szCs w:val="24"/>
                <w:lang w:eastAsia="ru-RU"/>
              </w:rPr>
              <w:br/>
              <w:t xml:space="preserve">152   </w:t>
            </w:r>
            <w:r>
              <w:rPr>
                <w:szCs w:val="24"/>
                <w:lang w:eastAsia="ru-RU"/>
              </w:rPr>
              <w:br/>
              <w:t xml:space="preserve">167   </w:t>
            </w:r>
            <w:r>
              <w:rPr>
                <w:szCs w:val="24"/>
                <w:lang w:eastAsia="ru-RU"/>
              </w:rPr>
              <w:br/>
              <w:t xml:space="preserve">183   </w:t>
            </w:r>
            <w:r>
              <w:rPr>
                <w:szCs w:val="24"/>
                <w:lang w:eastAsia="ru-RU"/>
              </w:rPr>
              <w:br/>
              <w:t xml:space="preserve">200   </w:t>
            </w:r>
            <w:r>
              <w:rPr>
                <w:szCs w:val="24"/>
                <w:lang w:eastAsia="ru-RU"/>
              </w:rPr>
              <w:br/>
              <w:t xml:space="preserve">231   </w:t>
            </w:r>
            <w:r>
              <w:rPr>
                <w:szCs w:val="24"/>
                <w:lang w:eastAsia="ru-RU"/>
              </w:rPr>
              <w:br/>
              <w:t xml:space="preserve">260   </w:t>
            </w:r>
            <w:r>
              <w:rPr>
                <w:szCs w:val="24"/>
                <w:lang w:eastAsia="ru-RU"/>
              </w:rPr>
              <w:br/>
              <w:t xml:space="preserve">293</w:t>
            </w:r>
            <w:r>
              <w:rPr>
                <w:szCs w:val="24"/>
                <w:lang w:eastAsia="ru-RU"/>
              </w:rPr>
            </w:r>
            <w:r>
              <w:rPr>
                <w:szCs w:val="24"/>
                <w:lang w:eastAsia="ru-RU"/>
              </w:rPr>
            </w:r>
          </w:p>
        </w:tc>
        <w:tc>
          <w:tcPr>
            <w:tcBorders>
              <w:top w:val="single" w:color="auto" w:sz="6" w:space="0"/>
              <w:left w:val="single" w:color="auto" w:sz="4" w:space="0"/>
              <w:bottom w:val="single" w:color="auto" w:sz="6" w:space="0"/>
              <w:right w:val="single" w:color="auto" w:sz="6" w:space="0"/>
            </w:tcBorders>
            <w:tcW w:w="1171" w:type="dxa"/>
            <w:vAlign w:val="center"/>
            <w:textDirection w:val="lrTb"/>
            <w:noWrap w:val="false"/>
          </w:tcPr>
          <w:p>
            <w:pPr>
              <w:jc w:val="center"/>
              <w:spacing w:line="360" w:lineRule="auto"/>
              <w:widowControl/>
              <w:rPr>
                <w:szCs w:val="24"/>
                <w:lang w:eastAsia="ru-RU"/>
              </w:rPr>
            </w:pPr>
            <w:r>
              <w:rPr>
                <w:szCs w:val="24"/>
                <w:lang w:eastAsia="ru-RU"/>
              </w:rPr>
              <w:t xml:space="preserve">23   </w:t>
            </w:r>
            <w:r>
              <w:rPr>
                <w:szCs w:val="24"/>
                <w:lang w:eastAsia="ru-RU"/>
              </w:rPr>
              <w:br/>
              <w:t xml:space="preserve">25   </w:t>
            </w:r>
            <w:r>
              <w:rPr>
                <w:szCs w:val="24"/>
                <w:lang w:eastAsia="ru-RU"/>
              </w:rPr>
              <w:br/>
              <w:t xml:space="preserve">27   </w:t>
            </w:r>
            <w:r>
              <w:rPr>
                <w:szCs w:val="24"/>
                <w:lang w:eastAsia="ru-RU"/>
              </w:rPr>
              <w:br/>
              <w:t xml:space="preserve">30   </w:t>
            </w:r>
            <w:r>
              <w:rPr>
                <w:szCs w:val="24"/>
                <w:lang w:eastAsia="ru-RU"/>
              </w:rPr>
              <w:br/>
              <w:t xml:space="preserve">35   </w:t>
            </w:r>
            <w:r>
              <w:rPr>
                <w:szCs w:val="24"/>
                <w:lang w:eastAsia="ru-RU"/>
              </w:rPr>
              <w:br/>
              <w:t xml:space="preserve">39   </w:t>
            </w:r>
            <w:r>
              <w:rPr>
                <w:szCs w:val="24"/>
                <w:lang w:eastAsia="ru-RU"/>
              </w:rPr>
              <w:br/>
              <w:t xml:space="preserve">42   </w:t>
            </w:r>
            <w:r>
              <w:rPr>
                <w:szCs w:val="24"/>
                <w:lang w:eastAsia="ru-RU"/>
              </w:rPr>
              <w:br/>
              <w:t xml:space="preserve">48   </w:t>
            </w:r>
            <w:r>
              <w:rPr>
                <w:szCs w:val="24"/>
                <w:lang w:eastAsia="ru-RU"/>
              </w:rPr>
              <w:br/>
              <w:t xml:space="preserve">54   </w:t>
            </w:r>
            <w:r>
              <w:rPr>
                <w:szCs w:val="24"/>
                <w:lang w:eastAsia="ru-RU"/>
              </w:rPr>
              <w:br/>
              <w:t xml:space="preserve">66   </w:t>
            </w:r>
            <w:r>
              <w:rPr>
                <w:szCs w:val="24"/>
                <w:lang w:eastAsia="ru-RU"/>
              </w:rPr>
              <w:br/>
              <w:t xml:space="preserve">79   </w:t>
            </w:r>
            <w:r>
              <w:rPr>
                <w:szCs w:val="24"/>
                <w:lang w:eastAsia="ru-RU"/>
              </w:rPr>
              <w:br/>
              <w:t xml:space="preserve">90   </w:t>
            </w:r>
            <w:r>
              <w:rPr>
                <w:szCs w:val="24"/>
                <w:lang w:eastAsia="ru-RU"/>
              </w:rPr>
              <w:br/>
              <w:t xml:space="preserve">101   </w:t>
            </w:r>
            <w:r>
              <w:rPr>
                <w:szCs w:val="24"/>
                <w:lang w:eastAsia="ru-RU"/>
              </w:rPr>
              <w:br/>
              <w:t xml:space="preserve">112   </w:t>
            </w:r>
            <w:r>
              <w:rPr>
                <w:szCs w:val="24"/>
                <w:lang w:eastAsia="ru-RU"/>
              </w:rPr>
              <w:br/>
              <w:t xml:space="preserve">122   </w:t>
            </w:r>
            <w:r>
              <w:rPr>
                <w:szCs w:val="24"/>
                <w:lang w:eastAsia="ru-RU"/>
              </w:rPr>
              <w:br/>
              <w:t xml:space="preserve">134   </w:t>
            </w:r>
            <w:r>
              <w:rPr>
                <w:szCs w:val="24"/>
                <w:lang w:eastAsia="ru-RU"/>
              </w:rPr>
              <w:br/>
              <w:t xml:space="preserve">154   </w:t>
            </w:r>
            <w:r>
              <w:rPr>
                <w:szCs w:val="24"/>
                <w:lang w:eastAsia="ru-RU"/>
              </w:rPr>
              <w:br/>
              <w:t xml:space="preserve">173   </w:t>
            </w:r>
            <w:r>
              <w:rPr>
                <w:szCs w:val="24"/>
                <w:lang w:eastAsia="ru-RU"/>
              </w:rPr>
              <w:br/>
              <w:t xml:space="preserve">194</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1430" w:type="dxa"/>
            <w:vAlign w:val="center"/>
            <w:textDirection w:val="lrTb"/>
            <w:noWrap w:val="false"/>
          </w:tcPr>
          <w:p>
            <w:pPr>
              <w:jc w:val="center"/>
              <w:spacing w:line="360" w:lineRule="auto"/>
              <w:widowControl/>
              <w:rPr>
                <w:szCs w:val="24"/>
                <w:lang w:eastAsia="ru-RU"/>
              </w:rPr>
            </w:pPr>
            <w:r>
              <w:rPr>
                <w:szCs w:val="24"/>
                <w:lang w:eastAsia="ru-RU"/>
              </w:rPr>
              <w:t xml:space="preserve">28    </w:t>
            </w:r>
            <w:r>
              <w:rPr>
                <w:szCs w:val="24"/>
                <w:lang w:eastAsia="ru-RU"/>
              </w:rPr>
              <w:br/>
              <w:t xml:space="preserve">30    </w:t>
            </w:r>
            <w:r>
              <w:rPr>
                <w:szCs w:val="24"/>
                <w:lang w:eastAsia="ru-RU"/>
              </w:rPr>
              <w:br/>
              <w:t xml:space="preserve">32    </w:t>
            </w:r>
            <w:r>
              <w:rPr>
                <w:szCs w:val="24"/>
                <w:lang w:eastAsia="ru-RU"/>
              </w:rPr>
              <w:br/>
              <w:t xml:space="preserve">35    </w:t>
            </w:r>
            <w:r>
              <w:rPr>
                <w:szCs w:val="24"/>
                <w:lang w:eastAsia="ru-RU"/>
              </w:rPr>
              <w:br/>
              <w:t xml:space="preserve">42    </w:t>
            </w:r>
            <w:r>
              <w:rPr>
                <w:szCs w:val="24"/>
                <w:lang w:eastAsia="ru-RU"/>
              </w:rPr>
              <w:br/>
              <w:t xml:space="preserve">45    </w:t>
            </w:r>
            <w:r>
              <w:rPr>
                <w:szCs w:val="24"/>
                <w:lang w:eastAsia="ru-RU"/>
              </w:rPr>
              <w:br/>
              <w:t xml:space="preserve">50    </w:t>
            </w:r>
            <w:r>
              <w:rPr>
                <w:szCs w:val="24"/>
                <w:lang w:eastAsia="ru-RU"/>
              </w:rPr>
              <w:br/>
              <w:t xml:space="preserve">57    </w:t>
            </w:r>
            <w:r>
              <w:rPr>
                <w:szCs w:val="24"/>
                <w:lang w:eastAsia="ru-RU"/>
              </w:rPr>
              <w:br/>
              <w:t xml:space="preserve">63    </w:t>
            </w:r>
            <w:r>
              <w:rPr>
                <w:szCs w:val="24"/>
                <w:lang w:eastAsia="ru-RU"/>
              </w:rPr>
              <w:br/>
              <w:t xml:space="preserve">80    </w:t>
            </w:r>
            <w:r>
              <w:rPr>
                <w:szCs w:val="24"/>
                <w:lang w:eastAsia="ru-RU"/>
              </w:rPr>
              <w:br/>
              <w:t xml:space="preserve">91    </w:t>
            </w:r>
            <w:r>
              <w:rPr>
                <w:szCs w:val="24"/>
                <w:lang w:eastAsia="ru-RU"/>
              </w:rPr>
              <w:br/>
              <w:t xml:space="preserve">104    </w:t>
            </w:r>
            <w:r>
              <w:rPr>
                <w:szCs w:val="24"/>
                <w:lang w:eastAsia="ru-RU"/>
              </w:rPr>
              <w:br/>
              <w:t xml:space="preserve">116    </w:t>
            </w:r>
            <w:r>
              <w:rPr>
                <w:szCs w:val="24"/>
                <w:lang w:eastAsia="ru-RU"/>
              </w:rPr>
              <w:br/>
              <w:t xml:space="preserve">127    </w:t>
            </w:r>
            <w:r>
              <w:rPr>
                <w:szCs w:val="24"/>
                <w:lang w:eastAsia="ru-RU"/>
              </w:rPr>
              <w:br/>
              <w:t xml:space="preserve">139    </w:t>
            </w:r>
            <w:r>
              <w:rPr>
                <w:szCs w:val="24"/>
                <w:lang w:eastAsia="ru-RU"/>
              </w:rPr>
              <w:br/>
              <w:t xml:space="preserve">151    </w:t>
            </w:r>
            <w:r>
              <w:rPr>
                <w:szCs w:val="24"/>
                <w:lang w:eastAsia="ru-RU"/>
              </w:rPr>
              <w:br/>
              <w:t xml:space="preserve">176    </w:t>
            </w:r>
            <w:r>
              <w:rPr>
                <w:szCs w:val="24"/>
                <w:lang w:eastAsia="ru-RU"/>
              </w:rPr>
              <w:br/>
              <w:t xml:space="preserve">197    </w:t>
            </w:r>
            <w:r>
              <w:rPr>
                <w:szCs w:val="24"/>
                <w:lang w:eastAsia="ru-RU"/>
              </w:rPr>
              <w:br/>
              <w:t xml:space="preserve">221</w:t>
            </w:r>
            <w:r>
              <w:rPr>
                <w:szCs w:val="24"/>
                <w:lang w:eastAsia="ru-RU"/>
              </w:rPr>
            </w:r>
            <w:r>
              <w:rPr>
                <w:szCs w:val="24"/>
                <w:lang w:eastAsia="ru-RU"/>
              </w:rPr>
            </w:r>
          </w:p>
        </w:tc>
        <w:tc>
          <w:tcPr>
            <w:tcBorders>
              <w:top w:val="single" w:color="auto" w:sz="6" w:space="0"/>
              <w:left w:val="single" w:color="auto" w:sz="6" w:space="0"/>
              <w:bottom w:val="single" w:color="auto" w:sz="6" w:space="0"/>
              <w:right w:val="single" w:color="auto" w:sz="6" w:space="0"/>
            </w:tcBorders>
            <w:tcW w:w="1430" w:type="dxa"/>
            <w:vAlign w:val="center"/>
            <w:textDirection w:val="lrTb"/>
            <w:noWrap w:val="false"/>
          </w:tcPr>
          <w:p>
            <w:pPr>
              <w:jc w:val="center"/>
              <w:spacing w:line="360" w:lineRule="auto"/>
              <w:widowControl/>
              <w:rPr>
                <w:szCs w:val="24"/>
                <w:lang w:eastAsia="ru-RU"/>
              </w:rPr>
            </w:pPr>
            <w:r>
              <w:rPr>
                <w:szCs w:val="24"/>
                <w:lang w:eastAsia="ru-RU"/>
              </w:rPr>
              <w:t xml:space="preserve">31    </w:t>
            </w:r>
            <w:r>
              <w:rPr>
                <w:szCs w:val="24"/>
                <w:lang w:eastAsia="ru-RU"/>
              </w:rPr>
              <w:br/>
              <w:t xml:space="preserve">34    </w:t>
            </w:r>
            <w:r>
              <w:rPr>
                <w:szCs w:val="24"/>
                <w:lang w:eastAsia="ru-RU"/>
              </w:rPr>
              <w:br/>
              <w:t xml:space="preserve">36    </w:t>
            </w:r>
            <w:r>
              <w:rPr>
                <w:szCs w:val="24"/>
                <w:lang w:eastAsia="ru-RU"/>
              </w:rPr>
              <w:br/>
              <w:t xml:space="preserve">40    </w:t>
            </w:r>
            <w:r>
              <w:rPr>
                <w:szCs w:val="24"/>
                <w:lang w:eastAsia="ru-RU"/>
              </w:rPr>
              <w:br/>
              <w:t xml:space="preserve">46    </w:t>
            </w:r>
            <w:r>
              <w:rPr>
                <w:szCs w:val="24"/>
                <w:lang w:eastAsia="ru-RU"/>
              </w:rPr>
              <w:br/>
              <w:t xml:space="preserve">51    </w:t>
            </w:r>
            <w:r>
              <w:rPr>
                <w:szCs w:val="24"/>
                <w:lang w:eastAsia="ru-RU"/>
              </w:rPr>
              <w:br/>
              <w:t xml:space="preserve">57    </w:t>
            </w:r>
            <w:r>
              <w:rPr>
                <w:szCs w:val="24"/>
                <w:lang w:eastAsia="ru-RU"/>
              </w:rPr>
              <w:br/>
              <w:t xml:space="preserve">63    </w:t>
            </w:r>
            <w:r>
              <w:rPr>
                <w:szCs w:val="24"/>
                <w:lang w:eastAsia="ru-RU"/>
              </w:rPr>
              <w:br/>
              <w:t xml:space="preserve">71    </w:t>
            </w:r>
            <w:r>
              <w:rPr>
                <w:szCs w:val="24"/>
                <w:lang w:eastAsia="ru-RU"/>
              </w:rPr>
              <w:br/>
              <w:t xml:space="preserve">86    </w:t>
            </w:r>
            <w:r>
              <w:rPr>
                <w:szCs w:val="24"/>
                <w:lang w:eastAsia="ru-RU"/>
              </w:rPr>
              <w:br/>
              <w:t xml:space="preserve">101    </w:t>
            </w:r>
            <w:r>
              <w:rPr>
                <w:szCs w:val="24"/>
                <w:lang w:eastAsia="ru-RU"/>
              </w:rPr>
              <w:br/>
              <w:t xml:space="preserve">114    </w:t>
            </w:r>
            <w:r>
              <w:rPr>
                <w:szCs w:val="24"/>
                <w:lang w:eastAsia="ru-RU"/>
              </w:rPr>
              <w:br/>
              <w:t xml:space="preserve">127    </w:t>
            </w:r>
            <w:r>
              <w:rPr>
                <w:szCs w:val="24"/>
                <w:lang w:eastAsia="ru-RU"/>
              </w:rPr>
              <w:br/>
              <w:t xml:space="preserve">140    </w:t>
            </w:r>
            <w:r>
              <w:rPr>
                <w:szCs w:val="24"/>
                <w:lang w:eastAsia="ru-RU"/>
              </w:rPr>
              <w:br/>
              <w:t xml:space="preserve">152    </w:t>
            </w:r>
            <w:r>
              <w:rPr>
                <w:szCs w:val="24"/>
                <w:lang w:eastAsia="ru-RU"/>
              </w:rPr>
              <w:br/>
              <w:t xml:space="preserve">167    </w:t>
            </w:r>
            <w:r>
              <w:rPr>
                <w:szCs w:val="24"/>
                <w:lang w:eastAsia="ru-RU"/>
              </w:rPr>
              <w:br/>
              <w:t xml:space="preserve">192    </w:t>
            </w:r>
            <w:r>
              <w:rPr>
                <w:szCs w:val="24"/>
                <w:lang w:eastAsia="ru-RU"/>
              </w:rPr>
              <w:br/>
              <w:t xml:space="preserve">214    </w:t>
            </w:r>
            <w:r>
              <w:rPr>
                <w:szCs w:val="24"/>
                <w:lang w:eastAsia="ru-RU"/>
              </w:rPr>
              <w:br/>
              <w:t xml:space="preserve">240</w:t>
            </w:r>
            <w:r>
              <w:rPr>
                <w:szCs w:val="24"/>
                <w:lang w:eastAsia="ru-RU"/>
              </w:rPr>
            </w:r>
            <w:r>
              <w:rPr>
                <w:szCs w:val="24"/>
                <w:lang w:eastAsia="ru-RU"/>
              </w:rPr>
            </w:r>
          </w:p>
        </w:tc>
      </w:tr>
    </w:tbl>
    <w:p>
      <w:r/>
      <w:r/>
    </w:p>
    <w:p>
      <w:pPr>
        <w:pStyle w:val="1248"/>
        <w:ind w:right="265" w:firstLine="733"/>
        <w:jc w:val="left"/>
      </w:pPr>
      <w:r/>
      <w:bookmarkStart w:id="122" w:name="_bookmark77"/>
      <w:r/>
      <w:bookmarkStart w:id="123" w:name="_Toc130231902"/>
      <w:r/>
      <w:bookmarkStart w:id="124" w:name="_Toc165540685"/>
      <w:r/>
      <w:bookmarkEnd w:id="122"/>
      <w:r>
        <w:rPr>
          <w:lang w:eastAsia="ru-RU"/>
        </w:rPr>
        <w:t xml:space="preserve">1.3.14 </w:t>
      </w:r>
      <w:r>
        <w:t xml:space="preserve">Оценка</w:t>
      </w:r>
      <w:r>
        <w:rPr>
          <w:spacing w:val="80"/>
        </w:rPr>
        <w:t xml:space="preserve"> </w:t>
      </w:r>
      <w:r>
        <w:t xml:space="preserve">фактических</w:t>
      </w:r>
      <w:r>
        <w:rPr>
          <w:spacing w:val="80"/>
        </w:rPr>
        <w:t xml:space="preserve"> </w:t>
      </w:r>
      <w:r>
        <w:t xml:space="preserve">потерь</w:t>
      </w:r>
      <w:r>
        <w:rPr>
          <w:spacing w:val="80"/>
        </w:rPr>
        <w:t xml:space="preserve"> </w:t>
      </w:r>
      <w:r>
        <w:t xml:space="preserve">тепловой</w:t>
      </w:r>
      <w:r>
        <w:rPr>
          <w:spacing w:val="80"/>
        </w:rPr>
        <w:t xml:space="preserve"> </w:t>
      </w:r>
      <w:r>
        <w:t xml:space="preserve">энергии</w:t>
      </w:r>
      <w:r>
        <w:rPr>
          <w:spacing w:val="80"/>
        </w:rPr>
        <w:t xml:space="preserve"> </w:t>
      </w:r>
      <w:r>
        <w:t xml:space="preserve">и</w:t>
      </w:r>
      <w:r>
        <w:rPr>
          <w:spacing w:val="80"/>
        </w:rPr>
        <w:t xml:space="preserve"> </w:t>
      </w:r>
      <w:r>
        <w:t xml:space="preserve">теплоносителя</w:t>
      </w:r>
      <w:r>
        <w:rPr>
          <w:spacing w:val="80"/>
        </w:rPr>
        <w:t xml:space="preserve"> </w:t>
      </w:r>
      <w:r>
        <w:t xml:space="preserve">при</w:t>
      </w:r>
      <w:r>
        <w:rPr>
          <w:spacing w:val="40"/>
        </w:rPr>
        <w:t xml:space="preserve"> </w:t>
      </w:r>
      <w:r>
        <w:t xml:space="preserve">передаче тепловой энергии и теплоносителя по тепловым сетям за последние 3 года</w:t>
      </w:r>
      <w:bookmarkEnd w:id="123"/>
      <w:r/>
      <w:bookmarkEnd w:id="124"/>
      <w:r/>
      <w:r/>
    </w:p>
    <w:p>
      <w:pPr>
        <w:pStyle w:val="1247"/>
        <w:ind w:left="142" w:firstLine="709"/>
        <w:jc w:val="right"/>
        <w:spacing w:before="120" w:line="268" w:lineRule="exact"/>
        <w:tabs>
          <w:tab w:val="left" w:pos="7836" w:leader="none"/>
          <w:tab w:val="right" w:pos="9910" w:leader="none"/>
        </w:tabs>
      </w:pPr>
      <w:r>
        <w:t xml:space="preserve">Таблица 1.3.14.1</w:t>
      </w:r>
      <w:r>
        <w:t xml:space="preserve"> </w:t>
      </w:r>
      <w:r/>
    </w:p>
    <w:p>
      <w:pPr>
        <w:pStyle w:val="1247"/>
        <w:ind w:left="142" w:firstLine="709"/>
        <w:jc w:val="center"/>
        <w:spacing w:before="120" w:line="268" w:lineRule="exact"/>
        <w:tabs>
          <w:tab w:val="left" w:pos="7836" w:leader="none"/>
          <w:tab w:val="right" w:pos="9910" w:leader="none"/>
        </w:tabs>
        <w:rPr>
          <w:spacing w:val="5"/>
        </w:rPr>
      </w:pPr>
      <w:r>
        <w:t xml:space="preserve">Значения фактических потерь тепловой энергии и теплоносителя при передаче по тепловым сетям за 2021-2023 гг.</w:t>
      </w:r>
      <w:r>
        <w:rPr>
          <w:spacing w:val="5"/>
        </w:rPr>
      </w:r>
      <w:r>
        <w:rPr>
          <w:spacing w:val="5"/>
        </w:rPr>
      </w:r>
    </w:p>
    <w:tbl>
      <w:tblPr>
        <w:tblStyle w:val="1237"/>
        <w:tblW w:w="5000" w:type="pct"/>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1E0" w:firstRow="1" w:lastRow="1" w:firstColumn="1" w:lastColumn="1" w:noHBand="0" w:noVBand="0"/>
      </w:tblPr>
      <w:tblGrid>
        <w:gridCol w:w="2688"/>
        <w:gridCol w:w="4720"/>
        <w:gridCol w:w="830"/>
        <w:gridCol w:w="830"/>
        <w:gridCol w:w="832"/>
      </w:tblGrid>
      <w:tr>
        <w:tblPrEx/>
        <w:trPr>
          <w:trHeight w:val="471" w:hRule="exact"/>
        </w:trPr>
        <w:tc>
          <w:tcPr>
            <w:tcW w:w="1358" w:type="pct"/>
            <w:vAlign w:val="center"/>
            <w:vMerge w:val="restart"/>
            <w:textDirection w:val="lrTb"/>
            <w:noWrap w:val="false"/>
          </w:tcPr>
          <w:p>
            <w:pPr>
              <w:pStyle w:val="1251"/>
              <w:rPr>
                <w:sz w:val="20"/>
                <w:szCs w:val="20"/>
              </w:rPr>
            </w:pPr>
            <w:r>
              <w:rPr>
                <w:sz w:val="20"/>
                <w:szCs w:val="20"/>
              </w:rPr>
              <w:t xml:space="preserve">Источ</w:t>
            </w:r>
            <w:r>
              <w:rPr>
                <w:spacing w:val="-1"/>
                <w:sz w:val="20"/>
                <w:szCs w:val="20"/>
              </w:rPr>
              <w:t xml:space="preserve">н</w:t>
            </w:r>
            <w:r>
              <w:rPr>
                <w:spacing w:val="1"/>
                <w:sz w:val="20"/>
                <w:szCs w:val="20"/>
              </w:rPr>
              <w:t xml:space="preserve">и</w:t>
            </w:r>
            <w:r>
              <w:rPr>
                <w:sz w:val="20"/>
                <w:szCs w:val="20"/>
              </w:rPr>
              <w:t xml:space="preserve">к</w:t>
            </w:r>
            <w:r>
              <w:rPr>
                <w:spacing w:val="-15"/>
                <w:sz w:val="20"/>
                <w:szCs w:val="20"/>
              </w:rPr>
              <w:t xml:space="preserve"> </w:t>
            </w:r>
            <w:r>
              <w:rPr>
                <w:spacing w:val="-1"/>
                <w:sz w:val="20"/>
                <w:szCs w:val="20"/>
              </w:rPr>
              <w:t xml:space="preserve">т</w:t>
            </w:r>
            <w:r>
              <w:rPr>
                <w:spacing w:val="2"/>
                <w:sz w:val="20"/>
                <w:szCs w:val="20"/>
              </w:rPr>
              <w:t xml:space="preserve">е</w:t>
            </w:r>
            <w:r>
              <w:rPr>
                <w:spacing w:val="-1"/>
                <w:sz w:val="20"/>
                <w:szCs w:val="20"/>
              </w:rPr>
              <w:t xml:space="preserve">п</w:t>
            </w:r>
            <w:r>
              <w:rPr>
                <w:sz w:val="20"/>
                <w:szCs w:val="20"/>
              </w:rPr>
              <w:t xml:space="preserve">л</w:t>
            </w:r>
            <w:r>
              <w:rPr>
                <w:spacing w:val="3"/>
                <w:sz w:val="20"/>
                <w:szCs w:val="20"/>
              </w:rPr>
              <w:t xml:space="preserve">о</w:t>
            </w:r>
            <w:r>
              <w:rPr>
                <w:sz w:val="20"/>
                <w:szCs w:val="20"/>
              </w:rPr>
              <w:t xml:space="preserve">снабжения</w:t>
            </w:r>
            <w:r>
              <w:rPr>
                <w:sz w:val="20"/>
                <w:szCs w:val="20"/>
              </w:rPr>
            </w:r>
            <w:r>
              <w:rPr>
                <w:sz w:val="20"/>
                <w:szCs w:val="20"/>
              </w:rPr>
            </w:r>
          </w:p>
        </w:tc>
        <w:tc>
          <w:tcPr>
            <w:tcW w:w="2384" w:type="pct"/>
            <w:vAlign w:val="center"/>
            <w:textDirection w:val="lrTb"/>
            <w:noWrap w:val="false"/>
          </w:tcPr>
          <w:p>
            <w:pPr>
              <w:pStyle w:val="1251"/>
              <w:ind w:left="104"/>
              <w:rPr>
                <w:sz w:val="20"/>
                <w:szCs w:val="20"/>
              </w:rPr>
            </w:pPr>
            <w:r>
              <w:rPr>
                <w:sz w:val="20"/>
                <w:szCs w:val="20"/>
              </w:rPr>
              <w:t xml:space="preserve">Параметр</w:t>
            </w:r>
            <w:r>
              <w:rPr>
                <w:sz w:val="20"/>
                <w:szCs w:val="20"/>
              </w:rPr>
            </w:r>
            <w:r>
              <w:rPr>
                <w:sz w:val="20"/>
                <w:szCs w:val="20"/>
              </w:rPr>
            </w:r>
          </w:p>
        </w:tc>
        <w:tc>
          <w:tcPr>
            <w:gridSpan w:val="3"/>
            <w:tcW w:w="1259" w:type="pct"/>
            <w:vAlign w:val="center"/>
            <w:textDirection w:val="lrTb"/>
            <w:noWrap w:val="false"/>
          </w:tcPr>
          <w:p>
            <w:pPr>
              <w:pStyle w:val="1251"/>
              <w:rPr>
                <w:sz w:val="20"/>
                <w:szCs w:val="20"/>
              </w:rPr>
            </w:pPr>
            <w:r>
              <w:rPr>
                <w:sz w:val="20"/>
              </w:rPr>
              <w:t xml:space="preserve">Величина</w:t>
            </w:r>
            <w:r>
              <w:rPr>
                <w:spacing w:val="-11"/>
                <w:sz w:val="20"/>
              </w:rPr>
              <w:t xml:space="preserve"> </w:t>
            </w:r>
            <w:r>
              <w:rPr>
                <w:sz w:val="20"/>
              </w:rPr>
              <w:t xml:space="preserve">показателя, Гкал/ч</w:t>
            </w:r>
            <w:r>
              <w:rPr>
                <w:sz w:val="20"/>
                <w:szCs w:val="20"/>
              </w:rPr>
            </w:r>
            <w:r>
              <w:rPr>
                <w:sz w:val="20"/>
                <w:szCs w:val="20"/>
              </w:rPr>
            </w:r>
          </w:p>
        </w:tc>
      </w:tr>
      <w:tr>
        <w:tblPrEx/>
        <w:trPr>
          <w:trHeight w:val="240" w:hRule="exact"/>
        </w:trPr>
        <w:tc>
          <w:tcPr>
            <w:tcW w:w="1358" w:type="pct"/>
            <w:vAlign w:val="center"/>
            <w:vMerge w:val="continue"/>
            <w:textDirection w:val="lrTb"/>
            <w:noWrap w:val="false"/>
          </w:tcPr>
          <w:p>
            <w:pPr>
              <w:rPr>
                <w:sz w:val="20"/>
                <w:szCs w:val="20"/>
              </w:rPr>
            </w:pPr>
            <w:r>
              <w:rPr>
                <w:sz w:val="20"/>
                <w:szCs w:val="20"/>
              </w:rPr>
            </w:r>
            <w:r>
              <w:rPr>
                <w:sz w:val="20"/>
                <w:szCs w:val="20"/>
              </w:rPr>
            </w:r>
            <w:r>
              <w:rPr>
                <w:sz w:val="20"/>
                <w:szCs w:val="20"/>
              </w:rPr>
            </w:r>
          </w:p>
        </w:tc>
        <w:tc>
          <w:tcPr>
            <w:tcW w:w="2384" w:type="pct"/>
            <w:vAlign w:val="center"/>
            <w:textDirection w:val="lrTb"/>
            <w:noWrap w:val="false"/>
          </w:tcPr>
          <w:p>
            <w:pPr>
              <w:pStyle w:val="1251"/>
              <w:ind w:left="14"/>
              <w:spacing w:line="222" w:lineRule="exact"/>
              <w:rPr>
                <w:sz w:val="20"/>
                <w:szCs w:val="20"/>
              </w:rPr>
            </w:pPr>
            <w:r>
              <w:rPr>
                <w:sz w:val="20"/>
                <w:szCs w:val="20"/>
              </w:rPr>
              <w:t xml:space="preserve">Год</w:t>
            </w:r>
            <w:r>
              <w:rPr>
                <w:sz w:val="20"/>
                <w:szCs w:val="20"/>
              </w:rPr>
            </w:r>
            <w:r>
              <w:rPr>
                <w:sz w:val="20"/>
                <w:szCs w:val="20"/>
              </w:rPr>
            </w:r>
          </w:p>
        </w:tc>
        <w:tc>
          <w:tcPr>
            <w:tcW w:w="419" w:type="pct"/>
            <w:vAlign w:val="center"/>
            <w:textDirection w:val="lrTb"/>
            <w:noWrap w:val="false"/>
          </w:tcPr>
          <w:p>
            <w:pPr>
              <w:pStyle w:val="1251"/>
              <w:spacing w:line="222" w:lineRule="exact"/>
              <w:rPr>
                <w:sz w:val="20"/>
                <w:szCs w:val="20"/>
              </w:rPr>
            </w:pPr>
            <w:r>
              <w:rPr>
                <w:sz w:val="20"/>
                <w:szCs w:val="20"/>
              </w:rPr>
              <w:t xml:space="preserve">2021 г.</w:t>
            </w:r>
            <w:r>
              <w:rPr>
                <w:sz w:val="20"/>
                <w:szCs w:val="20"/>
              </w:rPr>
            </w:r>
            <w:r>
              <w:rPr>
                <w:sz w:val="20"/>
                <w:szCs w:val="20"/>
              </w:rPr>
            </w:r>
          </w:p>
        </w:tc>
        <w:tc>
          <w:tcPr>
            <w:tcW w:w="419" w:type="pct"/>
            <w:vAlign w:val="center"/>
            <w:textDirection w:val="lrTb"/>
            <w:noWrap w:val="false"/>
          </w:tcPr>
          <w:p>
            <w:pPr>
              <w:pStyle w:val="1251"/>
              <w:spacing w:line="222" w:lineRule="exact"/>
              <w:rPr>
                <w:sz w:val="20"/>
                <w:szCs w:val="20"/>
              </w:rPr>
            </w:pPr>
            <w:r>
              <w:rPr>
                <w:sz w:val="20"/>
                <w:szCs w:val="20"/>
              </w:rPr>
              <w:t xml:space="preserve">2022</w:t>
            </w:r>
            <w:r>
              <w:rPr>
                <w:spacing w:val="-5"/>
                <w:sz w:val="20"/>
                <w:szCs w:val="20"/>
              </w:rPr>
              <w:t xml:space="preserve"> </w:t>
            </w:r>
            <w:r>
              <w:rPr>
                <w:spacing w:val="-1"/>
                <w:sz w:val="20"/>
                <w:szCs w:val="20"/>
              </w:rPr>
              <w:t xml:space="preserve">г.</w:t>
            </w:r>
            <w:r>
              <w:rPr>
                <w:sz w:val="20"/>
                <w:szCs w:val="20"/>
              </w:rPr>
            </w:r>
            <w:r>
              <w:rPr>
                <w:sz w:val="20"/>
                <w:szCs w:val="20"/>
              </w:rPr>
            </w:r>
          </w:p>
        </w:tc>
        <w:tc>
          <w:tcPr>
            <w:tcW w:w="420" w:type="pct"/>
            <w:vAlign w:val="center"/>
            <w:textDirection w:val="lrTb"/>
            <w:noWrap w:val="false"/>
          </w:tcPr>
          <w:p>
            <w:pPr>
              <w:pStyle w:val="1251"/>
              <w:spacing w:line="222" w:lineRule="exact"/>
              <w:rPr>
                <w:sz w:val="20"/>
                <w:szCs w:val="20"/>
              </w:rPr>
            </w:pPr>
            <w:r>
              <w:rPr>
                <w:sz w:val="20"/>
                <w:szCs w:val="20"/>
              </w:rPr>
              <w:t xml:space="preserve">2023</w:t>
            </w:r>
            <w:r>
              <w:rPr>
                <w:spacing w:val="-5"/>
                <w:sz w:val="20"/>
                <w:szCs w:val="20"/>
              </w:rPr>
              <w:t xml:space="preserve"> </w:t>
            </w:r>
            <w:r>
              <w:rPr>
                <w:spacing w:val="-1"/>
                <w:sz w:val="20"/>
                <w:szCs w:val="20"/>
              </w:rPr>
              <w:t xml:space="preserve">г.</w:t>
            </w:r>
            <w:r>
              <w:rPr>
                <w:sz w:val="20"/>
                <w:szCs w:val="20"/>
              </w:rPr>
            </w:r>
            <w:r>
              <w:rPr>
                <w:sz w:val="20"/>
                <w:szCs w:val="20"/>
              </w:rPr>
            </w:r>
          </w:p>
        </w:tc>
      </w:tr>
      <w:tr>
        <w:tblPrEx/>
        <w:trPr>
          <w:trHeight w:val="465" w:hRule="exact"/>
        </w:trPr>
        <w:tc>
          <w:tcPr>
            <w:tcW w:w="1358" w:type="pct"/>
            <w:vAlign w:val="center"/>
            <w:vMerge w:val="restart"/>
            <w:textDirection w:val="lrTb"/>
            <w:noWrap w:val="false"/>
          </w:tcPr>
          <w:p>
            <w:pPr>
              <w:pStyle w:val="1251"/>
              <w:ind w:right="5"/>
              <w:rPr>
                <w:sz w:val="20"/>
                <w:szCs w:val="20"/>
              </w:rPr>
            </w:pPr>
            <w:r>
              <w:rPr>
                <w:color w:val="000000"/>
                <w:sz w:val="20"/>
                <w:szCs w:val="20"/>
              </w:rPr>
              <w:t xml:space="preserve">Котельная </w:t>
            </w:r>
            <w:r>
              <w:rPr>
                <w:rFonts w:ascii="Liberation Serif" w:hAnsi="Liberation Serif" w:cs="Calibri"/>
                <w:color w:val="000000"/>
                <w:sz w:val="20"/>
                <w:szCs w:val="20"/>
              </w:rPr>
              <w:t xml:space="preserve">п. Новый Мир, ЛПДС «Юргамыш»</w:t>
            </w:r>
            <w:r>
              <w:rPr>
                <w:sz w:val="20"/>
                <w:szCs w:val="20"/>
              </w:rPr>
            </w:r>
            <w:r>
              <w:rPr>
                <w:sz w:val="20"/>
                <w:szCs w:val="20"/>
              </w:rPr>
            </w:r>
          </w:p>
        </w:tc>
        <w:tc>
          <w:tcPr>
            <w:tcW w:w="2384" w:type="pct"/>
            <w:textDirection w:val="lrTb"/>
            <w:noWrap w:val="false"/>
          </w:tcPr>
          <w:p>
            <w:pPr>
              <w:pStyle w:val="1251"/>
              <w:ind w:left="37"/>
              <w:jc w:val="left"/>
              <w:spacing w:line="225" w:lineRule="exact"/>
              <w:rPr>
                <w:sz w:val="20"/>
              </w:rPr>
            </w:pPr>
            <w:r>
              <w:rPr>
                <w:sz w:val="20"/>
              </w:rPr>
              <w:t xml:space="preserve">Потери</w:t>
            </w:r>
            <w:r>
              <w:rPr>
                <w:spacing w:val="-7"/>
                <w:sz w:val="20"/>
              </w:rPr>
              <w:t xml:space="preserve"> </w:t>
            </w:r>
            <w:r>
              <w:rPr>
                <w:sz w:val="20"/>
              </w:rPr>
              <w:t xml:space="preserve">тепловой</w:t>
            </w:r>
            <w:r>
              <w:rPr>
                <w:spacing w:val="-6"/>
                <w:sz w:val="20"/>
              </w:rPr>
              <w:t xml:space="preserve"> </w:t>
            </w:r>
            <w:r>
              <w:rPr>
                <w:sz w:val="20"/>
              </w:rPr>
              <w:t xml:space="preserve">энергии</w:t>
            </w:r>
            <w:r>
              <w:rPr>
                <w:spacing w:val="-7"/>
                <w:sz w:val="20"/>
              </w:rPr>
              <w:t xml:space="preserve"> </w:t>
            </w:r>
            <w:r>
              <w:rPr>
                <w:sz w:val="20"/>
              </w:rPr>
              <w:t xml:space="preserve">при</w:t>
            </w:r>
            <w:r>
              <w:rPr>
                <w:spacing w:val="-6"/>
                <w:sz w:val="20"/>
              </w:rPr>
              <w:t xml:space="preserve"> </w:t>
            </w:r>
            <w:r>
              <w:rPr>
                <w:sz w:val="20"/>
              </w:rPr>
              <w:t xml:space="preserve">её</w:t>
            </w:r>
            <w:r>
              <w:rPr>
                <w:spacing w:val="-5"/>
                <w:sz w:val="20"/>
              </w:rPr>
              <w:t xml:space="preserve"> </w:t>
            </w:r>
            <w:r>
              <w:rPr>
                <w:sz w:val="20"/>
              </w:rPr>
              <w:t xml:space="preserve">передаче</w:t>
            </w:r>
            <w:r>
              <w:rPr>
                <w:spacing w:val="-6"/>
                <w:sz w:val="20"/>
              </w:rPr>
              <w:t xml:space="preserve"> </w:t>
            </w:r>
            <w:r>
              <w:rPr>
                <w:spacing w:val="-5"/>
                <w:sz w:val="20"/>
              </w:rPr>
              <w:t xml:space="preserve">по</w:t>
            </w:r>
            <w:r>
              <w:rPr>
                <w:sz w:val="20"/>
              </w:rPr>
              <w:t xml:space="preserve"> тепловым</w:t>
            </w:r>
            <w:r>
              <w:rPr>
                <w:spacing w:val="-8"/>
                <w:sz w:val="20"/>
              </w:rPr>
              <w:t xml:space="preserve"> </w:t>
            </w:r>
            <w:r>
              <w:rPr>
                <w:sz w:val="20"/>
              </w:rPr>
              <w:t xml:space="preserve">сетям</w:t>
            </w:r>
            <w:r>
              <w:rPr>
                <w:sz w:val="20"/>
              </w:rPr>
            </w:r>
            <w:r>
              <w:rPr>
                <w:sz w:val="20"/>
              </w:rPr>
            </w:r>
          </w:p>
        </w:tc>
        <w:tc>
          <w:tcPr>
            <w:tcW w:w="419" w:type="pct"/>
            <w:vAlign w:val="center"/>
            <w:textDirection w:val="lrTb"/>
            <w:noWrap w:val="false"/>
          </w:tcPr>
          <w:p>
            <w:pPr>
              <w:pStyle w:val="1251"/>
              <w:ind w:left="-11" w:right="4" w:firstLine="11"/>
              <w:rPr>
                <w:sz w:val="20"/>
                <w:szCs w:val="20"/>
              </w:rPr>
            </w:pPr>
            <w:r>
              <w:rPr>
                <w:sz w:val="20"/>
                <w:szCs w:val="20"/>
              </w:rPr>
              <w:t xml:space="preserve">0,372</w:t>
            </w:r>
            <w:r>
              <w:rPr>
                <w:sz w:val="20"/>
                <w:szCs w:val="20"/>
              </w:rPr>
            </w:r>
            <w:r>
              <w:rPr>
                <w:sz w:val="20"/>
                <w:szCs w:val="20"/>
              </w:rPr>
            </w:r>
          </w:p>
        </w:tc>
        <w:tc>
          <w:tcPr>
            <w:tcW w:w="419" w:type="pct"/>
            <w:vAlign w:val="center"/>
            <w:textDirection w:val="lrTb"/>
            <w:noWrap w:val="false"/>
          </w:tcPr>
          <w:p>
            <w:pPr>
              <w:pStyle w:val="1251"/>
              <w:ind w:left="-11" w:right="4" w:firstLine="11"/>
              <w:rPr>
                <w:sz w:val="20"/>
                <w:szCs w:val="20"/>
              </w:rPr>
            </w:pPr>
            <w:r>
              <w:rPr>
                <w:sz w:val="20"/>
                <w:szCs w:val="20"/>
              </w:rPr>
              <w:t xml:space="preserve">0,372</w:t>
            </w:r>
            <w:r>
              <w:rPr>
                <w:sz w:val="20"/>
                <w:szCs w:val="20"/>
              </w:rPr>
            </w:r>
            <w:r>
              <w:rPr>
                <w:sz w:val="20"/>
                <w:szCs w:val="20"/>
              </w:rPr>
            </w:r>
          </w:p>
        </w:tc>
        <w:tc>
          <w:tcPr>
            <w:tcW w:w="420" w:type="pct"/>
            <w:vAlign w:val="center"/>
            <w:textDirection w:val="lrTb"/>
            <w:noWrap w:val="false"/>
          </w:tcPr>
          <w:p>
            <w:pPr>
              <w:pStyle w:val="1251"/>
              <w:ind w:left="-11" w:right="4" w:firstLine="11"/>
              <w:rPr>
                <w:sz w:val="20"/>
                <w:szCs w:val="20"/>
              </w:rPr>
            </w:pPr>
            <w:r>
              <w:rPr>
                <w:sz w:val="20"/>
                <w:szCs w:val="20"/>
              </w:rPr>
              <w:t xml:space="preserve">0,372</w:t>
            </w:r>
            <w:r>
              <w:rPr>
                <w:sz w:val="20"/>
                <w:szCs w:val="20"/>
              </w:rPr>
            </w:r>
            <w:r>
              <w:rPr>
                <w:sz w:val="20"/>
                <w:szCs w:val="20"/>
              </w:rPr>
            </w:r>
          </w:p>
        </w:tc>
      </w:tr>
      <w:tr>
        <w:tblPrEx/>
        <w:trPr>
          <w:trHeight w:val="555" w:hRule="exact"/>
        </w:trPr>
        <w:tc>
          <w:tcPr>
            <w:tcW w:w="1358" w:type="pct"/>
            <w:vAlign w:val="center"/>
            <w:vMerge w:val="continue"/>
            <w:textDirection w:val="lrTb"/>
            <w:noWrap w:val="false"/>
          </w:tcPr>
          <w:p>
            <w:pPr>
              <w:rPr>
                <w:sz w:val="20"/>
                <w:szCs w:val="20"/>
              </w:rPr>
            </w:pPr>
            <w:r>
              <w:rPr>
                <w:sz w:val="20"/>
                <w:szCs w:val="20"/>
              </w:rPr>
            </w:r>
            <w:r>
              <w:rPr>
                <w:sz w:val="20"/>
                <w:szCs w:val="20"/>
              </w:rPr>
            </w:r>
            <w:r>
              <w:rPr>
                <w:sz w:val="20"/>
                <w:szCs w:val="20"/>
              </w:rPr>
            </w:r>
          </w:p>
        </w:tc>
        <w:tc>
          <w:tcPr>
            <w:tcW w:w="2384" w:type="pct"/>
            <w:textDirection w:val="lrTb"/>
            <w:noWrap w:val="false"/>
          </w:tcPr>
          <w:p>
            <w:pPr>
              <w:pStyle w:val="1251"/>
              <w:ind w:left="37"/>
              <w:jc w:val="left"/>
              <w:spacing w:line="225" w:lineRule="exact"/>
              <w:rPr>
                <w:sz w:val="20"/>
              </w:rPr>
            </w:pPr>
            <w:r>
              <w:rPr>
                <w:sz w:val="20"/>
              </w:rPr>
              <w:t xml:space="preserve">Потери</w:t>
            </w:r>
            <w:r>
              <w:rPr>
                <w:spacing w:val="-11"/>
                <w:sz w:val="20"/>
              </w:rPr>
              <w:t xml:space="preserve"> </w:t>
            </w:r>
            <w:r>
              <w:rPr>
                <w:sz w:val="20"/>
              </w:rPr>
              <w:t xml:space="preserve">теплопередачей</w:t>
            </w:r>
            <w:r>
              <w:rPr>
                <w:spacing w:val="-10"/>
                <w:sz w:val="20"/>
              </w:rPr>
              <w:t xml:space="preserve"> </w:t>
            </w:r>
            <w:r>
              <w:rPr>
                <w:spacing w:val="-5"/>
                <w:sz w:val="20"/>
              </w:rPr>
              <w:t xml:space="preserve">ч/з </w:t>
            </w:r>
            <w:r>
              <w:rPr>
                <w:sz w:val="20"/>
              </w:rPr>
              <w:t xml:space="preserve">теплоизоляционные</w:t>
            </w:r>
            <w:r>
              <w:rPr>
                <w:spacing w:val="-13"/>
                <w:sz w:val="20"/>
              </w:rPr>
              <w:t xml:space="preserve"> </w:t>
            </w:r>
            <w:r>
              <w:rPr>
                <w:sz w:val="20"/>
              </w:rPr>
              <w:t xml:space="preserve">конструкции теплопроводов</w:t>
            </w:r>
            <w:r>
              <w:rPr>
                <w:sz w:val="20"/>
              </w:rPr>
            </w:r>
            <w:r>
              <w:rPr>
                <w:sz w:val="20"/>
              </w:rPr>
            </w:r>
          </w:p>
        </w:tc>
        <w:tc>
          <w:tcPr>
            <w:tcW w:w="419" w:type="pct"/>
            <w:vAlign w:val="center"/>
            <w:textDirection w:val="lrTb"/>
            <w:noWrap w:val="false"/>
          </w:tcPr>
          <w:p>
            <w:pPr>
              <w:pStyle w:val="1251"/>
              <w:ind w:left="-11" w:right="4"/>
              <w:rPr>
                <w:sz w:val="20"/>
                <w:szCs w:val="20"/>
              </w:rPr>
            </w:pPr>
            <w:r>
              <w:rPr>
                <w:sz w:val="20"/>
                <w:szCs w:val="20"/>
              </w:rPr>
              <w:t xml:space="preserve">0,351</w:t>
            </w:r>
            <w:r>
              <w:rPr>
                <w:sz w:val="20"/>
                <w:szCs w:val="20"/>
              </w:rPr>
            </w:r>
            <w:r>
              <w:rPr>
                <w:sz w:val="20"/>
                <w:szCs w:val="20"/>
              </w:rPr>
            </w:r>
          </w:p>
        </w:tc>
        <w:tc>
          <w:tcPr>
            <w:tcW w:w="419" w:type="pct"/>
            <w:vAlign w:val="center"/>
            <w:textDirection w:val="lrTb"/>
            <w:noWrap w:val="false"/>
          </w:tcPr>
          <w:p>
            <w:pPr>
              <w:pStyle w:val="1251"/>
              <w:ind w:left="-11" w:right="4"/>
              <w:rPr>
                <w:sz w:val="20"/>
                <w:szCs w:val="20"/>
              </w:rPr>
            </w:pPr>
            <w:r>
              <w:rPr>
                <w:sz w:val="20"/>
                <w:szCs w:val="20"/>
              </w:rPr>
              <w:t xml:space="preserve">0,351</w:t>
            </w:r>
            <w:r>
              <w:rPr>
                <w:sz w:val="20"/>
                <w:szCs w:val="20"/>
              </w:rPr>
            </w:r>
            <w:r>
              <w:rPr>
                <w:sz w:val="20"/>
                <w:szCs w:val="20"/>
              </w:rPr>
            </w:r>
          </w:p>
        </w:tc>
        <w:tc>
          <w:tcPr>
            <w:tcW w:w="420" w:type="pct"/>
            <w:vAlign w:val="center"/>
            <w:textDirection w:val="lrTb"/>
            <w:noWrap w:val="false"/>
          </w:tcPr>
          <w:p>
            <w:pPr>
              <w:pStyle w:val="1251"/>
              <w:ind w:left="-11" w:right="4"/>
              <w:rPr>
                <w:sz w:val="20"/>
                <w:szCs w:val="20"/>
              </w:rPr>
            </w:pPr>
            <w:r>
              <w:rPr>
                <w:sz w:val="20"/>
                <w:szCs w:val="20"/>
              </w:rPr>
              <w:t xml:space="preserve">0,351</w:t>
            </w:r>
            <w:r>
              <w:rPr>
                <w:sz w:val="20"/>
                <w:szCs w:val="20"/>
              </w:rPr>
            </w:r>
            <w:r>
              <w:rPr>
                <w:sz w:val="20"/>
                <w:szCs w:val="20"/>
              </w:rPr>
            </w:r>
          </w:p>
        </w:tc>
      </w:tr>
      <w:tr>
        <w:tblPrEx/>
        <w:trPr>
          <w:trHeight w:val="279" w:hRule="exact"/>
        </w:trPr>
        <w:tc>
          <w:tcPr>
            <w:tcW w:w="1358" w:type="pct"/>
            <w:vAlign w:val="center"/>
            <w:vMerge w:val="continue"/>
            <w:textDirection w:val="lrTb"/>
            <w:noWrap w:val="false"/>
          </w:tcPr>
          <w:p>
            <w:pPr>
              <w:rPr>
                <w:sz w:val="20"/>
                <w:szCs w:val="20"/>
              </w:rPr>
            </w:pPr>
            <w:r>
              <w:rPr>
                <w:sz w:val="20"/>
                <w:szCs w:val="20"/>
              </w:rPr>
            </w:r>
            <w:r>
              <w:rPr>
                <w:sz w:val="20"/>
                <w:szCs w:val="20"/>
              </w:rPr>
            </w:r>
            <w:r>
              <w:rPr>
                <w:sz w:val="20"/>
                <w:szCs w:val="20"/>
              </w:rPr>
            </w:r>
          </w:p>
        </w:tc>
        <w:tc>
          <w:tcPr>
            <w:tcW w:w="2384" w:type="pct"/>
            <w:textDirection w:val="lrTb"/>
            <w:noWrap w:val="false"/>
          </w:tcPr>
          <w:p>
            <w:pPr>
              <w:pStyle w:val="1251"/>
              <w:ind w:left="37"/>
              <w:jc w:val="left"/>
              <w:spacing w:line="210" w:lineRule="exact"/>
              <w:rPr>
                <w:sz w:val="20"/>
              </w:rPr>
            </w:pPr>
            <w:r>
              <w:rPr>
                <w:sz w:val="20"/>
              </w:rPr>
              <w:t xml:space="preserve">Потери</w:t>
            </w:r>
            <w:r>
              <w:rPr>
                <w:spacing w:val="-11"/>
                <w:sz w:val="20"/>
              </w:rPr>
              <w:t xml:space="preserve"> </w:t>
            </w:r>
            <w:r>
              <w:rPr>
                <w:sz w:val="20"/>
              </w:rPr>
              <w:t xml:space="preserve">теплоносителя</w:t>
            </w:r>
            <w:r>
              <w:rPr>
                <w:sz w:val="20"/>
              </w:rPr>
            </w:r>
            <w:r>
              <w:rPr>
                <w:sz w:val="20"/>
              </w:rPr>
            </w:r>
          </w:p>
        </w:tc>
        <w:tc>
          <w:tcPr>
            <w:tcW w:w="419" w:type="pct"/>
            <w:vAlign w:val="center"/>
            <w:textDirection w:val="lrTb"/>
            <w:noWrap w:val="false"/>
          </w:tcPr>
          <w:p>
            <w:pPr>
              <w:pStyle w:val="1251"/>
              <w:ind w:left="-11" w:right="4"/>
              <w:rPr>
                <w:sz w:val="20"/>
                <w:szCs w:val="20"/>
              </w:rPr>
            </w:pPr>
            <w:r>
              <w:rPr>
                <w:sz w:val="20"/>
                <w:szCs w:val="20"/>
              </w:rPr>
              <w:t xml:space="preserve">0,021</w:t>
            </w:r>
            <w:r>
              <w:rPr>
                <w:sz w:val="20"/>
                <w:szCs w:val="20"/>
              </w:rPr>
            </w:r>
            <w:r>
              <w:rPr>
                <w:sz w:val="20"/>
                <w:szCs w:val="20"/>
              </w:rPr>
            </w:r>
          </w:p>
        </w:tc>
        <w:tc>
          <w:tcPr>
            <w:tcW w:w="419" w:type="pct"/>
            <w:vAlign w:val="center"/>
            <w:textDirection w:val="lrTb"/>
            <w:noWrap w:val="false"/>
          </w:tcPr>
          <w:p>
            <w:pPr>
              <w:pStyle w:val="1251"/>
              <w:ind w:left="-11" w:right="4"/>
              <w:rPr>
                <w:sz w:val="20"/>
                <w:szCs w:val="20"/>
              </w:rPr>
            </w:pPr>
            <w:r>
              <w:rPr>
                <w:sz w:val="20"/>
                <w:szCs w:val="20"/>
              </w:rPr>
              <w:t xml:space="preserve">0,021</w:t>
            </w:r>
            <w:r>
              <w:rPr>
                <w:sz w:val="20"/>
                <w:szCs w:val="20"/>
              </w:rPr>
            </w:r>
            <w:r>
              <w:rPr>
                <w:sz w:val="20"/>
                <w:szCs w:val="20"/>
              </w:rPr>
            </w:r>
          </w:p>
        </w:tc>
        <w:tc>
          <w:tcPr>
            <w:tcW w:w="420" w:type="pct"/>
            <w:vAlign w:val="center"/>
            <w:textDirection w:val="lrTb"/>
            <w:noWrap w:val="false"/>
          </w:tcPr>
          <w:p>
            <w:pPr>
              <w:pStyle w:val="1251"/>
              <w:ind w:left="-11" w:right="4"/>
              <w:rPr>
                <w:sz w:val="20"/>
                <w:szCs w:val="20"/>
              </w:rPr>
            </w:pPr>
            <w:r>
              <w:rPr>
                <w:sz w:val="20"/>
                <w:szCs w:val="20"/>
              </w:rPr>
              <w:t xml:space="preserve">0,021</w:t>
            </w:r>
            <w:r>
              <w:rPr>
                <w:sz w:val="20"/>
                <w:szCs w:val="20"/>
              </w:rPr>
            </w:r>
            <w:r>
              <w:rPr>
                <w:sz w:val="20"/>
                <w:szCs w:val="20"/>
              </w:rPr>
            </w:r>
          </w:p>
        </w:tc>
      </w:tr>
      <w:tr>
        <w:tblPrEx/>
        <w:trPr>
          <w:trHeight w:val="465" w:hRule="exact"/>
        </w:trPr>
        <w:tc>
          <w:tcPr>
            <w:tcW w:w="1358" w:type="pct"/>
            <w:vAlign w:val="center"/>
            <w:vMerge w:val="restart"/>
            <w:textDirection w:val="lrTb"/>
            <w:noWrap w:val="false"/>
          </w:tcPr>
          <w:p>
            <w:pPr>
              <w:pStyle w:val="1251"/>
              <w:ind w:right="5"/>
              <w:rPr>
                <w:spacing w:val="-1"/>
                <w:sz w:val="20"/>
                <w:szCs w:val="20"/>
              </w:rPr>
            </w:pPr>
            <w:r>
              <w:rPr>
                <w:spacing w:val="-1"/>
                <w:sz w:val="20"/>
                <w:szCs w:val="20"/>
              </w:rPr>
              <w:t xml:space="preserve">Котельная р.п.  Юргамыш, </w:t>
            </w:r>
            <w:r>
              <w:rPr>
                <w:spacing w:val="-1"/>
                <w:sz w:val="20"/>
                <w:szCs w:val="20"/>
              </w:rPr>
            </w:r>
            <w:r>
              <w:rPr>
                <w:spacing w:val="-1"/>
                <w:sz w:val="20"/>
                <w:szCs w:val="20"/>
              </w:rPr>
            </w:r>
          </w:p>
          <w:p>
            <w:pPr>
              <w:pStyle w:val="1251"/>
              <w:ind w:right="5"/>
              <w:rPr>
                <w:sz w:val="20"/>
                <w:szCs w:val="20"/>
              </w:rPr>
            </w:pPr>
            <w:r>
              <w:rPr>
                <w:spacing w:val="-1"/>
                <w:sz w:val="20"/>
                <w:szCs w:val="20"/>
              </w:rPr>
              <w:t xml:space="preserve">ул. Железнодорожная, территория тягловой подстанции ОАО «РЖД»</w:t>
            </w:r>
            <w:r>
              <w:rPr>
                <w:sz w:val="20"/>
                <w:szCs w:val="20"/>
              </w:rPr>
            </w:r>
            <w:r>
              <w:rPr>
                <w:sz w:val="20"/>
                <w:szCs w:val="20"/>
              </w:rPr>
            </w:r>
          </w:p>
        </w:tc>
        <w:tc>
          <w:tcPr>
            <w:tcW w:w="2384" w:type="pct"/>
            <w:textDirection w:val="lrTb"/>
            <w:noWrap w:val="false"/>
          </w:tcPr>
          <w:p>
            <w:pPr>
              <w:pStyle w:val="1251"/>
              <w:ind w:left="37"/>
              <w:jc w:val="left"/>
              <w:spacing w:line="225" w:lineRule="exact"/>
              <w:rPr>
                <w:sz w:val="20"/>
              </w:rPr>
            </w:pPr>
            <w:r>
              <w:rPr>
                <w:sz w:val="20"/>
              </w:rPr>
              <w:t xml:space="preserve">Потери</w:t>
            </w:r>
            <w:r>
              <w:rPr>
                <w:spacing w:val="-7"/>
                <w:sz w:val="20"/>
              </w:rPr>
              <w:t xml:space="preserve"> </w:t>
            </w:r>
            <w:r>
              <w:rPr>
                <w:sz w:val="20"/>
              </w:rPr>
              <w:t xml:space="preserve">тепловой</w:t>
            </w:r>
            <w:r>
              <w:rPr>
                <w:spacing w:val="-6"/>
                <w:sz w:val="20"/>
              </w:rPr>
              <w:t xml:space="preserve"> </w:t>
            </w:r>
            <w:r>
              <w:rPr>
                <w:sz w:val="20"/>
              </w:rPr>
              <w:t xml:space="preserve">энергии</w:t>
            </w:r>
            <w:r>
              <w:rPr>
                <w:spacing w:val="-7"/>
                <w:sz w:val="20"/>
              </w:rPr>
              <w:t xml:space="preserve"> </w:t>
            </w:r>
            <w:r>
              <w:rPr>
                <w:sz w:val="20"/>
              </w:rPr>
              <w:t xml:space="preserve">при</w:t>
            </w:r>
            <w:r>
              <w:rPr>
                <w:spacing w:val="-6"/>
                <w:sz w:val="20"/>
              </w:rPr>
              <w:t xml:space="preserve"> </w:t>
            </w:r>
            <w:r>
              <w:rPr>
                <w:sz w:val="20"/>
              </w:rPr>
              <w:t xml:space="preserve">её</w:t>
            </w:r>
            <w:r>
              <w:rPr>
                <w:spacing w:val="-5"/>
                <w:sz w:val="20"/>
              </w:rPr>
              <w:t xml:space="preserve"> </w:t>
            </w:r>
            <w:r>
              <w:rPr>
                <w:sz w:val="20"/>
              </w:rPr>
              <w:t xml:space="preserve">передаче</w:t>
            </w:r>
            <w:r>
              <w:rPr>
                <w:spacing w:val="-6"/>
                <w:sz w:val="20"/>
              </w:rPr>
              <w:t xml:space="preserve"> </w:t>
            </w:r>
            <w:r>
              <w:rPr>
                <w:spacing w:val="-5"/>
                <w:sz w:val="20"/>
              </w:rPr>
              <w:t xml:space="preserve">по</w:t>
            </w:r>
            <w:r>
              <w:rPr>
                <w:sz w:val="20"/>
              </w:rPr>
              <w:t xml:space="preserve"> тепловым</w:t>
            </w:r>
            <w:r>
              <w:rPr>
                <w:spacing w:val="-8"/>
                <w:sz w:val="20"/>
              </w:rPr>
              <w:t xml:space="preserve"> </w:t>
            </w:r>
            <w:r>
              <w:rPr>
                <w:sz w:val="20"/>
              </w:rPr>
              <w:t xml:space="preserve">сетям</w:t>
            </w:r>
            <w:r>
              <w:rPr>
                <w:sz w:val="20"/>
              </w:rPr>
            </w:r>
            <w:r>
              <w:rPr>
                <w:sz w:val="20"/>
              </w:rPr>
            </w:r>
          </w:p>
        </w:tc>
        <w:tc>
          <w:tcPr>
            <w:tcW w:w="419" w:type="pct"/>
            <w:vAlign w:val="center"/>
            <w:textDirection w:val="lrTb"/>
            <w:noWrap w:val="false"/>
          </w:tcPr>
          <w:p>
            <w:pPr>
              <w:pStyle w:val="1251"/>
              <w:ind w:left="-11" w:right="4" w:firstLine="11"/>
              <w:rPr>
                <w:sz w:val="20"/>
                <w:szCs w:val="20"/>
              </w:rPr>
            </w:pPr>
            <w:r>
              <w:rPr>
                <w:sz w:val="20"/>
                <w:szCs w:val="20"/>
              </w:rPr>
              <w:t xml:space="preserve">0,0708</w:t>
            </w:r>
            <w:r>
              <w:rPr>
                <w:sz w:val="20"/>
                <w:szCs w:val="20"/>
              </w:rPr>
            </w:r>
            <w:r>
              <w:rPr>
                <w:sz w:val="20"/>
                <w:szCs w:val="20"/>
              </w:rPr>
            </w:r>
          </w:p>
        </w:tc>
        <w:tc>
          <w:tcPr>
            <w:tcW w:w="419" w:type="pct"/>
            <w:vAlign w:val="center"/>
            <w:textDirection w:val="lrTb"/>
            <w:noWrap w:val="false"/>
          </w:tcPr>
          <w:p>
            <w:pPr>
              <w:pStyle w:val="1251"/>
              <w:ind w:left="-11" w:right="4" w:firstLine="11"/>
              <w:rPr>
                <w:sz w:val="20"/>
                <w:szCs w:val="20"/>
              </w:rPr>
            </w:pPr>
            <w:r>
              <w:rPr>
                <w:sz w:val="20"/>
                <w:szCs w:val="20"/>
              </w:rPr>
              <w:t xml:space="preserve">0,0708</w:t>
            </w:r>
            <w:r>
              <w:rPr>
                <w:sz w:val="20"/>
                <w:szCs w:val="20"/>
              </w:rPr>
            </w:r>
            <w:r>
              <w:rPr>
                <w:sz w:val="20"/>
                <w:szCs w:val="20"/>
              </w:rPr>
            </w:r>
          </w:p>
        </w:tc>
        <w:tc>
          <w:tcPr>
            <w:tcW w:w="420" w:type="pct"/>
            <w:vAlign w:val="center"/>
            <w:textDirection w:val="lrTb"/>
            <w:noWrap w:val="false"/>
          </w:tcPr>
          <w:p>
            <w:pPr>
              <w:pStyle w:val="1251"/>
              <w:ind w:left="-11" w:right="4" w:firstLine="11"/>
              <w:rPr>
                <w:sz w:val="20"/>
                <w:szCs w:val="20"/>
              </w:rPr>
            </w:pPr>
            <w:r>
              <w:rPr>
                <w:sz w:val="20"/>
                <w:szCs w:val="20"/>
              </w:rPr>
              <w:t xml:space="preserve">0,0708</w:t>
            </w:r>
            <w:r>
              <w:rPr>
                <w:sz w:val="20"/>
                <w:szCs w:val="20"/>
              </w:rPr>
            </w:r>
            <w:r>
              <w:rPr>
                <w:sz w:val="20"/>
                <w:szCs w:val="20"/>
              </w:rPr>
            </w:r>
          </w:p>
        </w:tc>
      </w:tr>
      <w:tr>
        <w:tblPrEx/>
        <w:trPr>
          <w:trHeight w:val="555" w:hRule="exact"/>
        </w:trPr>
        <w:tc>
          <w:tcPr>
            <w:tcW w:w="1358" w:type="pct"/>
            <w:vAlign w:val="center"/>
            <w:vMerge w:val="continue"/>
            <w:textDirection w:val="lrTb"/>
            <w:noWrap w:val="false"/>
          </w:tcPr>
          <w:p>
            <w:pPr>
              <w:rPr>
                <w:sz w:val="20"/>
                <w:szCs w:val="20"/>
              </w:rPr>
            </w:pPr>
            <w:r>
              <w:rPr>
                <w:sz w:val="20"/>
                <w:szCs w:val="20"/>
              </w:rPr>
            </w:r>
            <w:r>
              <w:rPr>
                <w:sz w:val="20"/>
                <w:szCs w:val="20"/>
              </w:rPr>
            </w:r>
            <w:r>
              <w:rPr>
                <w:sz w:val="20"/>
                <w:szCs w:val="20"/>
              </w:rPr>
            </w:r>
          </w:p>
        </w:tc>
        <w:tc>
          <w:tcPr>
            <w:tcW w:w="2384" w:type="pct"/>
            <w:textDirection w:val="lrTb"/>
            <w:noWrap w:val="false"/>
          </w:tcPr>
          <w:p>
            <w:pPr>
              <w:pStyle w:val="1251"/>
              <w:ind w:left="37"/>
              <w:jc w:val="left"/>
              <w:spacing w:line="225" w:lineRule="exact"/>
              <w:rPr>
                <w:sz w:val="20"/>
              </w:rPr>
            </w:pPr>
            <w:r>
              <w:rPr>
                <w:sz w:val="20"/>
              </w:rPr>
              <w:t xml:space="preserve">Потери</w:t>
            </w:r>
            <w:r>
              <w:rPr>
                <w:spacing w:val="-11"/>
                <w:sz w:val="20"/>
              </w:rPr>
              <w:t xml:space="preserve"> </w:t>
            </w:r>
            <w:r>
              <w:rPr>
                <w:sz w:val="20"/>
              </w:rPr>
              <w:t xml:space="preserve">теплопередачей</w:t>
            </w:r>
            <w:r>
              <w:rPr>
                <w:spacing w:val="-10"/>
                <w:sz w:val="20"/>
              </w:rPr>
              <w:t xml:space="preserve"> </w:t>
            </w:r>
            <w:r>
              <w:rPr>
                <w:spacing w:val="-5"/>
                <w:sz w:val="20"/>
              </w:rPr>
              <w:t xml:space="preserve">ч/з </w:t>
            </w:r>
            <w:r>
              <w:rPr>
                <w:sz w:val="20"/>
              </w:rPr>
              <w:t xml:space="preserve">теплоизоляционные</w:t>
            </w:r>
            <w:r>
              <w:rPr>
                <w:spacing w:val="-13"/>
                <w:sz w:val="20"/>
              </w:rPr>
              <w:t xml:space="preserve"> </w:t>
            </w:r>
            <w:r>
              <w:rPr>
                <w:sz w:val="20"/>
              </w:rPr>
              <w:t xml:space="preserve">конструкции теплопроводов</w:t>
            </w:r>
            <w:r>
              <w:rPr>
                <w:sz w:val="20"/>
              </w:rPr>
            </w:r>
            <w:r>
              <w:rPr>
                <w:sz w:val="20"/>
              </w:rPr>
            </w:r>
          </w:p>
        </w:tc>
        <w:tc>
          <w:tcPr>
            <w:tcW w:w="419" w:type="pct"/>
            <w:vAlign w:val="center"/>
            <w:textDirection w:val="lrTb"/>
            <w:noWrap w:val="false"/>
          </w:tcPr>
          <w:p>
            <w:pPr>
              <w:pStyle w:val="1251"/>
              <w:ind w:left="-11" w:right="4"/>
              <w:rPr>
                <w:sz w:val="20"/>
                <w:szCs w:val="20"/>
              </w:rPr>
            </w:pPr>
            <w:r>
              <w:rPr>
                <w:sz w:val="20"/>
                <w:szCs w:val="20"/>
              </w:rPr>
              <w:t xml:space="preserve">-</w:t>
            </w:r>
            <w:r>
              <w:rPr>
                <w:sz w:val="20"/>
                <w:szCs w:val="20"/>
              </w:rPr>
            </w:r>
            <w:r>
              <w:rPr>
                <w:sz w:val="20"/>
                <w:szCs w:val="20"/>
              </w:rPr>
            </w:r>
          </w:p>
        </w:tc>
        <w:tc>
          <w:tcPr>
            <w:tcW w:w="419" w:type="pct"/>
            <w:vAlign w:val="center"/>
            <w:textDirection w:val="lrTb"/>
            <w:noWrap w:val="false"/>
          </w:tcPr>
          <w:p>
            <w:pPr>
              <w:pStyle w:val="1251"/>
              <w:ind w:left="-11" w:right="4"/>
              <w:rPr>
                <w:sz w:val="20"/>
                <w:szCs w:val="20"/>
              </w:rPr>
            </w:pPr>
            <w:r>
              <w:rPr>
                <w:sz w:val="20"/>
                <w:szCs w:val="20"/>
              </w:rPr>
              <w:t xml:space="preserve">-</w:t>
            </w:r>
            <w:r>
              <w:rPr>
                <w:sz w:val="20"/>
                <w:szCs w:val="20"/>
              </w:rPr>
            </w:r>
            <w:r>
              <w:rPr>
                <w:sz w:val="20"/>
                <w:szCs w:val="20"/>
              </w:rPr>
            </w:r>
          </w:p>
        </w:tc>
        <w:tc>
          <w:tcPr>
            <w:tcW w:w="420" w:type="pct"/>
            <w:vAlign w:val="center"/>
            <w:textDirection w:val="lrTb"/>
            <w:noWrap w:val="false"/>
          </w:tcPr>
          <w:p>
            <w:pPr>
              <w:pStyle w:val="1251"/>
              <w:ind w:left="-11" w:right="4"/>
              <w:rPr>
                <w:sz w:val="20"/>
                <w:szCs w:val="20"/>
              </w:rPr>
            </w:pPr>
            <w:r>
              <w:rPr>
                <w:sz w:val="20"/>
                <w:szCs w:val="20"/>
              </w:rPr>
              <w:t xml:space="preserve">-</w:t>
            </w:r>
            <w:r>
              <w:rPr>
                <w:sz w:val="20"/>
                <w:szCs w:val="20"/>
              </w:rPr>
            </w:r>
            <w:r>
              <w:rPr>
                <w:sz w:val="20"/>
                <w:szCs w:val="20"/>
              </w:rPr>
            </w:r>
          </w:p>
        </w:tc>
      </w:tr>
      <w:tr>
        <w:tblPrEx/>
        <w:trPr>
          <w:trHeight w:val="279" w:hRule="exact"/>
        </w:trPr>
        <w:tc>
          <w:tcPr>
            <w:tcW w:w="1358" w:type="pct"/>
            <w:vAlign w:val="center"/>
            <w:vMerge w:val="continue"/>
            <w:textDirection w:val="lrTb"/>
            <w:noWrap w:val="false"/>
          </w:tcPr>
          <w:p>
            <w:pPr>
              <w:rPr>
                <w:sz w:val="20"/>
                <w:szCs w:val="20"/>
              </w:rPr>
            </w:pPr>
            <w:r>
              <w:rPr>
                <w:sz w:val="20"/>
                <w:szCs w:val="20"/>
              </w:rPr>
            </w:r>
            <w:r>
              <w:rPr>
                <w:sz w:val="20"/>
                <w:szCs w:val="20"/>
              </w:rPr>
            </w:r>
            <w:r>
              <w:rPr>
                <w:sz w:val="20"/>
                <w:szCs w:val="20"/>
              </w:rPr>
            </w:r>
          </w:p>
        </w:tc>
        <w:tc>
          <w:tcPr>
            <w:tcW w:w="2384" w:type="pct"/>
            <w:textDirection w:val="lrTb"/>
            <w:noWrap w:val="false"/>
          </w:tcPr>
          <w:p>
            <w:pPr>
              <w:pStyle w:val="1251"/>
              <w:ind w:left="37"/>
              <w:jc w:val="left"/>
              <w:spacing w:line="210" w:lineRule="exact"/>
              <w:rPr>
                <w:sz w:val="20"/>
              </w:rPr>
            </w:pPr>
            <w:r>
              <w:rPr>
                <w:sz w:val="20"/>
              </w:rPr>
              <w:t xml:space="preserve">Потери</w:t>
            </w:r>
            <w:r>
              <w:rPr>
                <w:spacing w:val="-11"/>
                <w:sz w:val="20"/>
              </w:rPr>
              <w:t xml:space="preserve"> </w:t>
            </w:r>
            <w:r>
              <w:rPr>
                <w:sz w:val="20"/>
              </w:rPr>
              <w:t xml:space="preserve">теплоносителя</w:t>
            </w:r>
            <w:r>
              <w:rPr>
                <w:sz w:val="20"/>
              </w:rPr>
            </w:r>
            <w:r>
              <w:rPr>
                <w:sz w:val="20"/>
              </w:rPr>
            </w:r>
          </w:p>
        </w:tc>
        <w:tc>
          <w:tcPr>
            <w:tcW w:w="419" w:type="pct"/>
            <w:vAlign w:val="center"/>
            <w:textDirection w:val="lrTb"/>
            <w:noWrap w:val="false"/>
          </w:tcPr>
          <w:p>
            <w:pPr>
              <w:pStyle w:val="1251"/>
              <w:ind w:left="-11" w:right="4"/>
              <w:rPr>
                <w:sz w:val="20"/>
                <w:szCs w:val="20"/>
              </w:rPr>
            </w:pPr>
            <w:r>
              <w:rPr>
                <w:sz w:val="20"/>
                <w:szCs w:val="20"/>
              </w:rPr>
              <w:t xml:space="preserve">-</w:t>
            </w:r>
            <w:r>
              <w:rPr>
                <w:sz w:val="20"/>
                <w:szCs w:val="20"/>
              </w:rPr>
            </w:r>
            <w:r>
              <w:rPr>
                <w:sz w:val="20"/>
                <w:szCs w:val="20"/>
              </w:rPr>
            </w:r>
          </w:p>
        </w:tc>
        <w:tc>
          <w:tcPr>
            <w:tcW w:w="419" w:type="pct"/>
            <w:vAlign w:val="center"/>
            <w:textDirection w:val="lrTb"/>
            <w:noWrap w:val="false"/>
          </w:tcPr>
          <w:p>
            <w:pPr>
              <w:pStyle w:val="1251"/>
              <w:ind w:left="-11" w:right="4"/>
              <w:rPr>
                <w:sz w:val="20"/>
                <w:szCs w:val="20"/>
              </w:rPr>
            </w:pPr>
            <w:r>
              <w:rPr>
                <w:sz w:val="20"/>
                <w:szCs w:val="20"/>
              </w:rPr>
              <w:t xml:space="preserve">-</w:t>
            </w:r>
            <w:r>
              <w:rPr>
                <w:sz w:val="20"/>
                <w:szCs w:val="20"/>
              </w:rPr>
            </w:r>
            <w:r>
              <w:rPr>
                <w:sz w:val="20"/>
                <w:szCs w:val="20"/>
              </w:rPr>
            </w:r>
          </w:p>
        </w:tc>
        <w:tc>
          <w:tcPr>
            <w:tcW w:w="420" w:type="pct"/>
            <w:vAlign w:val="center"/>
            <w:textDirection w:val="lrTb"/>
            <w:noWrap w:val="false"/>
          </w:tcPr>
          <w:p>
            <w:pPr>
              <w:pStyle w:val="1251"/>
              <w:ind w:left="-11" w:right="4"/>
              <w:rPr>
                <w:sz w:val="20"/>
                <w:szCs w:val="20"/>
              </w:rPr>
            </w:pPr>
            <w:r>
              <w:rPr>
                <w:sz w:val="20"/>
                <w:szCs w:val="20"/>
              </w:rPr>
              <w:t xml:space="preserve">-</w:t>
            </w:r>
            <w:r>
              <w:rPr>
                <w:sz w:val="20"/>
                <w:szCs w:val="20"/>
              </w:rPr>
            </w:r>
            <w:r>
              <w:rPr>
                <w:sz w:val="20"/>
                <w:szCs w:val="20"/>
              </w:rPr>
            </w:r>
          </w:p>
        </w:tc>
      </w:tr>
      <w:tr>
        <w:tblPrEx/>
        <w:trPr>
          <w:trHeight w:val="465" w:hRule="exact"/>
        </w:trPr>
        <w:tc>
          <w:tcPr>
            <w:tcW w:w="1358" w:type="pct"/>
            <w:vAlign w:val="center"/>
            <w:vMerge w:val="restart"/>
            <w:textDirection w:val="lrTb"/>
            <w:noWrap w:val="false"/>
          </w:tcPr>
          <w:p>
            <w:pPr>
              <w:pStyle w:val="1251"/>
              <w:ind w:right="5"/>
              <w:rPr>
                <w:sz w:val="20"/>
                <w:szCs w:val="20"/>
              </w:rPr>
            </w:pPr>
            <w:r>
              <w:rPr>
                <w:sz w:val="20"/>
                <w:szCs w:val="20"/>
              </w:rPr>
              <w:t xml:space="preserve">Котельная ФКУ ИК №7 УФСИН России по Курганской области,</w:t>
            </w:r>
            <w:r>
              <w:rPr>
                <w:rFonts w:ascii="Liberation Serif" w:hAnsi="Liberation Serif" w:cs="Calibri"/>
                <w:color w:val="000000"/>
                <w:sz w:val="20"/>
                <w:szCs w:val="20"/>
              </w:rPr>
              <w:t xml:space="preserve"> Курганская область, р.п. Юргамыш, ул. Труда, 147</w:t>
            </w:r>
            <w:r>
              <w:rPr>
                <w:sz w:val="20"/>
                <w:szCs w:val="20"/>
              </w:rPr>
            </w:r>
            <w:r>
              <w:rPr>
                <w:sz w:val="20"/>
                <w:szCs w:val="20"/>
              </w:rPr>
            </w:r>
          </w:p>
        </w:tc>
        <w:tc>
          <w:tcPr>
            <w:tcW w:w="2384" w:type="pct"/>
            <w:textDirection w:val="lrTb"/>
            <w:noWrap w:val="false"/>
          </w:tcPr>
          <w:p>
            <w:pPr>
              <w:pStyle w:val="1251"/>
              <w:ind w:left="37"/>
              <w:jc w:val="left"/>
              <w:spacing w:line="225" w:lineRule="exact"/>
              <w:rPr>
                <w:sz w:val="20"/>
              </w:rPr>
            </w:pPr>
            <w:r>
              <w:rPr>
                <w:sz w:val="20"/>
              </w:rPr>
              <w:t xml:space="preserve">Потери</w:t>
            </w:r>
            <w:r>
              <w:rPr>
                <w:spacing w:val="-7"/>
                <w:sz w:val="20"/>
              </w:rPr>
              <w:t xml:space="preserve"> </w:t>
            </w:r>
            <w:r>
              <w:rPr>
                <w:sz w:val="20"/>
              </w:rPr>
              <w:t xml:space="preserve">тепловой</w:t>
            </w:r>
            <w:r>
              <w:rPr>
                <w:spacing w:val="-6"/>
                <w:sz w:val="20"/>
              </w:rPr>
              <w:t xml:space="preserve"> </w:t>
            </w:r>
            <w:r>
              <w:rPr>
                <w:sz w:val="20"/>
              </w:rPr>
              <w:t xml:space="preserve">энергии</w:t>
            </w:r>
            <w:r>
              <w:rPr>
                <w:spacing w:val="-7"/>
                <w:sz w:val="20"/>
              </w:rPr>
              <w:t xml:space="preserve"> </w:t>
            </w:r>
            <w:r>
              <w:rPr>
                <w:sz w:val="20"/>
              </w:rPr>
              <w:t xml:space="preserve">при</w:t>
            </w:r>
            <w:r>
              <w:rPr>
                <w:spacing w:val="-6"/>
                <w:sz w:val="20"/>
              </w:rPr>
              <w:t xml:space="preserve"> </w:t>
            </w:r>
            <w:r>
              <w:rPr>
                <w:sz w:val="20"/>
              </w:rPr>
              <w:t xml:space="preserve">её</w:t>
            </w:r>
            <w:r>
              <w:rPr>
                <w:spacing w:val="-5"/>
                <w:sz w:val="20"/>
              </w:rPr>
              <w:t xml:space="preserve"> </w:t>
            </w:r>
            <w:r>
              <w:rPr>
                <w:sz w:val="20"/>
              </w:rPr>
              <w:t xml:space="preserve">передаче</w:t>
            </w:r>
            <w:r>
              <w:rPr>
                <w:spacing w:val="-6"/>
                <w:sz w:val="20"/>
              </w:rPr>
              <w:t xml:space="preserve"> </w:t>
            </w:r>
            <w:r>
              <w:rPr>
                <w:spacing w:val="-5"/>
                <w:sz w:val="20"/>
              </w:rPr>
              <w:t xml:space="preserve">по</w:t>
            </w:r>
            <w:r>
              <w:rPr>
                <w:sz w:val="20"/>
              </w:rPr>
              <w:t xml:space="preserve"> тепловым</w:t>
            </w:r>
            <w:r>
              <w:rPr>
                <w:spacing w:val="-8"/>
                <w:sz w:val="20"/>
              </w:rPr>
              <w:t xml:space="preserve"> </w:t>
            </w:r>
            <w:r>
              <w:rPr>
                <w:sz w:val="20"/>
              </w:rPr>
              <w:t xml:space="preserve">сетям</w:t>
            </w:r>
            <w:r>
              <w:rPr>
                <w:sz w:val="20"/>
              </w:rPr>
            </w:r>
            <w:r>
              <w:rPr>
                <w:sz w:val="20"/>
              </w:rPr>
            </w:r>
          </w:p>
        </w:tc>
        <w:tc>
          <w:tcPr>
            <w:tcW w:w="419" w:type="pct"/>
            <w:vAlign w:val="center"/>
            <w:textDirection w:val="lrTb"/>
            <w:noWrap w:val="false"/>
          </w:tcPr>
          <w:p>
            <w:pPr>
              <w:pStyle w:val="1251"/>
              <w:ind w:left="-11" w:right="4"/>
              <w:rPr>
                <w:sz w:val="20"/>
                <w:szCs w:val="20"/>
              </w:rPr>
            </w:pPr>
            <w:r>
              <w:rPr>
                <w:sz w:val="20"/>
                <w:szCs w:val="20"/>
              </w:rPr>
              <w:t xml:space="preserve">-</w:t>
            </w:r>
            <w:r>
              <w:rPr>
                <w:sz w:val="20"/>
                <w:szCs w:val="20"/>
              </w:rPr>
            </w:r>
            <w:r>
              <w:rPr>
                <w:sz w:val="20"/>
                <w:szCs w:val="20"/>
              </w:rPr>
            </w:r>
          </w:p>
        </w:tc>
        <w:tc>
          <w:tcPr>
            <w:tcW w:w="419" w:type="pct"/>
            <w:vAlign w:val="center"/>
            <w:textDirection w:val="lrTb"/>
            <w:noWrap w:val="false"/>
          </w:tcPr>
          <w:p>
            <w:pPr>
              <w:pStyle w:val="1251"/>
              <w:ind w:left="-11" w:right="4"/>
              <w:rPr>
                <w:sz w:val="20"/>
                <w:szCs w:val="20"/>
              </w:rPr>
            </w:pPr>
            <w:r>
              <w:rPr>
                <w:sz w:val="20"/>
                <w:szCs w:val="20"/>
              </w:rPr>
              <w:t xml:space="preserve">-</w:t>
            </w:r>
            <w:r>
              <w:rPr>
                <w:sz w:val="20"/>
                <w:szCs w:val="20"/>
              </w:rPr>
            </w:r>
            <w:r>
              <w:rPr>
                <w:sz w:val="20"/>
                <w:szCs w:val="20"/>
              </w:rPr>
            </w:r>
          </w:p>
        </w:tc>
        <w:tc>
          <w:tcPr>
            <w:tcW w:w="420" w:type="pct"/>
            <w:vAlign w:val="center"/>
            <w:textDirection w:val="lrTb"/>
            <w:noWrap w:val="false"/>
          </w:tcPr>
          <w:p>
            <w:pPr>
              <w:pStyle w:val="1251"/>
              <w:ind w:left="-11" w:right="4"/>
              <w:rPr>
                <w:sz w:val="20"/>
                <w:szCs w:val="20"/>
              </w:rPr>
            </w:pPr>
            <w:r>
              <w:rPr>
                <w:sz w:val="20"/>
                <w:szCs w:val="20"/>
              </w:rPr>
              <w:t xml:space="preserve">-</w:t>
            </w:r>
            <w:r>
              <w:rPr>
                <w:sz w:val="20"/>
                <w:szCs w:val="20"/>
              </w:rPr>
            </w:r>
            <w:r>
              <w:rPr>
                <w:sz w:val="20"/>
                <w:szCs w:val="20"/>
              </w:rPr>
            </w:r>
          </w:p>
        </w:tc>
      </w:tr>
      <w:tr>
        <w:tblPrEx/>
        <w:trPr>
          <w:trHeight w:val="555" w:hRule="exact"/>
        </w:trPr>
        <w:tc>
          <w:tcPr>
            <w:tcW w:w="1358" w:type="pct"/>
            <w:vAlign w:val="center"/>
            <w:vMerge w:val="continue"/>
            <w:textDirection w:val="lrTb"/>
            <w:noWrap w:val="false"/>
          </w:tcPr>
          <w:p>
            <w:pPr>
              <w:rPr>
                <w:sz w:val="20"/>
                <w:szCs w:val="20"/>
              </w:rPr>
            </w:pPr>
            <w:r>
              <w:rPr>
                <w:sz w:val="20"/>
                <w:szCs w:val="20"/>
              </w:rPr>
            </w:r>
            <w:r>
              <w:rPr>
                <w:sz w:val="20"/>
                <w:szCs w:val="20"/>
              </w:rPr>
            </w:r>
            <w:r>
              <w:rPr>
                <w:sz w:val="20"/>
                <w:szCs w:val="20"/>
              </w:rPr>
            </w:r>
          </w:p>
        </w:tc>
        <w:tc>
          <w:tcPr>
            <w:tcW w:w="2384" w:type="pct"/>
            <w:textDirection w:val="lrTb"/>
            <w:noWrap w:val="false"/>
          </w:tcPr>
          <w:p>
            <w:pPr>
              <w:pStyle w:val="1251"/>
              <w:ind w:left="37"/>
              <w:jc w:val="left"/>
              <w:spacing w:line="225" w:lineRule="exact"/>
              <w:rPr>
                <w:sz w:val="20"/>
              </w:rPr>
            </w:pPr>
            <w:r>
              <w:rPr>
                <w:sz w:val="20"/>
              </w:rPr>
              <w:t xml:space="preserve">Потери</w:t>
            </w:r>
            <w:r>
              <w:rPr>
                <w:spacing w:val="-11"/>
                <w:sz w:val="20"/>
              </w:rPr>
              <w:t xml:space="preserve"> </w:t>
            </w:r>
            <w:r>
              <w:rPr>
                <w:sz w:val="20"/>
              </w:rPr>
              <w:t xml:space="preserve">теплопередачей</w:t>
            </w:r>
            <w:r>
              <w:rPr>
                <w:spacing w:val="-10"/>
                <w:sz w:val="20"/>
              </w:rPr>
              <w:t xml:space="preserve"> </w:t>
            </w:r>
            <w:r>
              <w:rPr>
                <w:spacing w:val="-5"/>
                <w:sz w:val="20"/>
              </w:rPr>
              <w:t xml:space="preserve">ч/з </w:t>
            </w:r>
            <w:r>
              <w:rPr>
                <w:sz w:val="20"/>
              </w:rPr>
              <w:t xml:space="preserve">теплоизоляционные</w:t>
            </w:r>
            <w:r>
              <w:rPr>
                <w:spacing w:val="-13"/>
                <w:sz w:val="20"/>
              </w:rPr>
              <w:t xml:space="preserve"> </w:t>
            </w:r>
            <w:r>
              <w:rPr>
                <w:sz w:val="20"/>
              </w:rPr>
              <w:t xml:space="preserve">конструкции теплопроводов</w:t>
            </w:r>
            <w:r>
              <w:rPr>
                <w:sz w:val="20"/>
              </w:rPr>
            </w:r>
            <w:r>
              <w:rPr>
                <w:sz w:val="20"/>
              </w:rPr>
            </w:r>
          </w:p>
        </w:tc>
        <w:tc>
          <w:tcPr>
            <w:tcW w:w="419" w:type="pct"/>
            <w:vAlign w:val="center"/>
            <w:textDirection w:val="lrTb"/>
            <w:noWrap w:val="false"/>
          </w:tcPr>
          <w:p>
            <w:pPr>
              <w:pStyle w:val="1251"/>
              <w:ind w:left="-11" w:right="4"/>
              <w:rPr>
                <w:sz w:val="20"/>
                <w:szCs w:val="20"/>
              </w:rPr>
            </w:pPr>
            <w:r>
              <w:rPr>
                <w:sz w:val="20"/>
                <w:szCs w:val="20"/>
              </w:rPr>
              <w:t xml:space="preserve">-</w:t>
            </w:r>
            <w:r>
              <w:rPr>
                <w:sz w:val="20"/>
                <w:szCs w:val="20"/>
              </w:rPr>
            </w:r>
            <w:r>
              <w:rPr>
                <w:sz w:val="20"/>
                <w:szCs w:val="20"/>
              </w:rPr>
            </w:r>
          </w:p>
        </w:tc>
        <w:tc>
          <w:tcPr>
            <w:tcW w:w="419" w:type="pct"/>
            <w:vAlign w:val="center"/>
            <w:textDirection w:val="lrTb"/>
            <w:noWrap w:val="false"/>
          </w:tcPr>
          <w:p>
            <w:pPr>
              <w:pStyle w:val="1251"/>
              <w:ind w:left="-11" w:right="4"/>
              <w:rPr>
                <w:sz w:val="20"/>
                <w:szCs w:val="20"/>
              </w:rPr>
            </w:pPr>
            <w:r>
              <w:rPr>
                <w:sz w:val="20"/>
                <w:szCs w:val="20"/>
              </w:rPr>
              <w:t xml:space="preserve">-</w:t>
            </w:r>
            <w:r>
              <w:rPr>
                <w:sz w:val="20"/>
                <w:szCs w:val="20"/>
              </w:rPr>
            </w:r>
            <w:r>
              <w:rPr>
                <w:sz w:val="20"/>
                <w:szCs w:val="20"/>
              </w:rPr>
            </w:r>
          </w:p>
        </w:tc>
        <w:tc>
          <w:tcPr>
            <w:tcW w:w="420" w:type="pct"/>
            <w:vAlign w:val="center"/>
            <w:textDirection w:val="lrTb"/>
            <w:noWrap w:val="false"/>
          </w:tcPr>
          <w:p>
            <w:pPr>
              <w:pStyle w:val="1251"/>
              <w:ind w:left="-11" w:right="4"/>
              <w:rPr>
                <w:sz w:val="20"/>
                <w:szCs w:val="20"/>
              </w:rPr>
            </w:pPr>
            <w:r>
              <w:rPr>
                <w:sz w:val="20"/>
                <w:szCs w:val="20"/>
              </w:rPr>
              <w:t xml:space="preserve">-</w:t>
            </w:r>
            <w:r>
              <w:rPr>
                <w:sz w:val="20"/>
                <w:szCs w:val="20"/>
              </w:rPr>
            </w:r>
            <w:r>
              <w:rPr>
                <w:sz w:val="20"/>
                <w:szCs w:val="20"/>
              </w:rPr>
            </w:r>
          </w:p>
        </w:tc>
      </w:tr>
      <w:tr>
        <w:tblPrEx/>
        <w:trPr>
          <w:trHeight w:val="279" w:hRule="exact"/>
        </w:trPr>
        <w:tc>
          <w:tcPr>
            <w:tcW w:w="1358" w:type="pct"/>
            <w:vAlign w:val="center"/>
            <w:vMerge w:val="continue"/>
            <w:textDirection w:val="lrTb"/>
            <w:noWrap w:val="false"/>
          </w:tcPr>
          <w:p>
            <w:pPr>
              <w:rPr>
                <w:sz w:val="20"/>
                <w:szCs w:val="20"/>
              </w:rPr>
            </w:pPr>
            <w:r>
              <w:rPr>
                <w:sz w:val="20"/>
                <w:szCs w:val="20"/>
              </w:rPr>
            </w:r>
            <w:r>
              <w:rPr>
                <w:sz w:val="20"/>
                <w:szCs w:val="20"/>
              </w:rPr>
            </w:r>
            <w:r>
              <w:rPr>
                <w:sz w:val="20"/>
                <w:szCs w:val="20"/>
              </w:rPr>
            </w:r>
          </w:p>
        </w:tc>
        <w:tc>
          <w:tcPr>
            <w:tcW w:w="2384" w:type="pct"/>
            <w:textDirection w:val="lrTb"/>
            <w:noWrap w:val="false"/>
          </w:tcPr>
          <w:p>
            <w:pPr>
              <w:pStyle w:val="1251"/>
              <w:ind w:left="37"/>
              <w:jc w:val="left"/>
              <w:spacing w:line="210" w:lineRule="exact"/>
              <w:rPr>
                <w:sz w:val="20"/>
              </w:rPr>
            </w:pPr>
            <w:r>
              <w:rPr>
                <w:sz w:val="20"/>
              </w:rPr>
              <w:t xml:space="preserve">Потери</w:t>
            </w:r>
            <w:r>
              <w:rPr>
                <w:spacing w:val="-11"/>
                <w:sz w:val="20"/>
              </w:rPr>
              <w:t xml:space="preserve"> </w:t>
            </w:r>
            <w:r>
              <w:rPr>
                <w:sz w:val="20"/>
              </w:rPr>
              <w:t xml:space="preserve">теплоносителя</w:t>
            </w:r>
            <w:r>
              <w:rPr>
                <w:sz w:val="20"/>
              </w:rPr>
            </w:r>
            <w:r>
              <w:rPr>
                <w:sz w:val="20"/>
              </w:rPr>
            </w:r>
          </w:p>
        </w:tc>
        <w:tc>
          <w:tcPr>
            <w:tcW w:w="419" w:type="pct"/>
            <w:vAlign w:val="center"/>
            <w:textDirection w:val="lrTb"/>
            <w:noWrap w:val="false"/>
          </w:tcPr>
          <w:p>
            <w:pPr>
              <w:pStyle w:val="1251"/>
              <w:ind w:left="-11" w:right="4"/>
              <w:rPr>
                <w:sz w:val="20"/>
                <w:szCs w:val="20"/>
              </w:rPr>
            </w:pPr>
            <w:r>
              <w:rPr>
                <w:sz w:val="20"/>
                <w:szCs w:val="20"/>
              </w:rPr>
              <w:t xml:space="preserve">-</w:t>
            </w:r>
            <w:r>
              <w:rPr>
                <w:sz w:val="20"/>
                <w:szCs w:val="20"/>
              </w:rPr>
            </w:r>
            <w:r>
              <w:rPr>
                <w:sz w:val="20"/>
                <w:szCs w:val="20"/>
              </w:rPr>
            </w:r>
          </w:p>
        </w:tc>
        <w:tc>
          <w:tcPr>
            <w:tcW w:w="419" w:type="pct"/>
            <w:vAlign w:val="center"/>
            <w:textDirection w:val="lrTb"/>
            <w:noWrap w:val="false"/>
          </w:tcPr>
          <w:p>
            <w:pPr>
              <w:pStyle w:val="1251"/>
              <w:ind w:left="-11" w:right="4"/>
              <w:rPr>
                <w:sz w:val="20"/>
                <w:szCs w:val="20"/>
              </w:rPr>
            </w:pPr>
            <w:r>
              <w:rPr>
                <w:sz w:val="20"/>
                <w:szCs w:val="20"/>
              </w:rPr>
              <w:t xml:space="preserve">-</w:t>
            </w:r>
            <w:r>
              <w:rPr>
                <w:sz w:val="20"/>
                <w:szCs w:val="20"/>
              </w:rPr>
            </w:r>
            <w:r>
              <w:rPr>
                <w:sz w:val="20"/>
                <w:szCs w:val="20"/>
              </w:rPr>
            </w:r>
          </w:p>
        </w:tc>
        <w:tc>
          <w:tcPr>
            <w:tcW w:w="420" w:type="pct"/>
            <w:vAlign w:val="center"/>
            <w:textDirection w:val="lrTb"/>
            <w:noWrap w:val="false"/>
          </w:tcPr>
          <w:p>
            <w:pPr>
              <w:pStyle w:val="1251"/>
              <w:ind w:left="-11" w:right="4"/>
              <w:rPr>
                <w:sz w:val="20"/>
                <w:szCs w:val="20"/>
              </w:rPr>
            </w:pPr>
            <w:r>
              <w:rPr>
                <w:sz w:val="20"/>
                <w:szCs w:val="20"/>
              </w:rPr>
              <w:t xml:space="preserve">-</w:t>
            </w:r>
            <w:r>
              <w:rPr>
                <w:sz w:val="20"/>
                <w:szCs w:val="20"/>
              </w:rPr>
            </w:r>
            <w:r>
              <w:rPr>
                <w:sz w:val="20"/>
                <w:szCs w:val="20"/>
              </w:rPr>
            </w:r>
          </w:p>
        </w:tc>
      </w:tr>
      <w:tr>
        <w:tblPrEx/>
        <w:trPr>
          <w:trHeight w:val="465" w:hRule="exact"/>
        </w:trPr>
        <w:tc>
          <w:tcPr>
            <w:tcW w:w="1358" w:type="pct"/>
            <w:vAlign w:val="center"/>
            <w:vMerge w:val="restart"/>
            <w:textDirection w:val="lrTb"/>
            <w:noWrap w:val="false"/>
          </w:tcPr>
          <w:p>
            <w:pPr>
              <w:pStyle w:val="1251"/>
              <w:ind w:right="5"/>
              <w:rPr>
                <w:rFonts w:ascii="Liberation Serif" w:hAnsi="Liberation Serif" w:cs="Calibri"/>
                <w:color w:val="000000"/>
                <w:sz w:val="20"/>
                <w:szCs w:val="20"/>
              </w:rPr>
            </w:pPr>
            <w:r>
              <w:rPr>
                <w:sz w:val="20"/>
                <w:szCs w:val="20"/>
              </w:rPr>
              <w:t xml:space="preserve">Котельная </w:t>
            </w:r>
            <w:r>
              <w:rPr>
                <w:rFonts w:ascii="Liberation Serif" w:hAnsi="Liberation Serif" w:cs="Calibri"/>
                <w:color w:val="000000"/>
                <w:sz w:val="20"/>
                <w:szCs w:val="20"/>
              </w:rPr>
              <w:t xml:space="preserve">р.п. Юргамыш, </w:t>
            </w:r>
            <w:r>
              <w:rPr>
                <w:rFonts w:ascii="Liberation Serif" w:hAnsi="Liberation Serif" w:cs="Calibri"/>
                <w:color w:val="000000"/>
                <w:sz w:val="20"/>
                <w:szCs w:val="20"/>
              </w:rPr>
            </w:r>
            <w:r>
              <w:rPr>
                <w:rFonts w:ascii="Liberation Serif" w:hAnsi="Liberation Serif" w:cs="Calibri"/>
                <w:color w:val="000000"/>
                <w:sz w:val="20"/>
                <w:szCs w:val="20"/>
              </w:rPr>
            </w:r>
          </w:p>
          <w:p>
            <w:pPr>
              <w:pStyle w:val="1251"/>
              <w:ind w:right="5"/>
              <w:rPr>
                <w:sz w:val="20"/>
                <w:szCs w:val="20"/>
              </w:rPr>
            </w:pPr>
            <w:r>
              <w:rPr>
                <w:rFonts w:ascii="Liberation Serif" w:hAnsi="Liberation Serif" w:cs="Calibri"/>
                <w:color w:val="000000"/>
                <w:sz w:val="20"/>
                <w:szCs w:val="20"/>
              </w:rPr>
              <w:t xml:space="preserve">ул. Ленина, 47а</w:t>
            </w:r>
            <w:r>
              <w:rPr>
                <w:sz w:val="20"/>
                <w:szCs w:val="20"/>
              </w:rPr>
            </w:r>
            <w:r>
              <w:rPr>
                <w:sz w:val="20"/>
                <w:szCs w:val="20"/>
              </w:rPr>
            </w:r>
          </w:p>
        </w:tc>
        <w:tc>
          <w:tcPr>
            <w:tcW w:w="2384" w:type="pct"/>
            <w:textDirection w:val="lrTb"/>
            <w:noWrap w:val="false"/>
          </w:tcPr>
          <w:p>
            <w:pPr>
              <w:pStyle w:val="1251"/>
              <w:ind w:left="37"/>
              <w:jc w:val="left"/>
              <w:spacing w:line="225" w:lineRule="exact"/>
              <w:rPr>
                <w:sz w:val="20"/>
              </w:rPr>
            </w:pPr>
            <w:r>
              <w:rPr>
                <w:sz w:val="20"/>
              </w:rPr>
              <w:t xml:space="preserve">Потери</w:t>
            </w:r>
            <w:r>
              <w:rPr>
                <w:spacing w:val="-7"/>
                <w:sz w:val="20"/>
              </w:rPr>
              <w:t xml:space="preserve"> </w:t>
            </w:r>
            <w:r>
              <w:rPr>
                <w:sz w:val="20"/>
              </w:rPr>
              <w:t xml:space="preserve">тепловой</w:t>
            </w:r>
            <w:r>
              <w:rPr>
                <w:spacing w:val="-6"/>
                <w:sz w:val="20"/>
              </w:rPr>
              <w:t xml:space="preserve"> </w:t>
            </w:r>
            <w:r>
              <w:rPr>
                <w:sz w:val="20"/>
              </w:rPr>
              <w:t xml:space="preserve">энергии</w:t>
            </w:r>
            <w:r>
              <w:rPr>
                <w:spacing w:val="-7"/>
                <w:sz w:val="20"/>
              </w:rPr>
              <w:t xml:space="preserve"> </w:t>
            </w:r>
            <w:r>
              <w:rPr>
                <w:sz w:val="20"/>
              </w:rPr>
              <w:t xml:space="preserve">при</w:t>
            </w:r>
            <w:r>
              <w:rPr>
                <w:spacing w:val="-6"/>
                <w:sz w:val="20"/>
              </w:rPr>
              <w:t xml:space="preserve"> </w:t>
            </w:r>
            <w:r>
              <w:rPr>
                <w:sz w:val="20"/>
              </w:rPr>
              <w:t xml:space="preserve">её</w:t>
            </w:r>
            <w:r>
              <w:rPr>
                <w:spacing w:val="-5"/>
                <w:sz w:val="20"/>
              </w:rPr>
              <w:t xml:space="preserve"> </w:t>
            </w:r>
            <w:r>
              <w:rPr>
                <w:sz w:val="20"/>
              </w:rPr>
              <w:t xml:space="preserve">передаче</w:t>
            </w:r>
            <w:r>
              <w:rPr>
                <w:spacing w:val="-6"/>
                <w:sz w:val="20"/>
              </w:rPr>
              <w:t xml:space="preserve"> </w:t>
            </w:r>
            <w:r>
              <w:rPr>
                <w:spacing w:val="-5"/>
                <w:sz w:val="20"/>
              </w:rPr>
              <w:t xml:space="preserve">по</w:t>
            </w:r>
            <w:r>
              <w:rPr>
                <w:sz w:val="20"/>
              </w:rPr>
              <w:t xml:space="preserve"> тепловым</w:t>
            </w:r>
            <w:r>
              <w:rPr>
                <w:spacing w:val="-8"/>
                <w:sz w:val="20"/>
              </w:rPr>
              <w:t xml:space="preserve"> </w:t>
            </w:r>
            <w:r>
              <w:rPr>
                <w:sz w:val="20"/>
              </w:rPr>
              <w:t xml:space="preserve">сетям</w:t>
            </w:r>
            <w:r>
              <w:rPr>
                <w:sz w:val="20"/>
              </w:rPr>
            </w:r>
            <w:r>
              <w:rPr>
                <w:sz w:val="20"/>
              </w:rPr>
            </w:r>
          </w:p>
        </w:tc>
        <w:tc>
          <w:tcPr>
            <w:tcW w:w="419" w:type="pct"/>
            <w:vAlign w:val="center"/>
            <w:textDirection w:val="lrTb"/>
            <w:noWrap w:val="false"/>
          </w:tcPr>
          <w:p>
            <w:pPr>
              <w:pStyle w:val="1251"/>
              <w:ind w:left="-11" w:right="4" w:firstLine="11"/>
              <w:rPr>
                <w:sz w:val="20"/>
                <w:szCs w:val="20"/>
              </w:rPr>
            </w:pPr>
            <w:r>
              <w:rPr>
                <w:sz w:val="20"/>
                <w:szCs w:val="20"/>
              </w:rPr>
              <w:t xml:space="preserve">0,085</w:t>
            </w:r>
            <w:r>
              <w:rPr>
                <w:sz w:val="20"/>
                <w:szCs w:val="20"/>
              </w:rPr>
            </w:r>
            <w:r>
              <w:rPr>
                <w:sz w:val="20"/>
                <w:szCs w:val="20"/>
              </w:rPr>
            </w:r>
          </w:p>
        </w:tc>
        <w:tc>
          <w:tcPr>
            <w:tcW w:w="419" w:type="pct"/>
            <w:vAlign w:val="center"/>
            <w:textDirection w:val="lrTb"/>
            <w:noWrap w:val="false"/>
          </w:tcPr>
          <w:p>
            <w:pPr>
              <w:pStyle w:val="1251"/>
              <w:ind w:left="-11" w:right="4" w:firstLine="11"/>
              <w:rPr>
                <w:sz w:val="20"/>
                <w:szCs w:val="20"/>
              </w:rPr>
            </w:pPr>
            <w:r>
              <w:rPr>
                <w:sz w:val="20"/>
                <w:szCs w:val="20"/>
              </w:rPr>
              <w:t xml:space="preserve">0,085</w:t>
            </w:r>
            <w:r>
              <w:rPr>
                <w:sz w:val="20"/>
                <w:szCs w:val="20"/>
              </w:rPr>
            </w:r>
            <w:r>
              <w:rPr>
                <w:sz w:val="20"/>
                <w:szCs w:val="20"/>
              </w:rPr>
            </w:r>
          </w:p>
        </w:tc>
        <w:tc>
          <w:tcPr>
            <w:tcW w:w="420" w:type="pct"/>
            <w:vAlign w:val="center"/>
            <w:textDirection w:val="lrTb"/>
            <w:noWrap w:val="false"/>
          </w:tcPr>
          <w:p>
            <w:pPr>
              <w:pStyle w:val="1251"/>
              <w:ind w:left="-11" w:right="4" w:firstLine="11"/>
              <w:rPr>
                <w:sz w:val="20"/>
                <w:szCs w:val="20"/>
              </w:rPr>
            </w:pPr>
            <w:r>
              <w:rPr>
                <w:sz w:val="20"/>
                <w:szCs w:val="20"/>
              </w:rPr>
              <w:t xml:space="preserve">0,085</w:t>
            </w:r>
            <w:r>
              <w:rPr>
                <w:sz w:val="20"/>
                <w:szCs w:val="20"/>
              </w:rPr>
            </w:r>
            <w:r>
              <w:rPr>
                <w:sz w:val="20"/>
                <w:szCs w:val="20"/>
              </w:rPr>
            </w:r>
          </w:p>
        </w:tc>
      </w:tr>
      <w:tr>
        <w:tblPrEx/>
        <w:trPr>
          <w:trHeight w:val="555" w:hRule="exact"/>
        </w:trPr>
        <w:tc>
          <w:tcPr>
            <w:tcW w:w="1358" w:type="pct"/>
            <w:vAlign w:val="center"/>
            <w:vMerge w:val="continue"/>
            <w:textDirection w:val="lrTb"/>
            <w:noWrap w:val="false"/>
          </w:tcPr>
          <w:p>
            <w:pPr>
              <w:rPr>
                <w:sz w:val="20"/>
                <w:szCs w:val="20"/>
              </w:rPr>
            </w:pPr>
            <w:r>
              <w:rPr>
                <w:sz w:val="20"/>
                <w:szCs w:val="20"/>
              </w:rPr>
            </w:r>
            <w:r>
              <w:rPr>
                <w:sz w:val="20"/>
                <w:szCs w:val="20"/>
              </w:rPr>
            </w:r>
            <w:r>
              <w:rPr>
                <w:sz w:val="20"/>
                <w:szCs w:val="20"/>
              </w:rPr>
            </w:r>
          </w:p>
        </w:tc>
        <w:tc>
          <w:tcPr>
            <w:tcW w:w="2384" w:type="pct"/>
            <w:textDirection w:val="lrTb"/>
            <w:noWrap w:val="false"/>
          </w:tcPr>
          <w:p>
            <w:pPr>
              <w:pStyle w:val="1251"/>
              <w:ind w:left="37"/>
              <w:jc w:val="left"/>
              <w:spacing w:line="225" w:lineRule="exact"/>
              <w:rPr>
                <w:sz w:val="20"/>
              </w:rPr>
            </w:pPr>
            <w:r>
              <w:rPr>
                <w:sz w:val="20"/>
              </w:rPr>
              <w:t xml:space="preserve">Потери</w:t>
            </w:r>
            <w:r>
              <w:rPr>
                <w:spacing w:val="-11"/>
                <w:sz w:val="20"/>
              </w:rPr>
              <w:t xml:space="preserve"> </w:t>
            </w:r>
            <w:r>
              <w:rPr>
                <w:sz w:val="20"/>
              </w:rPr>
              <w:t xml:space="preserve">теплопередачей</w:t>
            </w:r>
            <w:r>
              <w:rPr>
                <w:spacing w:val="-10"/>
                <w:sz w:val="20"/>
              </w:rPr>
              <w:t xml:space="preserve"> </w:t>
            </w:r>
            <w:r>
              <w:rPr>
                <w:spacing w:val="-5"/>
                <w:sz w:val="20"/>
              </w:rPr>
              <w:t xml:space="preserve">ч/з </w:t>
            </w:r>
            <w:r>
              <w:rPr>
                <w:sz w:val="20"/>
              </w:rPr>
              <w:t xml:space="preserve">теплоизоляционные</w:t>
            </w:r>
            <w:r>
              <w:rPr>
                <w:spacing w:val="-13"/>
                <w:sz w:val="20"/>
              </w:rPr>
              <w:t xml:space="preserve"> </w:t>
            </w:r>
            <w:r>
              <w:rPr>
                <w:sz w:val="20"/>
              </w:rPr>
              <w:t xml:space="preserve">конструкции теплопроводов</w:t>
            </w:r>
            <w:r>
              <w:rPr>
                <w:sz w:val="20"/>
              </w:rPr>
            </w:r>
            <w:r>
              <w:rPr>
                <w:sz w:val="20"/>
              </w:rPr>
            </w:r>
          </w:p>
        </w:tc>
        <w:tc>
          <w:tcPr>
            <w:tcW w:w="419" w:type="pct"/>
            <w:vAlign w:val="center"/>
            <w:textDirection w:val="lrTb"/>
            <w:noWrap w:val="false"/>
          </w:tcPr>
          <w:p>
            <w:pPr>
              <w:pStyle w:val="1251"/>
              <w:ind w:left="-11" w:right="4"/>
              <w:rPr>
                <w:sz w:val="20"/>
                <w:szCs w:val="20"/>
              </w:rPr>
            </w:pPr>
            <w:r>
              <w:rPr>
                <w:sz w:val="20"/>
                <w:szCs w:val="20"/>
              </w:rPr>
              <w:t xml:space="preserve">0,0847</w:t>
            </w:r>
            <w:r>
              <w:rPr>
                <w:sz w:val="20"/>
                <w:szCs w:val="20"/>
              </w:rPr>
            </w:r>
            <w:r>
              <w:rPr>
                <w:sz w:val="20"/>
                <w:szCs w:val="20"/>
              </w:rPr>
            </w:r>
          </w:p>
        </w:tc>
        <w:tc>
          <w:tcPr>
            <w:tcW w:w="419" w:type="pct"/>
            <w:vAlign w:val="center"/>
            <w:textDirection w:val="lrTb"/>
            <w:noWrap w:val="false"/>
          </w:tcPr>
          <w:p>
            <w:pPr>
              <w:pStyle w:val="1251"/>
              <w:ind w:left="-11" w:right="4"/>
              <w:rPr>
                <w:sz w:val="20"/>
                <w:szCs w:val="20"/>
              </w:rPr>
            </w:pPr>
            <w:r>
              <w:rPr>
                <w:sz w:val="20"/>
                <w:szCs w:val="20"/>
              </w:rPr>
              <w:t xml:space="preserve">0,0847</w:t>
            </w:r>
            <w:r>
              <w:rPr>
                <w:sz w:val="20"/>
                <w:szCs w:val="20"/>
              </w:rPr>
            </w:r>
            <w:r>
              <w:rPr>
                <w:sz w:val="20"/>
                <w:szCs w:val="20"/>
              </w:rPr>
            </w:r>
          </w:p>
        </w:tc>
        <w:tc>
          <w:tcPr>
            <w:tcW w:w="420" w:type="pct"/>
            <w:vAlign w:val="center"/>
            <w:textDirection w:val="lrTb"/>
            <w:noWrap w:val="false"/>
          </w:tcPr>
          <w:p>
            <w:pPr>
              <w:pStyle w:val="1251"/>
              <w:ind w:left="-11" w:right="4"/>
              <w:rPr>
                <w:sz w:val="20"/>
                <w:szCs w:val="20"/>
              </w:rPr>
            </w:pPr>
            <w:r>
              <w:rPr>
                <w:sz w:val="20"/>
                <w:szCs w:val="20"/>
              </w:rPr>
              <w:t xml:space="preserve">0,0847</w:t>
            </w:r>
            <w:r>
              <w:rPr>
                <w:sz w:val="20"/>
                <w:szCs w:val="20"/>
              </w:rPr>
            </w:r>
            <w:r>
              <w:rPr>
                <w:sz w:val="20"/>
                <w:szCs w:val="20"/>
              </w:rPr>
            </w:r>
          </w:p>
        </w:tc>
      </w:tr>
      <w:tr>
        <w:tblPrEx/>
        <w:trPr>
          <w:trHeight w:val="279" w:hRule="exact"/>
        </w:trPr>
        <w:tc>
          <w:tcPr>
            <w:tcW w:w="1358" w:type="pct"/>
            <w:vAlign w:val="center"/>
            <w:vMerge w:val="continue"/>
            <w:textDirection w:val="lrTb"/>
            <w:noWrap w:val="false"/>
          </w:tcPr>
          <w:p>
            <w:pPr>
              <w:rPr>
                <w:sz w:val="20"/>
                <w:szCs w:val="20"/>
              </w:rPr>
            </w:pPr>
            <w:r>
              <w:rPr>
                <w:sz w:val="20"/>
                <w:szCs w:val="20"/>
              </w:rPr>
            </w:r>
            <w:r>
              <w:rPr>
                <w:sz w:val="20"/>
                <w:szCs w:val="20"/>
              </w:rPr>
            </w:r>
            <w:r>
              <w:rPr>
                <w:sz w:val="20"/>
                <w:szCs w:val="20"/>
              </w:rPr>
            </w:r>
          </w:p>
        </w:tc>
        <w:tc>
          <w:tcPr>
            <w:tcW w:w="2384" w:type="pct"/>
            <w:textDirection w:val="lrTb"/>
            <w:noWrap w:val="false"/>
          </w:tcPr>
          <w:p>
            <w:pPr>
              <w:pStyle w:val="1251"/>
              <w:ind w:left="37"/>
              <w:jc w:val="left"/>
              <w:spacing w:line="210" w:lineRule="exact"/>
              <w:rPr>
                <w:sz w:val="20"/>
              </w:rPr>
            </w:pPr>
            <w:r>
              <w:rPr>
                <w:sz w:val="20"/>
              </w:rPr>
              <w:t xml:space="preserve">Потери</w:t>
            </w:r>
            <w:r>
              <w:rPr>
                <w:spacing w:val="-11"/>
                <w:sz w:val="20"/>
              </w:rPr>
              <w:t xml:space="preserve"> </w:t>
            </w:r>
            <w:r>
              <w:rPr>
                <w:sz w:val="20"/>
              </w:rPr>
              <w:t xml:space="preserve">теплоносителя</w:t>
            </w:r>
            <w:r>
              <w:rPr>
                <w:sz w:val="20"/>
              </w:rPr>
            </w:r>
            <w:r>
              <w:rPr>
                <w:sz w:val="20"/>
              </w:rPr>
            </w:r>
          </w:p>
        </w:tc>
        <w:tc>
          <w:tcPr>
            <w:tcW w:w="419" w:type="pct"/>
            <w:vAlign w:val="center"/>
            <w:textDirection w:val="lrTb"/>
            <w:noWrap w:val="false"/>
          </w:tcPr>
          <w:p>
            <w:pPr>
              <w:pStyle w:val="1251"/>
              <w:ind w:left="-11" w:right="4"/>
              <w:rPr>
                <w:sz w:val="20"/>
                <w:szCs w:val="20"/>
              </w:rPr>
            </w:pPr>
            <w:r>
              <w:rPr>
                <w:iCs/>
                <w:sz w:val="20"/>
                <w:szCs w:val="20"/>
              </w:rPr>
              <w:t xml:space="preserve">0,0003</w:t>
            </w:r>
            <w:r>
              <w:rPr>
                <w:sz w:val="20"/>
                <w:szCs w:val="20"/>
              </w:rPr>
            </w:r>
            <w:r>
              <w:rPr>
                <w:sz w:val="20"/>
                <w:szCs w:val="20"/>
              </w:rPr>
            </w:r>
          </w:p>
        </w:tc>
        <w:tc>
          <w:tcPr>
            <w:tcW w:w="419" w:type="pct"/>
            <w:vAlign w:val="center"/>
            <w:textDirection w:val="lrTb"/>
            <w:noWrap w:val="false"/>
          </w:tcPr>
          <w:p>
            <w:pPr>
              <w:pStyle w:val="1251"/>
              <w:ind w:left="-11" w:right="4"/>
              <w:rPr>
                <w:sz w:val="20"/>
                <w:szCs w:val="20"/>
              </w:rPr>
            </w:pPr>
            <w:r>
              <w:rPr>
                <w:iCs/>
                <w:sz w:val="20"/>
                <w:szCs w:val="20"/>
              </w:rPr>
              <w:t xml:space="preserve">0,0003</w:t>
            </w:r>
            <w:r>
              <w:rPr>
                <w:sz w:val="20"/>
                <w:szCs w:val="20"/>
              </w:rPr>
            </w:r>
            <w:r>
              <w:rPr>
                <w:sz w:val="20"/>
                <w:szCs w:val="20"/>
              </w:rPr>
            </w:r>
          </w:p>
        </w:tc>
        <w:tc>
          <w:tcPr>
            <w:tcW w:w="420" w:type="pct"/>
            <w:vAlign w:val="center"/>
            <w:textDirection w:val="lrTb"/>
            <w:noWrap w:val="false"/>
          </w:tcPr>
          <w:p>
            <w:pPr>
              <w:pStyle w:val="1251"/>
              <w:ind w:left="-11" w:right="4"/>
              <w:rPr>
                <w:sz w:val="20"/>
                <w:szCs w:val="20"/>
              </w:rPr>
            </w:pPr>
            <w:r>
              <w:rPr>
                <w:iCs/>
                <w:sz w:val="20"/>
                <w:szCs w:val="20"/>
              </w:rPr>
              <w:t xml:space="preserve">0,0003</w:t>
            </w:r>
            <w:r>
              <w:rPr>
                <w:sz w:val="20"/>
                <w:szCs w:val="20"/>
              </w:rPr>
            </w:r>
            <w:r>
              <w:rPr>
                <w:sz w:val="20"/>
                <w:szCs w:val="20"/>
              </w:rPr>
            </w:r>
          </w:p>
        </w:tc>
      </w:tr>
    </w:tbl>
    <w:p>
      <w:pPr>
        <w:pStyle w:val="1247"/>
        <w:rPr>
          <w:b/>
          <w:sz w:val="26"/>
        </w:rPr>
      </w:pPr>
      <w:r>
        <w:rPr>
          <w:b/>
          <w:sz w:val="26"/>
        </w:rPr>
      </w:r>
      <w:r>
        <w:rPr>
          <w:b/>
          <w:sz w:val="26"/>
        </w:rPr>
      </w:r>
      <w:r>
        <w:rPr>
          <w:b/>
          <w:sz w:val="26"/>
        </w:rPr>
      </w:r>
    </w:p>
    <w:p>
      <w:pPr>
        <w:pStyle w:val="1248"/>
        <w:ind w:firstLine="733"/>
        <w:jc w:val="left"/>
      </w:pPr>
      <w:r/>
      <w:bookmarkStart w:id="125" w:name="_bookmark78"/>
      <w:r/>
      <w:bookmarkStart w:id="126" w:name="_bookmark79"/>
      <w:r/>
      <w:bookmarkStart w:id="127" w:name="_Toc130231903"/>
      <w:r/>
      <w:bookmarkStart w:id="128" w:name="_Toc165540686"/>
      <w:r/>
      <w:bookmarkEnd w:id="125"/>
      <w:r/>
      <w:bookmarkEnd w:id="126"/>
      <w:r>
        <w:rPr>
          <w:lang w:eastAsia="ru-RU"/>
        </w:rPr>
        <w:t xml:space="preserve">1.3.15 </w:t>
      </w:r>
      <w:r>
        <w:t xml:space="preserve">Предписания</w:t>
      </w:r>
      <w:r>
        <w:rPr>
          <w:spacing w:val="-15"/>
        </w:rPr>
        <w:t xml:space="preserve"> </w:t>
      </w:r>
      <w:r>
        <w:t xml:space="preserve">надзорных</w:t>
      </w:r>
      <w:r>
        <w:rPr>
          <w:spacing w:val="-15"/>
        </w:rPr>
        <w:t xml:space="preserve"> </w:t>
      </w:r>
      <w:r>
        <w:t xml:space="preserve">органов</w:t>
      </w:r>
      <w:r>
        <w:rPr>
          <w:spacing w:val="-15"/>
        </w:rPr>
        <w:t xml:space="preserve"> </w:t>
      </w:r>
      <w:r>
        <w:t xml:space="preserve">по</w:t>
      </w:r>
      <w:r>
        <w:rPr>
          <w:spacing w:val="-15"/>
        </w:rPr>
        <w:t xml:space="preserve"> </w:t>
      </w:r>
      <w:r>
        <w:t xml:space="preserve">запрещению</w:t>
      </w:r>
      <w:r>
        <w:rPr>
          <w:spacing w:val="-15"/>
        </w:rPr>
        <w:t xml:space="preserve"> </w:t>
      </w:r>
      <w:r>
        <w:t xml:space="preserve">дальнейшей</w:t>
      </w:r>
      <w:r>
        <w:rPr>
          <w:spacing w:val="-15"/>
        </w:rPr>
        <w:t xml:space="preserve"> </w:t>
      </w:r>
      <w:r>
        <w:t xml:space="preserve">эксплуатации участков тепловой сети и результаты их исполнения</w:t>
      </w:r>
      <w:bookmarkEnd w:id="127"/>
      <w:r/>
      <w:bookmarkEnd w:id="128"/>
      <w:r/>
      <w:r/>
    </w:p>
    <w:p>
      <w:pPr>
        <w:pStyle w:val="1247"/>
        <w:ind w:left="118" w:firstLine="707"/>
        <w:spacing w:before="116"/>
      </w:pPr>
      <w:r>
        <w:t xml:space="preserve">Предписания надзорных органов по запрещению дальнейшей эксплуатации участков тепловой сети не выдавались.</w:t>
      </w:r>
      <w:r/>
    </w:p>
    <w:p>
      <w:pPr>
        <w:pStyle w:val="1247"/>
        <w:rPr>
          <w:sz w:val="27"/>
        </w:rPr>
      </w:pPr>
      <w:r>
        <w:rPr>
          <w:sz w:val="27"/>
        </w:rPr>
      </w:r>
      <w:r>
        <w:rPr>
          <w:sz w:val="27"/>
        </w:rPr>
      </w:r>
      <w:r>
        <w:rPr>
          <w:sz w:val="27"/>
        </w:rPr>
      </w:r>
    </w:p>
    <w:p>
      <w:pPr>
        <w:pStyle w:val="1248"/>
        <w:ind w:right="266" w:firstLine="733"/>
      </w:pPr>
      <w:r/>
      <w:bookmarkStart w:id="129" w:name="_bookmark80"/>
      <w:r/>
      <w:bookmarkStart w:id="130" w:name="_Toc130231904"/>
      <w:r/>
      <w:bookmarkStart w:id="131" w:name="_Toc165540687"/>
      <w:r/>
      <w:bookmarkEnd w:id="129"/>
      <w:r>
        <w:rPr>
          <w:lang w:eastAsia="ru-RU"/>
        </w:rPr>
        <w:t xml:space="preserve">1.3.16 </w:t>
      </w:r>
      <w:r>
        <w:t xml:space="preserve">Описание наиболее распространённых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bookmarkEnd w:id="130"/>
      <w:r/>
      <w:bookmarkEnd w:id="131"/>
      <w:r/>
      <w:r/>
    </w:p>
    <w:p>
      <w:pPr>
        <w:pStyle w:val="1247"/>
        <w:ind w:left="118" w:right="274" w:firstLine="707"/>
        <w:jc w:val="both"/>
        <w:spacing w:before="116"/>
        <w:rPr>
          <w:spacing w:val="-2"/>
        </w:rPr>
      </w:pPr>
      <w:r>
        <w:t xml:space="preserve">Все присоединения теплопотребляющих установок потребителей к тепловым сетям осуществляются</w:t>
      </w:r>
      <w:r>
        <w:rPr>
          <w:spacing w:val="-7"/>
        </w:rPr>
        <w:t xml:space="preserve"> </w:t>
      </w:r>
      <w:r>
        <w:t xml:space="preserve">по</w:t>
      </w:r>
      <w:r>
        <w:rPr>
          <w:spacing w:val="-7"/>
        </w:rPr>
        <w:t xml:space="preserve"> </w:t>
      </w:r>
      <w:r>
        <w:t xml:space="preserve">зависимому</w:t>
      </w:r>
      <w:r>
        <w:rPr>
          <w:spacing w:val="-9"/>
        </w:rPr>
        <w:t xml:space="preserve"> </w:t>
      </w:r>
      <w:r>
        <w:t xml:space="preserve">(непосредственному)</w:t>
      </w:r>
      <w:r>
        <w:rPr>
          <w:spacing w:val="-8"/>
        </w:rPr>
        <w:t xml:space="preserve"> </w:t>
      </w:r>
      <w:r>
        <w:t xml:space="preserve">присоединению</w:t>
      </w:r>
      <w:r>
        <w:rPr>
          <w:spacing w:val="-9"/>
        </w:rPr>
        <w:t xml:space="preserve"> </w:t>
      </w:r>
      <w:r>
        <w:t xml:space="preserve">системы</w:t>
      </w:r>
      <w:r>
        <w:rPr>
          <w:spacing w:val="-7"/>
        </w:rPr>
        <w:t xml:space="preserve"> </w:t>
      </w:r>
      <w:r>
        <w:t xml:space="preserve">отопления</w:t>
      </w:r>
      <w:r>
        <w:rPr>
          <w:spacing w:val="-7"/>
        </w:rPr>
        <w:t xml:space="preserve"> </w:t>
      </w:r>
      <w:r>
        <w:t xml:space="preserve">без </w:t>
      </w:r>
      <w:r>
        <w:rPr>
          <w:spacing w:val="-2"/>
        </w:rPr>
        <w:t xml:space="preserve">смешения.</w:t>
      </w:r>
      <w:r>
        <w:rPr>
          <w:spacing w:val="-2"/>
        </w:rPr>
      </w:r>
      <w:r>
        <w:rPr>
          <w:spacing w:val="-2"/>
        </w:rPr>
      </w:r>
    </w:p>
    <w:p>
      <w:pPr>
        <w:pStyle w:val="1247"/>
        <w:rPr>
          <w:sz w:val="27"/>
        </w:rPr>
      </w:pPr>
      <w:r>
        <w:rPr>
          <w:sz w:val="27"/>
        </w:rPr>
      </w:r>
      <w:r>
        <w:rPr>
          <w:sz w:val="27"/>
        </w:rPr>
      </w:r>
      <w:r>
        <w:rPr>
          <w:sz w:val="27"/>
        </w:rPr>
      </w:r>
    </w:p>
    <w:p>
      <w:pPr>
        <w:pStyle w:val="1248"/>
        <w:ind w:right="267" w:firstLine="733"/>
      </w:pPr>
      <w:r/>
      <w:bookmarkStart w:id="132" w:name="_bookmark81"/>
      <w:r/>
      <w:bookmarkStart w:id="133" w:name="_Toc130231905"/>
      <w:r/>
      <w:bookmarkStart w:id="134" w:name="_Toc165540688"/>
      <w:r/>
      <w:bookmarkEnd w:id="132"/>
      <w:r>
        <w:rPr>
          <w:lang w:eastAsia="ru-RU"/>
        </w:rPr>
        <w:t xml:space="preserve">1.3.17 </w:t>
      </w:r>
      <w:r>
        <w:t xml:space="preserve">Сведения о наличии коммерческого приборного учёта тепловой энергии, отпущенной из тепловых сетей потребителям, и анализ планов по установке приборов учёта тепловой энергии и теплоносителя</w:t>
      </w:r>
      <w:bookmarkEnd w:id="133"/>
      <w:r/>
      <w:bookmarkEnd w:id="134"/>
      <w:r/>
      <w:r/>
    </w:p>
    <w:p>
      <w:pPr>
        <w:pStyle w:val="1247"/>
        <w:ind w:left="118" w:firstLine="707"/>
        <w:jc w:val="both"/>
        <w:spacing w:before="115"/>
      </w:pPr>
      <w:r>
        <w:t xml:space="preserve">Учет произведенного и отпущенного тепла большинства централизованных котельных ведется по расходу топлива. Только на котельной п. Новый Мир ЛПДС «Юргамыш» учет тепловой энергии производится прибором марки Взлет МР.</w:t>
      </w:r>
      <w:r/>
    </w:p>
    <w:p>
      <w:pPr>
        <w:pStyle w:val="1247"/>
        <w:ind w:left="119" w:firstLine="709"/>
        <w:jc w:val="both"/>
      </w:pPr>
      <w:r>
        <w:t xml:space="preserve">В соответствие с Федеральным законом об энергосбережении планируется поочерёдная установка приборов учёта тепловой энергии и теплоносителя как в </w:t>
      </w:r>
      <w:r>
        <w:t xml:space="preserve">жилищном фонде, так и в общественных зданиях, в соответствии с законом Федеральным законом "Об энергосбережении и о повышении энергетической эффективности и о внесении изменений в отдельные законодательные акты Российской Федерации" от 23.11.2009 N 261-ФЗ.</w:t>
      </w:r>
      <w:r/>
    </w:p>
    <w:p>
      <w:pPr>
        <w:pStyle w:val="1247"/>
        <w:spacing w:before="1"/>
        <w:rPr>
          <w:sz w:val="27"/>
        </w:rPr>
      </w:pPr>
      <w:r>
        <w:rPr>
          <w:sz w:val="27"/>
        </w:rPr>
      </w:r>
      <w:r>
        <w:rPr>
          <w:sz w:val="27"/>
        </w:rPr>
      </w:r>
      <w:r>
        <w:rPr>
          <w:sz w:val="27"/>
        </w:rPr>
      </w:r>
    </w:p>
    <w:p>
      <w:pPr>
        <w:pStyle w:val="1248"/>
        <w:ind w:right="269" w:firstLine="733"/>
      </w:pPr>
      <w:r/>
      <w:bookmarkStart w:id="135" w:name="_bookmark82"/>
      <w:r/>
      <w:bookmarkStart w:id="136" w:name="_Toc130231906"/>
      <w:r/>
      <w:bookmarkStart w:id="137" w:name="_Toc165540689"/>
      <w:r/>
      <w:bookmarkEnd w:id="135"/>
      <w:r>
        <w:rPr>
          <w:lang w:eastAsia="ru-RU"/>
        </w:rPr>
        <w:t xml:space="preserve">1.3.18 </w:t>
      </w:r>
      <w:r>
        <w:t xml:space="preserve">Анализ работы диспетчерских служб теплоснабжающих (теплосетевых) организаций и используемых средств автоматизации, телемеханизации и связи</w:t>
      </w:r>
      <w:bookmarkEnd w:id="136"/>
      <w:r/>
      <w:bookmarkEnd w:id="137"/>
      <w:r/>
      <w:r/>
    </w:p>
    <w:p>
      <w:pPr>
        <w:pStyle w:val="1247"/>
        <w:ind w:left="142" w:right="301" w:firstLine="714"/>
        <w:jc w:val="both"/>
        <w:spacing w:before="120"/>
        <w:tabs>
          <w:tab w:val="left" w:pos="9639" w:leader="none"/>
        </w:tabs>
      </w:pPr>
      <w:r>
        <w:t xml:space="preserve">Диспетчерские службы теплоснабжающих (теплосетевых) организаций, средства телемеханизации и связи отсутствуют.</w:t>
      </w:r>
      <w:r/>
    </w:p>
    <w:p>
      <w:pPr>
        <w:pStyle w:val="1247"/>
        <w:ind w:left="142" w:right="301" w:firstLine="714"/>
        <w:jc w:val="both"/>
        <w:tabs>
          <w:tab w:val="left" w:pos="9639" w:leader="none"/>
        </w:tabs>
      </w:pPr>
      <w:r>
        <w:t xml:space="preserve">Газовые котлы источников теплоснабжения оборудованы блоками автоматики регулирования для по</w:t>
      </w:r>
      <w:r>
        <w:t xml:space="preserve">ддержания температуры теплоносителя на выходе из котла по заданному температурному графику, автоматический режим работы позволяет работать без обслуживающего персонала. Котельные работающие на твердом топливе работают с постоянным присутствием персонала.  </w:t>
      </w:r>
      <w:r/>
    </w:p>
    <w:p>
      <w:pPr>
        <w:rPr>
          <w:b/>
          <w:bCs/>
          <w:sz w:val="24"/>
          <w:szCs w:val="24"/>
          <w:lang w:eastAsia="ru-RU"/>
        </w:rPr>
      </w:pPr>
      <w:r/>
      <w:bookmarkStart w:id="138" w:name="_bookmark83"/>
      <w:r/>
      <w:bookmarkStart w:id="139" w:name="_Toc130231907"/>
      <w:r/>
      <w:bookmarkStart w:id="140" w:name="_Toc165540690"/>
      <w:r/>
      <w:bookmarkEnd w:id="138"/>
      <w:r>
        <w:rPr>
          <w:lang w:eastAsia="ru-RU"/>
        </w:rPr>
        <w:br w:type="page" w:clear="all"/>
      </w:r>
      <w:r>
        <w:rPr>
          <w:b/>
          <w:bCs/>
          <w:sz w:val="24"/>
          <w:szCs w:val="24"/>
          <w:lang w:eastAsia="ru-RU"/>
        </w:rPr>
      </w:r>
      <w:r>
        <w:rPr>
          <w:b/>
          <w:bCs/>
          <w:sz w:val="24"/>
          <w:szCs w:val="24"/>
          <w:lang w:eastAsia="ru-RU"/>
        </w:rPr>
      </w:r>
    </w:p>
    <w:p>
      <w:pPr>
        <w:pStyle w:val="1248"/>
        <w:ind w:right="270" w:firstLine="733"/>
      </w:pPr>
      <w:r>
        <w:rPr>
          <w:lang w:eastAsia="ru-RU"/>
        </w:rPr>
        <w:t xml:space="preserve">1.3.19 </w:t>
      </w:r>
      <w:r>
        <w:t xml:space="preserve">Уровень автоматизации и обслуживания центральных тепловых пунктов, насосных станций</w:t>
      </w:r>
      <w:bookmarkEnd w:id="139"/>
      <w:r/>
      <w:bookmarkEnd w:id="140"/>
      <w:r/>
      <w:r/>
    </w:p>
    <w:p>
      <w:pPr>
        <w:pStyle w:val="1247"/>
        <w:ind w:left="118" w:right="268" w:firstLine="707"/>
        <w:jc w:val="both"/>
        <w:spacing w:before="116"/>
      </w:pPr>
      <w:r>
        <w:t xml:space="preserve">Центральные тепловые пункты и насосные станции отсутствуют.</w:t>
      </w:r>
      <w:r/>
    </w:p>
    <w:p>
      <w:pPr>
        <w:pStyle w:val="1247"/>
        <w:ind w:left="118" w:right="268" w:firstLine="707"/>
        <w:jc w:val="both"/>
        <w:spacing w:before="116"/>
      </w:pPr>
      <w:r/>
      <w:r/>
    </w:p>
    <w:p>
      <w:pPr>
        <w:pStyle w:val="1248"/>
        <w:ind w:left="1493" w:hanging="642"/>
        <w:jc w:val="left"/>
        <w:spacing w:before="71"/>
      </w:pPr>
      <w:r/>
      <w:bookmarkStart w:id="141" w:name="_bookmark85"/>
      <w:r/>
      <w:bookmarkStart w:id="142" w:name="_Toc130231908"/>
      <w:r/>
      <w:bookmarkStart w:id="143" w:name="_Toc165540691"/>
      <w:r/>
      <w:bookmarkEnd w:id="141"/>
      <w:r>
        <w:rPr>
          <w:lang w:eastAsia="ru-RU"/>
        </w:rPr>
        <w:t xml:space="preserve">1.3.20 </w:t>
      </w:r>
      <w:r>
        <w:t xml:space="preserve">Сведения</w:t>
      </w:r>
      <w:r>
        <w:rPr>
          <w:spacing w:val="-6"/>
        </w:rPr>
        <w:t xml:space="preserve"> </w:t>
      </w:r>
      <w:r>
        <w:t xml:space="preserve">о</w:t>
      </w:r>
      <w:r>
        <w:rPr>
          <w:spacing w:val="-4"/>
        </w:rPr>
        <w:t xml:space="preserve"> </w:t>
      </w:r>
      <w:r>
        <w:t xml:space="preserve">наличии</w:t>
      </w:r>
      <w:r>
        <w:rPr>
          <w:spacing w:val="-3"/>
        </w:rPr>
        <w:t xml:space="preserve"> </w:t>
      </w:r>
      <w:r>
        <w:t xml:space="preserve">защиты</w:t>
      </w:r>
      <w:r>
        <w:rPr>
          <w:spacing w:val="-4"/>
        </w:rPr>
        <w:t xml:space="preserve"> </w:t>
      </w:r>
      <w:r>
        <w:t xml:space="preserve">тепловых</w:t>
      </w:r>
      <w:r>
        <w:rPr>
          <w:spacing w:val="-4"/>
        </w:rPr>
        <w:t xml:space="preserve"> </w:t>
      </w:r>
      <w:r>
        <w:t xml:space="preserve">сетей</w:t>
      </w:r>
      <w:r>
        <w:rPr>
          <w:spacing w:val="-4"/>
        </w:rPr>
        <w:t xml:space="preserve"> </w:t>
      </w:r>
      <w:r>
        <w:t xml:space="preserve">от</w:t>
      </w:r>
      <w:r>
        <w:rPr>
          <w:spacing w:val="-4"/>
        </w:rPr>
        <w:t xml:space="preserve"> </w:t>
      </w:r>
      <w:r>
        <w:t xml:space="preserve">превышения</w:t>
      </w:r>
      <w:r>
        <w:rPr>
          <w:spacing w:val="-3"/>
        </w:rPr>
        <w:t xml:space="preserve"> </w:t>
      </w:r>
      <w:r>
        <w:rPr>
          <w:spacing w:val="-2"/>
        </w:rPr>
        <w:t xml:space="preserve">давления</w:t>
      </w:r>
      <w:bookmarkEnd w:id="142"/>
      <w:r/>
      <w:bookmarkEnd w:id="143"/>
      <w:r/>
      <w:r/>
    </w:p>
    <w:p>
      <w:pPr>
        <w:pStyle w:val="1247"/>
        <w:ind w:left="118" w:right="265" w:firstLine="707"/>
        <w:jc w:val="both"/>
        <w:spacing w:before="115"/>
        <w:rPr>
          <w:spacing w:val="-2"/>
        </w:rPr>
      </w:pPr>
      <w:r>
        <w:rPr>
          <w:spacing w:val="-2"/>
        </w:rPr>
        <w:t xml:space="preserve">Защиты тепловых сетей от превышения давления автоматическая с применением линий перепуска.</w:t>
      </w:r>
      <w:r>
        <w:rPr>
          <w:spacing w:val="-2"/>
        </w:rPr>
      </w:r>
      <w:r>
        <w:rPr>
          <w:spacing w:val="-2"/>
        </w:rPr>
      </w:r>
    </w:p>
    <w:p>
      <w:pPr>
        <w:pStyle w:val="1247"/>
        <w:ind w:left="118" w:right="265" w:firstLine="707"/>
        <w:jc w:val="both"/>
        <w:spacing w:before="115"/>
      </w:pPr>
      <w:r/>
      <w:r/>
    </w:p>
    <w:p>
      <w:pPr>
        <w:pStyle w:val="1248"/>
        <w:ind w:firstLine="733"/>
        <w:jc w:val="left"/>
      </w:pPr>
      <w:r/>
      <w:bookmarkStart w:id="144" w:name="_bookmark86"/>
      <w:r/>
      <w:bookmarkStart w:id="145" w:name="_Toc130231909"/>
      <w:r/>
      <w:bookmarkStart w:id="146" w:name="_Toc165540692"/>
      <w:r/>
      <w:bookmarkEnd w:id="144"/>
      <w:r>
        <w:rPr>
          <w:lang w:eastAsia="ru-RU"/>
        </w:rPr>
        <w:t xml:space="preserve">1.3.21 </w:t>
      </w:r>
      <w:r>
        <w:t xml:space="preserve">Перечень выявленных бесхозяйных тепловых сетей и обоснование выбора организации, уполномоченной на их эксплуатацию</w:t>
      </w:r>
      <w:bookmarkEnd w:id="145"/>
      <w:r/>
      <w:bookmarkEnd w:id="146"/>
      <w:r/>
      <w:r/>
    </w:p>
    <w:p>
      <w:pPr>
        <w:pStyle w:val="1247"/>
        <w:ind w:left="142" w:right="271" w:firstLine="684"/>
        <w:jc w:val="both"/>
        <w:spacing w:before="115"/>
      </w:pPr>
      <w:r>
        <w:t xml:space="preserve">Бесхозяйные</w:t>
      </w:r>
      <w:r>
        <w:rPr>
          <w:spacing w:val="-7"/>
        </w:rPr>
        <w:t xml:space="preserve"> </w:t>
      </w:r>
      <w:r>
        <w:t xml:space="preserve">тепловые</w:t>
      </w:r>
      <w:r>
        <w:rPr>
          <w:spacing w:val="-4"/>
        </w:rPr>
        <w:t xml:space="preserve"> </w:t>
      </w:r>
      <w:r>
        <w:t xml:space="preserve">сети</w:t>
      </w:r>
      <w:r>
        <w:rPr>
          <w:spacing w:val="-1"/>
        </w:rPr>
        <w:t xml:space="preserve"> </w:t>
      </w:r>
      <w:r>
        <w:t xml:space="preserve">на</w:t>
      </w:r>
      <w:r>
        <w:rPr>
          <w:spacing w:val="-3"/>
        </w:rPr>
        <w:t xml:space="preserve"> </w:t>
      </w:r>
      <w:r>
        <w:t xml:space="preserve">территории</w:t>
      </w:r>
      <w:r>
        <w:rPr>
          <w:spacing w:val="-2"/>
        </w:rPr>
        <w:t xml:space="preserve"> </w:t>
      </w:r>
      <w:r>
        <w:t xml:space="preserve">Юргамышского</w:t>
      </w:r>
      <w:r>
        <w:t xml:space="preserve"> муниципального округа</w:t>
      </w:r>
      <w:r>
        <w:rPr>
          <w:spacing w:val="4"/>
        </w:rPr>
        <w:t xml:space="preserve"> </w:t>
      </w:r>
      <w:r>
        <w:rPr>
          <w:spacing w:val="-2"/>
        </w:rPr>
        <w:t xml:space="preserve">отсутствуют.</w:t>
      </w:r>
      <w:r/>
    </w:p>
    <w:p>
      <w:pPr>
        <w:pStyle w:val="1247"/>
        <w:rPr>
          <w:sz w:val="27"/>
        </w:rPr>
      </w:pPr>
      <w:r>
        <w:rPr>
          <w:sz w:val="27"/>
        </w:rPr>
      </w:r>
      <w:r>
        <w:rPr>
          <w:sz w:val="27"/>
        </w:rPr>
      </w:r>
      <w:r>
        <w:rPr>
          <w:sz w:val="27"/>
        </w:rPr>
      </w:r>
    </w:p>
    <w:p>
      <w:pPr>
        <w:pStyle w:val="1248"/>
        <w:ind w:left="1493" w:hanging="642"/>
        <w:jc w:val="left"/>
      </w:pPr>
      <w:r/>
      <w:bookmarkStart w:id="147" w:name="_bookmark87"/>
      <w:r/>
      <w:bookmarkStart w:id="148" w:name="_Toc130231910"/>
      <w:r/>
      <w:bookmarkStart w:id="149" w:name="_Toc165540693"/>
      <w:r/>
      <w:bookmarkEnd w:id="147"/>
      <w:r>
        <w:rPr>
          <w:lang w:eastAsia="ru-RU"/>
        </w:rPr>
        <w:t xml:space="preserve">1.3.22 </w:t>
      </w:r>
      <w:r>
        <w:t xml:space="preserve">Данные</w:t>
      </w:r>
      <w:r>
        <w:rPr>
          <w:spacing w:val="-8"/>
        </w:rPr>
        <w:t xml:space="preserve"> </w:t>
      </w:r>
      <w:r>
        <w:t xml:space="preserve">энергетических</w:t>
      </w:r>
      <w:r>
        <w:rPr>
          <w:spacing w:val="-3"/>
        </w:rPr>
        <w:t xml:space="preserve"> </w:t>
      </w:r>
      <w:r>
        <w:t xml:space="preserve">характеристик</w:t>
      </w:r>
      <w:r>
        <w:rPr>
          <w:spacing w:val="-4"/>
        </w:rPr>
        <w:t xml:space="preserve"> </w:t>
      </w:r>
      <w:r>
        <w:t xml:space="preserve">тепловых</w:t>
      </w:r>
      <w:r>
        <w:rPr>
          <w:spacing w:val="-4"/>
        </w:rPr>
        <w:t xml:space="preserve"> </w:t>
      </w:r>
      <w:r>
        <w:t xml:space="preserve">сетей</w:t>
      </w:r>
      <w:r>
        <w:rPr>
          <w:spacing w:val="-4"/>
        </w:rPr>
        <w:t xml:space="preserve"> </w:t>
      </w:r>
      <w:r>
        <w:t xml:space="preserve">(при</w:t>
      </w:r>
      <w:r>
        <w:rPr>
          <w:spacing w:val="-3"/>
        </w:rPr>
        <w:t xml:space="preserve"> </w:t>
      </w:r>
      <w:r>
        <w:t xml:space="preserve">их</w:t>
      </w:r>
      <w:r>
        <w:rPr>
          <w:spacing w:val="-3"/>
        </w:rPr>
        <w:t xml:space="preserve"> </w:t>
      </w:r>
      <w:r>
        <w:rPr>
          <w:spacing w:val="-2"/>
        </w:rPr>
        <w:t xml:space="preserve">наличии)</w:t>
      </w:r>
      <w:bookmarkEnd w:id="148"/>
      <w:r/>
      <w:bookmarkEnd w:id="149"/>
      <w:r/>
      <w:r/>
    </w:p>
    <w:p>
      <w:pPr>
        <w:pStyle w:val="1247"/>
        <w:ind w:left="118" w:right="271" w:firstLine="707"/>
        <w:jc w:val="both"/>
        <w:spacing w:before="116"/>
      </w:pPr>
      <w:r>
        <w:t xml:space="preserve">Данные</w:t>
      </w:r>
      <w:r>
        <w:rPr>
          <w:spacing w:val="80"/>
        </w:rPr>
        <w:t xml:space="preserve"> </w:t>
      </w:r>
      <w:r>
        <w:t xml:space="preserve">энергетических</w:t>
      </w:r>
      <w:r>
        <w:rPr>
          <w:spacing w:val="80"/>
        </w:rPr>
        <w:t xml:space="preserve"> </w:t>
      </w:r>
      <w:r>
        <w:t xml:space="preserve">характеристик</w:t>
      </w:r>
      <w:r>
        <w:rPr>
          <w:spacing w:val="80"/>
        </w:rPr>
        <w:t xml:space="preserve"> </w:t>
      </w:r>
      <w:r>
        <w:t xml:space="preserve">тепловых</w:t>
      </w:r>
      <w:r>
        <w:rPr>
          <w:spacing w:val="80"/>
        </w:rPr>
        <w:t xml:space="preserve"> </w:t>
      </w:r>
      <w:r>
        <w:t xml:space="preserve">сетей</w:t>
      </w:r>
      <w:r>
        <w:rPr>
          <w:spacing w:val="80"/>
        </w:rPr>
        <w:t xml:space="preserve"> </w:t>
      </w:r>
      <w:r>
        <w:t xml:space="preserve">Юргамышского</w:t>
      </w:r>
      <w:r>
        <w:t xml:space="preserve"> муниципального округа</w:t>
      </w:r>
      <w:r>
        <w:rPr>
          <w:spacing w:val="4"/>
        </w:rPr>
        <w:t xml:space="preserve"> </w:t>
      </w:r>
      <w:r>
        <w:rPr>
          <w:spacing w:val="-2"/>
        </w:rPr>
        <w:t xml:space="preserve">отсутствуют.</w:t>
      </w:r>
      <w:r/>
    </w:p>
    <w:p>
      <w:pPr>
        <w:pStyle w:val="1247"/>
        <w:rPr>
          <w:sz w:val="27"/>
        </w:rPr>
      </w:pPr>
      <w:r>
        <w:rPr>
          <w:sz w:val="27"/>
        </w:rPr>
      </w:r>
      <w:r>
        <w:rPr>
          <w:sz w:val="27"/>
        </w:rPr>
      </w:r>
      <w:r>
        <w:rPr>
          <w:sz w:val="27"/>
        </w:rPr>
      </w:r>
    </w:p>
    <w:p>
      <w:pPr>
        <w:pStyle w:val="1248"/>
        <w:ind w:right="269" w:firstLine="733"/>
      </w:pPr>
      <w:r/>
      <w:bookmarkStart w:id="150" w:name="_bookmark88"/>
      <w:r/>
      <w:bookmarkStart w:id="151" w:name="_Toc130231911"/>
      <w:r/>
      <w:bookmarkStart w:id="152" w:name="_Toc165540694"/>
      <w:r/>
      <w:bookmarkEnd w:id="150"/>
      <w:r>
        <w:rPr>
          <w:lang w:eastAsia="ru-RU"/>
        </w:rPr>
        <w:t xml:space="preserve">1.3.23 </w:t>
      </w:r>
      <w:r>
        <w:t xml:space="preserve">Описание изменений в характеристиках тепловых сетей и сооружений на них, зафиксированных за период, предшествующий актуализации схемы </w:t>
      </w:r>
      <w:r>
        <w:rPr>
          <w:spacing w:val="-2"/>
        </w:rPr>
        <w:t xml:space="preserve">теплоснабжения</w:t>
      </w:r>
      <w:bookmarkEnd w:id="151"/>
      <w:r/>
      <w:bookmarkEnd w:id="152"/>
      <w:r/>
      <w:r/>
    </w:p>
    <w:p>
      <w:pPr>
        <w:pStyle w:val="1247"/>
        <w:ind w:left="142" w:right="271" w:firstLine="707"/>
        <w:jc w:val="both"/>
        <w:spacing w:before="120"/>
        <w:tabs>
          <w:tab w:val="left" w:pos="1701" w:leader="none"/>
        </w:tabs>
      </w:pPr>
      <w:r>
        <w:t xml:space="preserve">Ранее схема теплоснабжения </w:t>
      </w:r>
      <w:r>
        <w:t xml:space="preserve">Юргамышского</w:t>
      </w:r>
      <w:r>
        <w:t xml:space="preserve"> муниципального округа не была разработана.</w:t>
      </w:r>
      <w:r/>
    </w:p>
    <w:p>
      <w:pPr>
        <w:pStyle w:val="1247"/>
        <w:spacing w:before="7"/>
        <w:rPr>
          <w:sz w:val="16"/>
        </w:rPr>
      </w:pPr>
      <w:r>
        <w:rPr>
          <w:sz w:val="16"/>
        </w:rPr>
      </w:r>
      <w:r>
        <w:rPr>
          <w:sz w:val="16"/>
        </w:rPr>
      </w:r>
      <w:r>
        <w:rPr>
          <w:sz w:val="16"/>
        </w:rPr>
      </w:r>
    </w:p>
    <w:p>
      <w:pPr>
        <w:pStyle w:val="1248"/>
        <w:ind w:left="1194" w:hanging="343"/>
      </w:pPr>
      <w:r/>
      <w:bookmarkStart w:id="153" w:name="_bookmark89"/>
      <w:r/>
      <w:bookmarkStart w:id="154" w:name="_Toc130231912"/>
      <w:r/>
      <w:bookmarkStart w:id="155" w:name="_Toc165540695"/>
      <w:r/>
      <w:bookmarkEnd w:id="153"/>
      <w:r>
        <w:rPr>
          <w:lang w:eastAsia="ru-RU"/>
        </w:rPr>
        <w:t xml:space="preserve">1.4 </w:t>
      </w:r>
      <w:r>
        <w:t xml:space="preserve">Зоны</w:t>
      </w:r>
      <w:r>
        <w:rPr>
          <w:spacing w:val="-3"/>
        </w:rPr>
        <w:t xml:space="preserve"> </w:t>
      </w:r>
      <w:r>
        <w:t xml:space="preserve">действия</w:t>
      </w:r>
      <w:r>
        <w:rPr>
          <w:spacing w:val="-3"/>
        </w:rPr>
        <w:t xml:space="preserve"> </w:t>
      </w:r>
      <w:r>
        <w:t xml:space="preserve">источников</w:t>
      </w:r>
      <w:r>
        <w:rPr>
          <w:spacing w:val="-6"/>
        </w:rPr>
        <w:t xml:space="preserve"> </w:t>
      </w:r>
      <w:r>
        <w:t xml:space="preserve">тепловой</w:t>
      </w:r>
      <w:r>
        <w:rPr>
          <w:spacing w:val="-3"/>
        </w:rPr>
        <w:t xml:space="preserve"> </w:t>
      </w:r>
      <w:r>
        <w:rPr>
          <w:spacing w:val="-2"/>
        </w:rPr>
        <w:t xml:space="preserve">энергии</w:t>
      </w:r>
      <w:bookmarkEnd w:id="154"/>
      <w:r/>
      <w:bookmarkEnd w:id="155"/>
      <w:r/>
      <w:r/>
    </w:p>
    <w:p>
      <w:pPr>
        <w:pStyle w:val="1248"/>
        <w:ind w:right="271" w:firstLine="733"/>
        <w:spacing w:before="120"/>
      </w:pPr>
      <w:r/>
      <w:bookmarkStart w:id="156" w:name="_bookmark90"/>
      <w:r/>
      <w:bookmarkStart w:id="157" w:name="_Toc130231913"/>
      <w:r/>
      <w:bookmarkStart w:id="158" w:name="_Toc165540696"/>
      <w:r/>
      <w:bookmarkEnd w:id="156"/>
      <w:r>
        <w:rPr>
          <w:lang w:eastAsia="ru-RU"/>
        </w:rPr>
        <w:t xml:space="preserve">1.4.1 </w:t>
      </w:r>
      <w:r>
        <w:t xml:space="preserve">Описание</w:t>
      </w:r>
      <w:r>
        <w:rPr>
          <w:spacing w:val="-10"/>
        </w:rPr>
        <w:t xml:space="preserve"> </w:t>
      </w:r>
      <w:r>
        <w:t xml:space="preserve">существующих</w:t>
      </w:r>
      <w:r>
        <w:rPr>
          <w:spacing w:val="-9"/>
        </w:rPr>
        <w:t xml:space="preserve"> </w:t>
      </w:r>
      <w:r>
        <w:t xml:space="preserve">зон</w:t>
      </w:r>
      <w:r>
        <w:rPr>
          <w:spacing w:val="-9"/>
        </w:rPr>
        <w:t xml:space="preserve"> </w:t>
      </w:r>
      <w:r>
        <w:t xml:space="preserve">действия</w:t>
      </w:r>
      <w:r>
        <w:rPr>
          <w:spacing w:val="-10"/>
        </w:rPr>
        <w:t xml:space="preserve"> </w:t>
      </w:r>
      <w:r>
        <w:t xml:space="preserve">источников</w:t>
      </w:r>
      <w:r>
        <w:rPr>
          <w:spacing w:val="-9"/>
        </w:rPr>
        <w:t xml:space="preserve"> </w:t>
      </w:r>
      <w:r>
        <w:t xml:space="preserve">тепловой</w:t>
      </w:r>
      <w:r>
        <w:rPr>
          <w:spacing w:val="-9"/>
        </w:rPr>
        <w:t xml:space="preserve"> </w:t>
      </w:r>
      <w:r>
        <w:t xml:space="preserve">энергии</w:t>
      </w:r>
      <w:r>
        <w:rPr>
          <w:spacing w:val="-9"/>
        </w:rPr>
        <w:t xml:space="preserve"> </w:t>
      </w:r>
      <w:r>
        <w:t xml:space="preserve">во</w:t>
      </w:r>
      <w:r>
        <w:rPr>
          <w:spacing w:val="-9"/>
        </w:rPr>
        <w:t xml:space="preserve"> </w:t>
      </w:r>
      <w:r>
        <w:t xml:space="preserve">всех системах теплоснабжения на территории поселения, включая перечень котельных, находящихся в зоне эффективного радиуса теплоснабжения источников комбинированной выработки тепловой и электрической энергии</w:t>
      </w:r>
      <w:bookmarkEnd w:id="157"/>
      <w:r/>
      <w:bookmarkEnd w:id="158"/>
      <w:r/>
      <w:r/>
    </w:p>
    <w:p>
      <w:pPr>
        <w:pStyle w:val="1247"/>
        <w:ind w:left="119" w:right="129" w:firstLine="709"/>
        <w:jc w:val="both"/>
        <w:spacing w:before="120"/>
      </w:pPr>
      <w:r>
        <w:t xml:space="preserve">Централизованным теплоснабжением обеспечены частично объекты социальной сферы</w:t>
      </w:r>
      <w:r>
        <w:t xml:space="preserve"> и </w:t>
      </w:r>
      <w:r>
        <w:t xml:space="preserve">многоквартирный жилфонд.</w:t>
      </w:r>
      <w:r/>
    </w:p>
    <w:p>
      <w:pPr>
        <w:pStyle w:val="1247"/>
        <w:ind w:left="119" w:right="129" w:firstLine="709"/>
        <w:jc w:val="both"/>
      </w:pPr>
      <w:r>
        <w:t xml:space="preserve">Существующие четыре зоны действия централизованных источников тепловой энергии совпадают с зонами действия тепловых сетей, три из которых расположены в р.п. Юргамыш и один – в п. Новый Мир.</w:t>
      </w:r>
      <w:r/>
    </w:p>
    <w:p>
      <w:pPr>
        <w:pStyle w:val="1247"/>
        <w:ind w:left="119" w:right="129" w:firstLine="709"/>
        <w:jc w:val="both"/>
      </w:pPr>
      <w:r>
        <w:t xml:space="preserve">Зона действия централизован</w:t>
      </w:r>
      <w:r>
        <w:t xml:space="preserve">ной котельной п. Новый Мир охватывает всю территорию поселка и часть предприятия ЛДСП «Юргамыш». К системе теплоснабжения подключены 197 жилых объектов: 63 многоквартирных дома, в т.ч. 17 многоэтажных, 4- шестиквартирных, 2- трехквартирных и 40- двухкварти</w:t>
      </w:r>
      <w:r>
        <w:t xml:space="preserve">рных, а также индивидуальные дома, в том числе вагончики, и объекты соцкульт-быта: библиотека, музыкальная школа, медпункт, Сбербанк, отделение почты России, детский сад, школа, ДК, профилакторий, восемь магазинов, теплопункт, шиномонтажная, контора домоуп</w:t>
      </w:r>
      <w:r>
        <w:t xml:space="preserve">равления, жилой комплекс (Колев В.М.), и объекты ЛПДС «Юргамыш»: жилой дом, пункт размещения бригад, КПП, КНУ, склад, топливная насосная, насосная III подъема, технологические объекты (2×ГРС80). Наиболее удаленный потребитель – жилой дом по пер. Цветочный.</w:t>
      </w:r>
      <w:r/>
    </w:p>
    <w:p>
      <w:pPr>
        <w:pStyle w:val="1247"/>
        <w:ind w:left="119" w:right="129" w:firstLine="709"/>
        <w:jc w:val="both"/>
      </w:pPr>
      <w:r>
        <w:t xml:space="preserve">Зона действия железнодорожной котельной р.п. Юргамыш (Южно-Уральская дирекция по тепловодоснабжению – СП ЦДТВ - филиала ОАО "РЖД") охватывает терр</w:t>
      </w:r>
      <w:r>
        <w:t xml:space="preserve">иторию, являющуюся частью кадастровых кварталов 45:24:020109, 45:24:020110: ул. Пристанционная, ул. Свердлова и ул. Железнодорожная. К системе теплоснабжения подключены объекты железнодорожной инфраструктуры (производственные нужды ОАО «РЖД») и пять жилых </w:t>
      </w:r>
      <w:r>
        <w:t xml:space="preserve">многоквартирных домов. Наиболее удаленный потребитель – жилой дом, расположенный по ул. Железнодорожная.</w:t>
      </w:r>
      <w:r/>
    </w:p>
    <w:p>
      <w:pPr>
        <w:pStyle w:val="1247"/>
        <w:ind w:left="119" w:right="129" w:firstLine="709"/>
        <w:jc w:val="both"/>
      </w:pPr>
      <w:r>
        <w:t xml:space="preserve">Зона действия централизованной котельной ФКУ ИК №7 УФСИН России по Курганской области охватывает территорию</w:t>
      </w:r>
      <w:r>
        <w:t xml:space="preserve"> кадастрового квартала </w:t>
      </w:r>
      <w:r>
        <w:rPr>
          <w:rFonts w:ascii="Liberation Serif" w:hAnsi="Liberation Serif" w:cs="Liberation Serif"/>
          <w:color w:val="333333"/>
          <w:shd w:val="clear" w:color="auto" w:fill="ffffff"/>
        </w:rPr>
        <w:t xml:space="preserve">45:24:020102:</w:t>
      </w:r>
      <w:r>
        <w:t xml:space="preserve"> </w:t>
      </w:r>
      <w:r>
        <w:t xml:space="preserve">МЧС и его здания, детский сад, жилые дома по ул. Ленина и ул. Труда.</w:t>
      </w:r>
      <w:r/>
    </w:p>
    <w:p>
      <w:pPr>
        <w:pStyle w:val="1247"/>
        <w:ind w:left="119" w:right="129" w:firstLine="709"/>
        <w:jc w:val="both"/>
      </w:pPr>
      <w:r>
        <w:t xml:space="preserve">Зона действия централизованной котельной р.п. Юргамыш, ул. Ленина, 47а охватывает территори</w:t>
      </w:r>
      <w:r>
        <w:t xml:space="preserve">ю кадастрового квартала 45:24:020105: ул. Кирова, ул. Ленина, ул. Советская, ул. Мира и пер. Карпова. К системе теплоснабжения подключены двадцать восемь многоквартирных и десять индивидуальных домов и объекты соцкультбыта: здание Администрации района, ИФН</w:t>
      </w:r>
      <w:r>
        <w:t xml:space="preserve">С № 4, отдел Статистики, Админи</w:t>
      </w:r>
      <w:r>
        <w:t xml:space="preserve">страции Поссовета, Федерального казна</w:t>
      </w:r>
      <w:r>
        <w:t xml:space="preserve">чейства, ГУ ЦЗН, Госстрах, МОУО, ОФСС, Гостехнадзор, гараж Госстарха, РОВД и три гаража, ГИБДД, Миграционная служба, Вневедомственная охрана, Судебный департамент, Почта России, библиотека, ЦСОН, МОУО, МКДО, ГОУ СПО «МППК», гараж ИФНС № 4, ООО «Вит» (ИП), </w:t>
      </w:r>
      <w:r>
        <w:t xml:space="preserve">«Силуэт» (ИП), ОАО Ростелеком, магазин «Радуга» (ИП), ЗАО «Тандер», ОАО «Аптека», кооператив «Восход», магазины «Диана», «Карандаш», «Гамма», двух ИП. Наиболее удаленные потребители по двум выводам: аптека по пер. Карпова и музыкальная школа по ул. Кирова.</w:t>
      </w:r>
      <w:r/>
    </w:p>
    <w:p>
      <w:pPr>
        <w:pStyle w:val="1247"/>
        <w:ind w:left="119" w:right="89" w:firstLine="709"/>
        <w:jc w:val="both"/>
      </w:pPr>
      <w:r>
        <w:t xml:space="preserve">Эксплуатацию централизо</w:t>
      </w:r>
      <w:r>
        <w:t xml:space="preserve">ванных котельных осуществляют: ЛПДС «Юргамыш», Курганское отделение Южно-Уральской железной дороги-Филиала Открытого Акционерного Общества «Российские железные дороги», ФКУ «ИК №7 Федеральной службы исполнения наказания по Курганской области» и ООО «ЮТЭК».</w:t>
      </w:r>
      <w:r/>
    </w:p>
    <w:p>
      <w:pPr>
        <w:pStyle w:val="1247"/>
        <w:ind w:left="119" w:right="129" w:firstLine="709"/>
        <w:jc w:val="both"/>
      </w:pPr>
      <w:r>
        <w:t xml:space="preserve">Индивидуальное отопление осуществляется от теплоснабжающих устройств без потерь при передаче, так как нет внешних систем транспортировки тепла. Поэтому потребление тепла при теплоснабжении от индивидуальных установок можно принять равным его производству.</w:t>
      </w:r>
      <w:r/>
    </w:p>
    <w:p>
      <w:pPr>
        <w:pStyle w:val="1247"/>
        <w:ind w:left="119" w:right="129" w:firstLine="709"/>
        <w:jc w:val="both"/>
      </w:pPr>
      <w:r>
        <w:t xml:space="preserve">К децентрализованным источникам относятся следующие зоны действия:</w:t>
      </w:r>
      <w:r/>
    </w:p>
    <w:p>
      <w:pPr>
        <w:pStyle w:val="1247"/>
        <w:ind w:left="119" w:right="129" w:firstLine="709"/>
        <w:jc w:val="both"/>
      </w:pPr>
      <w:r>
        <w:t xml:space="preserve">- ООО «Арабика» в границах охватывающих территорию кадастрового квартала 45:24:012202 с. Малое Белое Юргамышского района;</w:t>
      </w:r>
      <w:r/>
    </w:p>
    <w:p>
      <w:pPr>
        <w:pStyle w:val="1247"/>
        <w:ind w:left="119" w:right="129" w:firstLine="709"/>
        <w:jc w:val="both"/>
      </w:pPr>
      <w:r>
        <w:t xml:space="preserve">- ООО «КурганТеп</w:t>
      </w:r>
      <w:r>
        <w:t xml:space="preserve">ло» в границах охватывающих территорию кадастровых кварталов: 45:24:6012003, 45:24:0100503, 45:24:030802, 45:24:011002 в с. Караси, с. Губерля, с. Горохово, с. Кипель, с. Скоблино, с. Фадюшино, с. Гагарье, с. Вилкино, с. Красный Уралец Юргамышского района;</w:t>
      </w:r>
      <w:r/>
    </w:p>
    <w:p>
      <w:pPr>
        <w:pStyle w:val="1247"/>
        <w:ind w:left="119" w:right="129" w:firstLine="709"/>
        <w:jc w:val="both"/>
      </w:pPr>
      <w:r>
        <w:t xml:space="preserve"> - ООО «ЖКХ Юго-Запад» в границах охватывающих территорию кадастровых кварталов 45:24:020105, 45:24:020105 на территории р.п.Юргамыш, 45:24:011303 в с. Кислянское, 45:24:011303 в с. Чинеево.</w:t>
      </w:r>
      <w:r/>
    </w:p>
    <w:p>
      <w:pPr>
        <w:pStyle w:val="1247"/>
        <w:ind w:left="119" w:right="129" w:firstLine="709"/>
        <w:jc w:val="both"/>
      </w:pPr>
      <w:r>
        <w:t xml:space="preserve">Источники комбинированной выработки тепловой и электрической энергии отсутствуют, существующие отопительные котельные расположены в границах своих радиусов эффективного теплоснабжения.</w:t>
      </w:r>
      <w:r/>
    </w:p>
    <w:p>
      <w:pPr>
        <w:pStyle w:val="1247"/>
        <w:ind w:left="119" w:right="89" w:firstLine="709"/>
        <w:jc w:val="both"/>
      </w:pPr>
      <w:r>
        <w:t xml:space="preserve">Большая часть индивидуальных жилых домов оборудовано газовыми или электрическими котлами и отопительными печами, работающими на твердом топливе (уголь, дрова).</w:t>
      </w:r>
      <w:r/>
    </w:p>
    <w:p>
      <w:pPr>
        <w:pStyle w:val="1247"/>
        <w:ind w:left="119" w:right="129" w:firstLine="709"/>
        <w:jc w:val="both"/>
      </w:pPr>
      <w:r>
        <w:t xml:space="preserve">Главной тенденцией децентрализованного теплоснабжения населения, производства тепла индивидуальными теплогенераторами является увеличение потребления газа. В связи с дальнейшей газификацией муниципального округа указанная тенденция будет сохраняться.</w:t>
      </w:r>
      <w:r/>
    </w:p>
    <w:p>
      <w:pPr>
        <w:pStyle w:val="1247"/>
        <w:ind w:left="119" w:right="129" w:firstLine="709"/>
        <w:jc w:val="both"/>
      </w:pPr>
      <w:r>
        <w:t xml:space="preserve">Теплоснабжение производственных объектов предприятий осуществляется от собственных котельных, размещенных на территории предприятий. </w:t>
      </w:r>
      <w:r/>
    </w:p>
    <w:p>
      <w:pPr>
        <w:rPr>
          <w:b/>
          <w:bCs/>
          <w:sz w:val="24"/>
          <w:szCs w:val="24"/>
          <w:lang w:eastAsia="ru-RU"/>
        </w:rPr>
      </w:pPr>
      <w:r/>
      <w:bookmarkStart w:id="159" w:name="_bookmark101"/>
      <w:r/>
      <w:bookmarkStart w:id="160" w:name="_Toc130231914"/>
      <w:r/>
      <w:bookmarkStart w:id="161" w:name="_Toc165540697"/>
      <w:r/>
      <w:bookmarkEnd w:id="159"/>
      <w:r>
        <w:rPr>
          <w:lang w:eastAsia="ru-RU"/>
        </w:rPr>
        <w:br w:type="page" w:clear="all"/>
      </w:r>
      <w:r>
        <w:rPr>
          <w:b/>
          <w:bCs/>
          <w:sz w:val="24"/>
          <w:szCs w:val="24"/>
          <w:lang w:eastAsia="ru-RU"/>
        </w:rPr>
      </w:r>
      <w:r>
        <w:rPr>
          <w:b/>
          <w:bCs/>
          <w:sz w:val="24"/>
          <w:szCs w:val="24"/>
          <w:lang w:eastAsia="ru-RU"/>
        </w:rPr>
      </w:r>
    </w:p>
    <w:p>
      <w:pPr>
        <w:pStyle w:val="1248"/>
        <w:ind w:right="147" w:firstLine="733"/>
      </w:pPr>
      <w:r>
        <w:rPr>
          <w:lang w:eastAsia="ru-RU"/>
        </w:rPr>
        <w:t xml:space="preserve">1.5 </w:t>
      </w:r>
      <w:r>
        <w:t xml:space="preserve">Тепловые нагрузки потребителей тепловой энергии, групп потребителей тепловой энергии</w:t>
      </w:r>
      <w:bookmarkEnd w:id="160"/>
      <w:r/>
      <w:bookmarkEnd w:id="161"/>
      <w:r/>
      <w:r/>
    </w:p>
    <w:p>
      <w:pPr>
        <w:pStyle w:val="1248"/>
        <w:ind w:right="146" w:firstLine="733"/>
        <w:spacing w:before="120"/>
      </w:pPr>
      <w:r/>
      <w:bookmarkStart w:id="162" w:name="_bookmark102"/>
      <w:r/>
      <w:bookmarkStart w:id="163" w:name="_Toc130231915"/>
      <w:r/>
      <w:bookmarkStart w:id="164" w:name="_Toc165540698"/>
      <w:r/>
      <w:bookmarkEnd w:id="162"/>
      <w:r>
        <w:rPr>
          <w:lang w:eastAsia="ru-RU"/>
        </w:rPr>
        <w:t xml:space="preserve">1.5.1 </w:t>
      </w:r>
      <w:r>
        <w:t xml:space="preserve">Описание значений спроса на тепловую мощность в расчётных элементах территориального деления, в том числе значений тепловых нагрузок потребителей тепловой энергии, групп потребителей тепловой энергии</w:t>
      </w:r>
      <w:bookmarkEnd w:id="163"/>
      <w:r/>
      <w:bookmarkEnd w:id="164"/>
      <w:r/>
      <w:r/>
    </w:p>
    <w:p>
      <w:pPr>
        <w:pStyle w:val="1247"/>
        <w:ind w:left="118" w:right="149" w:firstLine="707"/>
        <w:jc w:val="both"/>
        <w:spacing w:before="115"/>
      </w:pPr>
      <w:r>
        <w:t xml:space="preserve">Расчетными элементами территориального деления, неизменяемыми в границах на весь срок проектирования, являются части кадастровых кварталов, в границах которых расположены зоны действия </w:t>
      </w:r>
      <w:r>
        <w:t xml:space="preserve">централизованных </w:t>
      </w:r>
      <w:r>
        <w:t xml:space="preserve">котельных </w:t>
      </w:r>
      <w:r>
        <w:t xml:space="preserve">Юргамышского</w:t>
      </w:r>
      <w:r>
        <w:t xml:space="preserve"> муниципального округа. Значения потребления тепловой мощности в соответствии с требованиями строительной климатологии приведены в таблице </w:t>
      </w:r>
      <w:r>
        <w:t xml:space="preserve">ниже.</w:t>
      </w:r>
      <w:r/>
    </w:p>
    <w:p>
      <w:pPr>
        <w:pStyle w:val="1247"/>
        <w:ind w:left="118" w:right="149" w:firstLine="707"/>
        <w:jc w:val="right"/>
        <w:spacing w:before="115"/>
      </w:pPr>
      <w:r/>
      <w:bookmarkStart w:id="165" w:name="_Toc130231916"/>
      <w:r/>
      <w:bookmarkStart w:id="166" w:name="_Toc165540699"/>
      <w:r>
        <w:t xml:space="preserve">Таблица 1.5.1.1</w:t>
      </w:r>
      <w:r/>
    </w:p>
    <w:p>
      <w:pPr>
        <w:pStyle w:val="1248"/>
        <w:ind w:right="147" w:firstLine="24"/>
        <w:jc w:val="center"/>
        <w:rPr>
          <w:b w:val="0"/>
          <w:lang w:eastAsia="ru-RU"/>
        </w:rPr>
      </w:pPr>
      <w:r>
        <w:rPr>
          <w:b w:val="0"/>
        </w:rPr>
        <w:t xml:space="preserve">Подключенная нагрузка на </w:t>
      </w:r>
      <w:r>
        <w:rPr>
          <w:b w:val="0"/>
        </w:rPr>
        <w:t xml:space="preserve">котельной п. Новый Мир, ЛПДС «Юргамыш»</w:t>
      </w:r>
      <w:r>
        <w:rPr>
          <w:b w:val="0"/>
          <w:lang w:eastAsia="ru-RU"/>
        </w:rPr>
      </w:r>
      <w:r>
        <w:rPr>
          <w:b w:val="0"/>
          <w:lang w:eastAsia="ru-RU"/>
        </w:rPr>
      </w:r>
    </w:p>
    <w:tbl>
      <w:tblPr>
        <w:tblW w:w="4868" w:type="pct"/>
        <w:tblInd w:w="137"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1E0" w:firstRow="1" w:lastRow="1" w:firstColumn="1" w:lastColumn="1" w:noHBand="0" w:noVBand="0"/>
      </w:tblPr>
      <w:tblGrid>
        <w:gridCol w:w="3827"/>
        <w:gridCol w:w="3038"/>
        <w:gridCol w:w="2774"/>
      </w:tblGrid>
      <w:tr>
        <w:tblPrEx/>
        <w:trPr/>
        <w:tc>
          <w:tcPr>
            <w:shd w:val="clear" w:color="auto" w:fill="auto"/>
            <w:tcW w:w="1985" w:type="pct"/>
            <w:vAlign w:val="center"/>
            <w:textDirection w:val="lrTb"/>
            <w:noWrap w:val="false"/>
          </w:tcPr>
          <w:p>
            <w:pPr>
              <w:jc w:val="center"/>
              <w:rPr>
                <w:sz w:val="20"/>
                <w:szCs w:val="20"/>
                <w:lang w:eastAsia="ru-RU"/>
              </w:rPr>
            </w:pPr>
            <w:r>
              <w:rPr>
                <w:sz w:val="20"/>
                <w:szCs w:val="20"/>
                <w:lang w:eastAsia="ru-RU"/>
              </w:rPr>
              <w:t xml:space="preserve">Наименование объекта</w:t>
            </w:r>
            <w:r>
              <w:rPr>
                <w:sz w:val="20"/>
                <w:szCs w:val="20"/>
                <w:lang w:eastAsia="ru-RU"/>
              </w:rPr>
            </w:r>
            <w:r>
              <w:rPr>
                <w:sz w:val="20"/>
                <w:szCs w:val="20"/>
                <w:lang w:eastAsia="ru-RU"/>
              </w:rPr>
            </w:r>
          </w:p>
        </w:tc>
        <w:tc>
          <w:tcPr>
            <w:shd w:val="clear" w:color="auto" w:fill="auto"/>
            <w:tcW w:w="1576" w:type="pct"/>
            <w:vAlign w:val="center"/>
            <w:textDirection w:val="lrTb"/>
            <w:noWrap w:val="false"/>
          </w:tcPr>
          <w:p>
            <w:pPr>
              <w:jc w:val="center"/>
              <w:rPr>
                <w:sz w:val="20"/>
                <w:szCs w:val="20"/>
                <w:lang w:eastAsia="ru-RU"/>
              </w:rPr>
            </w:pPr>
            <w:r>
              <w:rPr>
                <w:sz w:val="20"/>
                <w:szCs w:val="20"/>
                <w:lang w:eastAsia="ru-RU"/>
              </w:rPr>
              <w:t xml:space="preserve">Адрес объекта</w:t>
            </w:r>
            <w:r>
              <w:rPr>
                <w:sz w:val="20"/>
                <w:szCs w:val="20"/>
                <w:lang w:eastAsia="ru-RU"/>
              </w:rPr>
            </w:r>
            <w:r>
              <w:rPr>
                <w:sz w:val="20"/>
                <w:szCs w:val="20"/>
                <w:lang w:eastAsia="ru-RU"/>
              </w:rPr>
            </w:r>
          </w:p>
        </w:tc>
        <w:tc>
          <w:tcPr>
            <w:tcW w:w="1439" w:type="pct"/>
            <w:vAlign w:val="center"/>
            <w:textDirection w:val="lrTb"/>
            <w:noWrap w:val="false"/>
          </w:tcPr>
          <w:p>
            <w:pPr>
              <w:jc w:val="center"/>
              <w:rPr>
                <w:sz w:val="20"/>
                <w:szCs w:val="20"/>
                <w:lang w:eastAsia="ru-RU"/>
              </w:rPr>
            </w:pPr>
            <w:r>
              <w:rPr>
                <w:sz w:val="20"/>
                <w:szCs w:val="20"/>
                <w:lang w:eastAsia="ru-RU"/>
              </w:rPr>
              <w:t xml:space="preserve">Тепловая нагрузка на отопление, Гкал/ч</w:t>
            </w:r>
            <w:r>
              <w:rPr>
                <w:sz w:val="20"/>
                <w:szCs w:val="20"/>
                <w:lang w:eastAsia="ru-RU"/>
              </w:rPr>
            </w:r>
            <w:r>
              <w:rPr>
                <w:sz w:val="20"/>
                <w:szCs w:val="20"/>
                <w:lang w:eastAsia="ru-RU"/>
              </w:rPr>
            </w:r>
          </w:p>
        </w:tc>
      </w:tr>
      <w:tr>
        <w:tblPrEx/>
        <w:trPr/>
        <w:tc>
          <w:tcPr>
            <w:shd w:val="clear" w:color="auto" w:fill="auto"/>
            <w:tcW w:w="1985" w:type="pct"/>
            <w:vAlign w:val="center"/>
            <w:textDirection w:val="lrTb"/>
            <w:noWrap w:val="false"/>
          </w:tcPr>
          <w:p>
            <w:pPr>
              <w:rPr>
                <w:sz w:val="20"/>
                <w:szCs w:val="20"/>
              </w:rPr>
            </w:pPr>
            <w:r>
              <w:rPr>
                <w:sz w:val="20"/>
                <w:szCs w:val="20"/>
              </w:rPr>
              <w:t xml:space="preserve">Промплощадка ЛПДС «Юргамыш»</w:t>
            </w:r>
            <w:r>
              <w:rPr>
                <w:sz w:val="20"/>
                <w:szCs w:val="20"/>
              </w:rPr>
            </w:r>
            <w:r>
              <w:rPr>
                <w:sz w:val="20"/>
                <w:szCs w:val="20"/>
              </w:rPr>
            </w:r>
          </w:p>
        </w:tc>
        <w:tc>
          <w:tcPr>
            <w:shd w:val="clear" w:color="auto" w:fill="auto"/>
            <w:tcW w:w="1576" w:type="pct"/>
            <w:vAlign w:val="center"/>
            <w:textDirection w:val="lrTb"/>
            <w:noWrap w:val="false"/>
          </w:tcPr>
          <w:p>
            <w:pPr>
              <w:jc w:val="center"/>
              <w:rPr>
                <w:sz w:val="20"/>
                <w:szCs w:val="20"/>
              </w:rPr>
            </w:pPr>
            <w:r>
              <w:rPr>
                <w:color w:val="000000"/>
                <w:sz w:val="20"/>
                <w:szCs w:val="20"/>
              </w:rPr>
              <w:t xml:space="preserve">п. Новый Мир</w:t>
            </w:r>
            <w:r>
              <w:rPr>
                <w:sz w:val="20"/>
                <w:szCs w:val="20"/>
              </w:rPr>
              <w:t xml:space="preserve"> </w:t>
            </w:r>
            <w:r>
              <w:rPr>
                <w:sz w:val="20"/>
                <w:szCs w:val="20"/>
              </w:rPr>
            </w:r>
            <w:r>
              <w:rPr>
                <w:sz w:val="20"/>
                <w:szCs w:val="20"/>
              </w:rPr>
            </w:r>
          </w:p>
          <w:p>
            <w:pPr>
              <w:jc w:val="center"/>
              <w:rPr>
                <w:color w:val="000000"/>
                <w:sz w:val="20"/>
                <w:szCs w:val="20"/>
              </w:rPr>
            </w:pPr>
            <w:r>
              <w:rPr>
                <w:sz w:val="20"/>
                <w:szCs w:val="20"/>
              </w:rPr>
              <w:t xml:space="preserve">Промплощадка ЛПДС «Юргамыш»</w:t>
            </w:r>
            <w:r>
              <w:rPr>
                <w:color w:val="000000"/>
                <w:sz w:val="20"/>
                <w:szCs w:val="20"/>
              </w:rPr>
            </w:r>
            <w:r>
              <w:rPr>
                <w:color w:val="000000"/>
                <w:sz w:val="20"/>
                <w:szCs w:val="20"/>
              </w:rPr>
            </w:r>
          </w:p>
        </w:tc>
        <w:tc>
          <w:tcPr>
            <w:tcW w:w="1439" w:type="pct"/>
            <w:vAlign w:val="center"/>
            <w:textDirection w:val="lrTb"/>
            <w:noWrap w:val="false"/>
          </w:tcPr>
          <w:p>
            <w:pPr>
              <w:jc w:val="center"/>
              <w:rPr>
                <w:bCs/>
                <w:sz w:val="20"/>
                <w:szCs w:val="20"/>
                <w:lang w:eastAsia="ru-RU"/>
              </w:rPr>
            </w:pPr>
            <w:r>
              <w:rPr>
                <w:bCs/>
                <w:sz w:val="20"/>
                <w:szCs w:val="20"/>
                <w:lang w:eastAsia="ru-RU"/>
              </w:rPr>
              <w:t xml:space="preserve">4,291</w:t>
            </w:r>
            <w:r>
              <w:rPr>
                <w:bCs/>
                <w:sz w:val="20"/>
                <w:szCs w:val="20"/>
                <w:lang w:eastAsia="ru-RU"/>
              </w:rPr>
            </w:r>
            <w:r>
              <w:rPr>
                <w:bCs/>
                <w:sz w:val="20"/>
                <w:szCs w:val="20"/>
                <w:lang w:eastAsia="ru-RU"/>
              </w:rPr>
            </w:r>
          </w:p>
        </w:tc>
      </w:tr>
      <w:tr>
        <w:tblPrEx/>
        <w:trPr/>
        <w:tc>
          <w:tcPr>
            <w:shd w:val="clear" w:color="auto" w:fill="auto"/>
            <w:tcW w:w="1985" w:type="pct"/>
            <w:vAlign w:val="center"/>
            <w:textDirection w:val="lrTb"/>
            <w:noWrap w:val="false"/>
          </w:tcPr>
          <w:p>
            <w:pPr>
              <w:rPr>
                <w:sz w:val="20"/>
                <w:szCs w:val="20"/>
              </w:rPr>
            </w:pPr>
            <w:r>
              <w:rPr>
                <w:sz w:val="20"/>
                <w:szCs w:val="20"/>
              </w:rPr>
              <w:t xml:space="preserve">ООО «Новомировское домоуправление»</w:t>
            </w:r>
            <w:r>
              <w:rPr>
                <w:sz w:val="20"/>
                <w:szCs w:val="20"/>
              </w:rPr>
            </w:r>
            <w:r>
              <w:rPr>
                <w:sz w:val="20"/>
                <w:szCs w:val="20"/>
              </w:rPr>
            </w:r>
          </w:p>
        </w:tc>
        <w:tc>
          <w:tcPr>
            <w:shd w:val="clear" w:color="auto" w:fill="auto"/>
            <w:tcW w:w="1576" w:type="pct"/>
            <w:vAlign w:val="center"/>
            <w:textDirection w:val="lrTb"/>
            <w:noWrap w:val="false"/>
          </w:tcPr>
          <w:p>
            <w:pPr>
              <w:jc w:val="center"/>
              <w:rPr>
                <w:color w:val="000000"/>
                <w:sz w:val="20"/>
                <w:szCs w:val="20"/>
              </w:rPr>
            </w:pPr>
            <w:r>
              <w:rPr>
                <w:color w:val="000000"/>
                <w:sz w:val="20"/>
                <w:szCs w:val="20"/>
              </w:rPr>
              <w:t xml:space="preserve">п. Новый Мир, ул. Советская,</w:t>
            </w:r>
            <w:r>
              <w:rPr>
                <w:color w:val="000000"/>
                <w:sz w:val="20"/>
                <w:szCs w:val="20"/>
              </w:rPr>
              <w:t xml:space="preserve"> 1</w:t>
            </w:r>
            <w:r>
              <w:rPr>
                <w:color w:val="000000"/>
                <w:sz w:val="20"/>
                <w:szCs w:val="20"/>
              </w:rPr>
            </w:r>
            <w:r>
              <w:rPr>
                <w:color w:val="000000"/>
                <w:sz w:val="20"/>
                <w:szCs w:val="20"/>
              </w:rPr>
            </w:r>
          </w:p>
        </w:tc>
        <w:tc>
          <w:tcPr>
            <w:tcW w:w="1439" w:type="pct"/>
            <w:vAlign w:val="center"/>
            <w:textDirection w:val="lrTb"/>
            <w:noWrap w:val="false"/>
          </w:tcPr>
          <w:p>
            <w:pPr>
              <w:jc w:val="center"/>
              <w:rPr>
                <w:color w:val="000000"/>
                <w:sz w:val="20"/>
                <w:szCs w:val="20"/>
                <w:lang w:eastAsia="ru-RU"/>
              </w:rPr>
            </w:pPr>
            <w:r>
              <w:rPr>
                <w:color w:val="000000"/>
                <w:sz w:val="20"/>
                <w:szCs w:val="20"/>
                <w:lang w:eastAsia="ru-RU"/>
              </w:rPr>
              <w:t xml:space="preserve">3,507</w:t>
            </w:r>
            <w:r>
              <w:rPr>
                <w:color w:val="000000"/>
                <w:sz w:val="20"/>
                <w:szCs w:val="20"/>
                <w:lang w:eastAsia="ru-RU"/>
              </w:rPr>
            </w:r>
            <w:r>
              <w:rPr>
                <w:color w:val="000000"/>
                <w:sz w:val="20"/>
                <w:szCs w:val="20"/>
                <w:lang w:eastAsia="ru-RU"/>
              </w:rPr>
            </w:r>
          </w:p>
        </w:tc>
      </w:tr>
      <w:tr>
        <w:tblPrEx/>
        <w:trPr/>
        <w:tc>
          <w:tcPr>
            <w:shd w:val="clear" w:color="auto" w:fill="auto"/>
            <w:tcW w:w="1985" w:type="pct"/>
            <w:vAlign w:val="center"/>
            <w:textDirection w:val="lrTb"/>
            <w:noWrap w:val="false"/>
          </w:tcPr>
          <w:p>
            <w:pPr>
              <w:jc w:val="center"/>
              <w:rPr>
                <w:sz w:val="20"/>
                <w:szCs w:val="20"/>
              </w:rPr>
            </w:pPr>
            <w:r>
              <w:rPr>
                <w:sz w:val="20"/>
                <w:szCs w:val="20"/>
              </w:rPr>
              <w:t xml:space="preserve">Итого:</w:t>
            </w:r>
            <w:r>
              <w:rPr>
                <w:sz w:val="20"/>
                <w:szCs w:val="20"/>
              </w:rPr>
            </w:r>
            <w:r>
              <w:rPr>
                <w:sz w:val="20"/>
                <w:szCs w:val="20"/>
              </w:rPr>
            </w:r>
          </w:p>
        </w:tc>
        <w:tc>
          <w:tcPr>
            <w:shd w:val="clear" w:color="auto" w:fill="auto"/>
            <w:tcW w:w="1576" w:type="pct"/>
            <w:vAlign w:val="center"/>
            <w:textDirection w:val="lrTb"/>
            <w:noWrap w:val="false"/>
          </w:tcPr>
          <w:p>
            <w:pPr>
              <w:jc w:val="center"/>
              <w:rPr>
                <w:color w:val="000000"/>
                <w:sz w:val="20"/>
                <w:szCs w:val="20"/>
              </w:rPr>
            </w:pPr>
            <w:r>
              <w:rPr>
                <w:color w:val="000000"/>
                <w:sz w:val="20"/>
                <w:szCs w:val="20"/>
              </w:rPr>
            </w:r>
            <w:r>
              <w:rPr>
                <w:color w:val="000000"/>
                <w:sz w:val="20"/>
                <w:szCs w:val="20"/>
              </w:rPr>
            </w:r>
            <w:r>
              <w:rPr>
                <w:color w:val="000000"/>
                <w:sz w:val="20"/>
                <w:szCs w:val="20"/>
              </w:rPr>
            </w:r>
          </w:p>
        </w:tc>
        <w:tc>
          <w:tcPr>
            <w:tcW w:w="1439" w:type="pct"/>
            <w:vAlign w:val="center"/>
            <w:textDirection w:val="lrTb"/>
            <w:noWrap w:val="false"/>
          </w:tcPr>
          <w:p>
            <w:pPr>
              <w:jc w:val="center"/>
              <w:rPr>
                <w:color w:val="000000"/>
                <w:sz w:val="20"/>
                <w:szCs w:val="20"/>
                <w:lang w:eastAsia="ru-RU"/>
              </w:rPr>
            </w:pPr>
            <w:r>
              <w:rPr>
                <w:color w:val="000000"/>
                <w:sz w:val="20"/>
                <w:szCs w:val="20"/>
                <w:lang w:eastAsia="ru-RU"/>
              </w:rPr>
              <w:t xml:space="preserve">7,798</w:t>
            </w:r>
            <w:r>
              <w:rPr>
                <w:color w:val="000000"/>
                <w:sz w:val="20"/>
                <w:szCs w:val="20"/>
                <w:lang w:eastAsia="ru-RU"/>
              </w:rPr>
            </w:r>
            <w:r>
              <w:rPr>
                <w:color w:val="000000"/>
                <w:sz w:val="20"/>
                <w:szCs w:val="20"/>
                <w:lang w:eastAsia="ru-RU"/>
              </w:rPr>
            </w:r>
          </w:p>
        </w:tc>
      </w:tr>
    </w:tbl>
    <w:p>
      <w:pPr>
        <w:pStyle w:val="1247"/>
        <w:ind w:left="118" w:right="149" w:firstLine="707"/>
        <w:jc w:val="right"/>
        <w:spacing w:before="115"/>
      </w:pPr>
      <w:r>
        <w:t xml:space="preserve">Таблица 1.5.1.2</w:t>
      </w:r>
      <w:r/>
    </w:p>
    <w:p>
      <w:pPr>
        <w:pStyle w:val="1248"/>
        <w:ind w:right="147" w:firstLine="24"/>
        <w:jc w:val="center"/>
        <w:rPr>
          <w:b w:val="0"/>
          <w:bCs w:val="0"/>
          <w:highlight w:val="none"/>
        </w:rPr>
      </w:pPr>
      <w:r>
        <w:rPr>
          <w:b w:val="0"/>
        </w:rPr>
        <w:t xml:space="preserve">Максимальное потребление тепловой энергии по ООО «Новомировское домоуправление»</w:t>
      </w:r>
      <w:r>
        <w:rPr>
          <w:b w:val="0"/>
          <w:bCs w:val="0"/>
          <w:highlight w:val="none"/>
        </w:rPr>
      </w:r>
      <w:r>
        <w:rPr>
          <w:b w:val="0"/>
          <w:bCs w:val="0"/>
          <w:highlight w:val="none"/>
        </w:rPr>
      </w:r>
    </w:p>
    <w:tbl>
      <w:tblPr>
        <w:tblW w:w="4868" w:type="pct"/>
        <w:tblInd w:w="137"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1E0" w:firstRow="1" w:lastRow="1" w:firstColumn="1" w:lastColumn="1" w:noHBand="0" w:noVBand="0"/>
      </w:tblPr>
      <w:tblGrid>
        <w:gridCol w:w="1133"/>
        <w:gridCol w:w="4253"/>
        <w:gridCol w:w="4253"/>
      </w:tblGrid>
      <w:tr>
        <w:tblPrEx/>
        <w:trPr>
          <w:trHeight w:val="20"/>
        </w:trPr>
        <w:tc>
          <w:tcPr>
            <w:shd w:val="clear" w:color="auto" w:fill="auto"/>
            <w:tcW w:w="588" w:type="pct"/>
            <w:vAlign w:val="center"/>
            <w:textDirection w:val="lrTb"/>
            <w:noWrap w:val="false"/>
          </w:tcPr>
          <w:p>
            <w:pPr>
              <w:jc w:val="center"/>
              <w:rPr>
                <w:sz w:val="20"/>
                <w:szCs w:val="20"/>
                <w:lang w:eastAsia="ru-RU"/>
              </w:rPr>
            </w:pPr>
            <w:r>
              <w:rPr>
                <w:sz w:val="20"/>
                <w:szCs w:val="20"/>
                <w:lang w:eastAsia="ru-RU"/>
              </w:rPr>
              <w:t xml:space="preserve">№ п/п</w:t>
            </w:r>
            <w:r>
              <w:rPr>
                <w:sz w:val="20"/>
                <w:szCs w:val="20"/>
                <w:lang w:eastAsia="ru-RU"/>
              </w:rPr>
            </w:r>
            <w:r>
              <w:rPr>
                <w:sz w:val="20"/>
                <w:szCs w:val="20"/>
                <w:lang w:eastAsia="ru-RU"/>
              </w:rPr>
            </w:r>
          </w:p>
        </w:tc>
        <w:tc>
          <w:tcPr>
            <w:shd w:val="clear" w:color="auto" w:fill="auto"/>
            <w:tcW w:w="2206" w:type="pct"/>
            <w:vAlign w:val="center"/>
            <w:textDirection w:val="lrTb"/>
            <w:noWrap w:val="false"/>
          </w:tcPr>
          <w:p>
            <w:pPr>
              <w:jc w:val="center"/>
              <w:rPr>
                <w:sz w:val="20"/>
                <w:szCs w:val="20"/>
                <w:lang w:eastAsia="ru-RU"/>
              </w:rPr>
            </w:pPr>
            <w:r>
              <w:rPr>
                <w:sz w:val="20"/>
                <w:szCs w:val="20"/>
                <w:lang w:eastAsia="ru-RU"/>
              </w:rPr>
              <w:t xml:space="preserve">Адрес объекта</w:t>
            </w:r>
            <w:r>
              <w:rPr>
                <w:sz w:val="20"/>
                <w:szCs w:val="20"/>
                <w:lang w:eastAsia="ru-RU"/>
              </w:rPr>
            </w:r>
            <w:r>
              <w:rPr>
                <w:sz w:val="20"/>
                <w:szCs w:val="20"/>
                <w:lang w:eastAsia="ru-RU"/>
              </w:rPr>
            </w:r>
          </w:p>
        </w:tc>
        <w:tc>
          <w:tcPr>
            <w:shd w:val="clear" w:color="auto" w:fill="auto"/>
            <w:tcW w:w="2206" w:type="pct"/>
            <w:vAlign w:val="center"/>
            <w:textDirection w:val="lrTb"/>
            <w:noWrap w:val="false"/>
          </w:tcPr>
          <w:p>
            <w:pPr>
              <w:jc w:val="center"/>
              <w:rPr>
                <w:sz w:val="20"/>
                <w:szCs w:val="20"/>
                <w:lang w:eastAsia="ru-RU"/>
              </w:rPr>
            </w:pPr>
            <w:r>
              <w:rPr>
                <w:sz w:val="20"/>
                <w:szCs w:val="20"/>
                <w:lang w:eastAsia="ru-RU"/>
              </w:rPr>
              <w:t xml:space="preserve">Тепловая нагрузка на отопление, Гкал/ч</w:t>
            </w:r>
            <w:r>
              <w:rPr>
                <w:sz w:val="20"/>
                <w:szCs w:val="20"/>
                <w:lang w:eastAsia="ru-RU"/>
              </w:rPr>
            </w:r>
            <w:r>
              <w:rPr>
                <w:sz w:val="20"/>
                <w:szCs w:val="20"/>
                <w:lang w:eastAsia="ru-RU"/>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1</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Труда, 1</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0,118</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2</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Труда, 2</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0,052</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3</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Труда, 3</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0,035</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4</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Труда, 5</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0,022</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5</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Труда, 7</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0,035</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6</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Труда, 9</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0,006</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7</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Труда, 11</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0,008</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8</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Труда, 13</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0,034</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9</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Труда, 14</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0,006</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10</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Труда, 15</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0,012</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11</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Труда, 16</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0,006</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12</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Ленина, 1</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0,007</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13</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Ленина, 3</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0,007</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14</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Ленина, 5</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0,012</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15</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Ленина, 8</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0,009</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16</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Ленина, 11</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0,091</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17</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Ленина, 13</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0,006</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18</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Ленина, 15</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0,091</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19</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Ленина, 16 кв. 2</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0,009</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20</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Ленина, 17</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0,052</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21</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Ленина, 18</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0,007</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22</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Ленина, 22</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0,05</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23</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Ленина, 24</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0,052</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24</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К. Маркса, 1</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0,013</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25</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К. Маркса, 3</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0,014</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26</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К. Маркса, 5</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0,012</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27</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К. Маркса, 6а</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0,007</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28</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К. Маркса, 7</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0,012</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29</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К. Маркса, 13</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0,015</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30</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color w:val="000000"/>
                <w:sz w:val="20"/>
                <w:szCs w:val="20"/>
              </w:rPr>
            </w:pPr>
            <w:r>
              <w:rPr>
                <w:color w:val="000000"/>
                <w:sz w:val="20"/>
                <w:szCs w:val="20"/>
              </w:rPr>
              <w:t xml:space="preserve">п. Новый Мир, ул. К. Маркса, 15</w:t>
            </w:r>
            <w:r>
              <w:rPr>
                <w:color w:val="000000"/>
                <w:sz w:val="20"/>
                <w:szCs w:val="20"/>
              </w:rPr>
            </w:r>
            <w:r>
              <w:rPr>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0,016</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31</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К. Маркса, 17</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0,009</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32</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К. Маркса, 19</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0,013</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33</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К. Маркса, 19а</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0,052</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34</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К. Маркса, 21</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0,051</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35</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К. Маркса, 23</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0,092</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36</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К. Маркса, 27</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0,052</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37</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К. Маркса, 42</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0,01</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38</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Нефтяников, 3</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0,016</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39</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Нефтяников, 4</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0,013</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40</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Нефтяников, 5</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0,007</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41</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Нефтяников, 6</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0,01</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42</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Нефтяников, 7</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0,002</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43</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Нефтяников, 9</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0,007</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44</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Строителей, 1</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0,119</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45</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Строителей, 3</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0,008</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46</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Пушкина, 1</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0,074</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47</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Пушкина, 2</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0,007</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48</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Пушкина, 3</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0,078</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49</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Пушкина, 21</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0,052</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50</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Пушкина, 22</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0,05</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51</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Пушкина, 23а</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0,052</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52</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Советская, 3</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0,006</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53</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Советская, 7</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0,019</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54</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Свободы, 3</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0,008</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55</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Свободы, 9</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0,008</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56</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Свободы, 19</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0,003</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57</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50 лет Победы, 21</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0,012</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58</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50 лет Победы, 23</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0,011</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59</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Дружбы, 8</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0,007</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60</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50 лет Победы, 7</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0,004</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61</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Коммуны, 1</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0,011</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62</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Подстанция Мирная Анисин</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0,005</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63</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Советская, 4</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0,008</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64</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Дружбы, 7</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0,008</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65</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Дружбы, 10</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0,013</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66</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Нефтяников, 16</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0,013</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67</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Нефтяников, 29</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0,001</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68</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пер. Солнечный, 3</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0,011</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69</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Труда, 6</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0,019</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70</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Труда, 10</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0,007</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71</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Труда, 18а</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0,014</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72</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Труда, 22</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0,013</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73</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Труда, 22а</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0,014</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74</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Ленина, 4</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0,01</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75</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Ленина, 14</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0,011</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76</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Ленина, 16 кв. 1</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0,009</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77</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К. Маркса, 12</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0,01</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78</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К. Маркса, 17</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0,006</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79</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Свободы, 11</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0,016</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80</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Свободы, 5</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0,009</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81</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Свободы, 7</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0,01</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82</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Свободы, 21</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0,02</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83</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Строителей, 4а</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0,009</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84</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Советская, 5</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0,012</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85</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Труда, 8</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0,009</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86</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color w:val="000000"/>
                <w:sz w:val="20"/>
                <w:szCs w:val="20"/>
              </w:rPr>
            </w:pPr>
            <w:r>
              <w:rPr>
                <w:color w:val="000000"/>
                <w:sz w:val="20"/>
                <w:szCs w:val="20"/>
              </w:rPr>
              <w:t xml:space="preserve">п. Новый Мир, ул. Труда, 17</w:t>
            </w:r>
            <w:r>
              <w:rPr>
                <w:color w:val="000000"/>
                <w:sz w:val="20"/>
                <w:szCs w:val="20"/>
              </w:rPr>
            </w:r>
            <w:r>
              <w:rPr>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0,009</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87</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color w:val="000000"/>
                <w:sz w:val="20"/>
                <w:szCs w:val="20"/>
              </w:rPr>
            </w:pPr>
            <w:r>
              <w:rPr>
                <w:color w:val="000000"/>
                <w:sz w:val="20"/>
                <w:szCs w:val="20"/>
              </w:rPr>
              <w:t xml:space="preserve">п. Новый Мир, ул. Нефтяников, 2а</w:t>
            </w:r>
            <w:r>
              <w:rPr>
                <w:color w:val="000000"/>
                <w:sz w:val="20"/>
                <w:szCs w:val="20"/>
              </w:rPr>
            </w:r>
            <w:r>
              <w:rPr>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0,014</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88</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color w:val="000000"/>
                <w:sz w:val="20"/>
                <w:szCs w:val="20"/>
              </w:rPr>
            </w:pPr>
            <w:r>
              <w:rPr>
                <w:color w:val="000000"/>
                <w:sz w:val="20"/>
                <w:szCs w:val="20"/>
              </w:rPr>
              <w:t xml:space="preserve">п. Новый Мир, ул. Пушкина, 6 кв. 2</w:t>
            </w:r>
            <w:r>
              <w:rPr>
                <w:color w:val="000000"/>
                <w:sz w:val="20"/>
                <w:szCs w:val="20"/>
              </w:rPr>
            </w:r>
            <w:r>
              <w:rPr>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0,008</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89</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color w:val="000000"/>
                <w:sz w:val="20"/>
                <w:szCs w:val="20"/>
              </w:rPr>
            </w:pPr>
            <w:r>
              <w:rPr>
                <w:color w:val="000000"/>
                <w:sz w:val="20"/>
                <w:szCs w:val="20"/>
              </w:rPr>
              <w:t xml:space="preserve">п. Новый Мир, ул. Новая, 28а</w:t>
            </w:r>
            <w:r>
              <w:rPr>
                <w:color w:val="000000"/>
                <w:sz w:val="20"/>
                <w:szCs w:val="20"/>
              </w:rPr>
            </w:r>
            <w:r>
              <w:rPr>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0,02</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90</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К. Маркса, 22</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0,009</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91</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К. Маркса, 52</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0,012</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92</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Маршала Жукова, 3</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0,011</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93</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Ленина, 13</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0,006</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94</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ул. Советская, 3</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0,008</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95</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Подстанция Мирная Федоров</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0,005</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96</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библиотека </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0,005</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97</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музыкальная школа</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0,009</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98</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медпункт</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0,024</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99</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сбербанк</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0,004</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100</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Почта России</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0,003</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101</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Детский сад</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0,089</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102</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color w:val="000000"/>
                <w:sz w:val="20"/>
                <w:szCs w:val="20"/>
              </w:rPr>
              <w:t xml:space="preserve">п. Новый Мир, Клуб</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0,02</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103</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color w:val="000000"/>
                <w:sz w:val="20"/>
                <w:szCs w:val="20"/>
              </w:rPr>
            </w:pPr>
            <w:r>
              <w:rPr>
                <w:color w:val="000000"/>
                <w:sz w:val="20"/>
                <w:szCs w:val="20"/>
              </w:rPr>
              <w:t xml:space="preserve">п. Новый Мир, школа</w:t>
            </w:r>
            <w:r>
              <w:rPr>
                <w:color w:val="000000"/>
                <w:sz w:val="20"/>
                <w:szCs w:val="20"/>
              </w:rPr>
            </w:r>
            <w:r>
              <w:rPr>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0,205</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104</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color w:val="000000"/>
                <w:sz w:val="20"/>
                <w:szCs w:val="20"/>
              </w:rPr>
            </w:pPr>
            <w:r>
              <w:rPr>
                <w:color w:val="000000"/>
                <w:sz w:val="20"/>
                <w:szCs w:val="20"/>
              </w:rPr>
              <w:t xml:space="preserve">п. Новый Мир, ЧП «Людмила»</w:t>
            </w:r>
            <w:r>
              <w:rPr>
                <w:color w:val="000000"/>
                <w:sz w:val="20"/>
                <w:szCs w:val="20"/>
              </w:rPr>
            </w:r>
            <w:r>
              <w:rPr>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0,007</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105</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color w:val="000000"/>
                <w:sz w:val="20"/>
                <w:szCs w:val="20"/>
              </w:rPr>
            </w:pPr>
            <w:r>
              <w:rPr>
                <w:color w:val="000000"/>
                <w:sz w:val="20"/>
                <w:szCs w:val="20"/>
              </w:rPr>
              <w:t xml:space="preserve">п. Новый Мир, теплопункт</w:t>
            </w:r>
            <w:r>
              <w:rPr>
                <w:color w:val="000000"/>
                <w:sz w:val="20"/>
                <w:szCs w:val="20"/>
              </w:rPr>
            </w:r>
            <w:r>
              <w:rPr>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0,011</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106</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color w:val="000000"/>
                <w:sz w:val="20"/>
                <w:szCs w:val="20"/>
              </w:rPr>
            </w:pPr>
            <w:r>
              <w:rPr>
                <w:color w:val="000000"/>
                <w:sz w:val="20"/>
                <w:szCs w:val="20"/>
              </w:rPr>
              <w:t xml:space="preserve">п. Новый Мир, магазин «Гламур»</w:t>
            </w:r>
            <w:r>
              <w:rPr>
                <w:color w:val="000000"/>
                <w:sz w:val="20"/>
                <w:szCs w:val="20"/>
              </w:rPr>
            </w:r>
            <w:r>
              <w:rPr>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0,004</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107</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color w:val="000000"/>
                <w:sz w:val="20"/>
                <w:szCs w:val="20"/>
              </w:rPr>
            </w:pPr>
            <w:r>
              <w:rPr>
                <w:color w:val="000000"/>
                <w:sz w:val="20"/>
                <w:szCs w:val="20"/>
              </w:rPr>
              <w:t xml:space="preserve">п. Новый Мир, магазин «Нефтяник»</w:t>
            </w:r>
            <w:r>
              <w:rPr>
                <w:color w:val="000000"/>
                <w:sz w:val="20"/>
                <w:szCs w:val="20"/>
              </w:rPr>
            </w:r>
            <w:r>
              <w:rPr>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0,024</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108</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color w:val="000000"/>
                <w:sz w:val="20"/>
                <w:szCs w:val="20"/>
              </w:rPr>
            </w:pPr>
            <w:r>
              <w:rPr>
                <w:color w:val="000000"/>
                <w:sz w:val="20"/>
                <w:szCs w:val="20"/>
              </w:rPr>
              <w:t xml:space="preserve">п. Новый Мир, шиномонтажка</w:t>
            </w:r>
            <w:r>
              <w:rPr>
                <w:color w:val="000000"/>
                <w:sz w:val="20"/>
                <w:szCs w:val="20"/>
              </w:rPr>
            </w:r>
            <w:r>
              <w:rPr>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0,002</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109</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color w:val="000000"/>
                <w:sz w:val="20"/>
                <w:szCs w:val="20"/>
              </w:rPr>
            </w:pPr>
            <w:r>
              <w:rPr>
                <w:color w:val="000000"/>
                <w:sz w:val="20"/>
                <w:szCs w:val="20"/>
              </w:rPr>
              <w:t xml:space="preserve">п. Новый Мир, контора домоуправления</w:t>
            </w:r>
            <w:r>
              <w:rPr>
                <w:color w:val="000000"/>
                <w:sz w:val="20"/>
                <w:szCs w:val="20"/>
              </w:rPr>
            </w:r>
            <w:r>
              <w:rPr>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0,006</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110</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color w:val="000000"/>
                <w:sz w:val="20"/>
                <w:szCs w:val="20"/>
              </w:rPr>
            </w:pPr>
            <w:r>
              <w:rPr>
                <w:color w:val="000000"/>
                <w:sz w:val="20"/>
                <w:szCs w:val="20"/>
              </w:rPr>
              <w:t xml:space="preserve">п. Новый Мир, магазин «Долина»</w:t>
            </w:r>
            <w:r>
              <w:rPr>
                <w:color w:val="000000"/>
                <w:sz w:val="20"/>
                <w:szCs w:val="20"/>
              </w:rPr>
            </w:r>
            <w:r>
              <w:rPr>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0,003</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111</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color w:val="000000"/>
                <w:sz w:val="20"/>
                <w:szCs w:val="20"/>
              </w:rPr>
            </w:pPr>
            <w:r>
              <w:rPr>
                <w:color w:val="000000"/>
                <w:sz w:val="20"/>
                <w:szCs w:val="20"/>
              </w:rPr>
              <w:t xml:space="preserve">п. Новый Мир, магазин «Кумир»</w:t>
            </w:r>
            <w:r>
              <w:rPr>
                <w:color w:val="000000"/>
                <w:sz w:val="20"/>
                <w:szCs w:val="20"/>
              </w:rPr>
            </w:r>
            <w:r>
              <w:rPr>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0,019</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112</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color w:val="000000"/>
                <w:sz w:val="20"/>
                <w:szCs w:val="20"/>
              </w:rPr>
            </w:pPr>
            <w:r>
              <w:rPr>
                <w:color w:val="000000"/>
                <w:sz w:val="20"/>
                <w:szCs w:val="20"/>
              </w:rPr>
              <w:t xml:space="preserve">п. Новый Мир, жилой комплекс</w:t>
            </w:r>
            <w:r>
              <w:rPr>
                <w:color w:val="000000"/>
                <w:sz w:val="20"/>
                <w:szCs w:val="20"/>
              </w:rPr>
            </w:r>
            <w:r>
              <w:rPr>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0,031</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113</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color w:val="000000"/>
                <w:sz w:val="20"/>
                <w:szCs w:val="20"/>
              </w:rPr>
            </w:pPr>
            <w:r>
              <w:rPr>
                <w:color w:val="000000"/>
                <w:sz w:val="20"/>
                <w:szCs w:val="20"/>
              </w:rPr>
              <w:t xml:space="preserve">п. Новый Мир, магазин «Гуливер»</w:t>
            </w:r>
            <w:r>
              <w:rPr>
                <w:color w:val="000000"/>
                <w:sz w:val="20"/>
                <w:szCs w:val="20"/>
              </w:rPr>
            </w:r>
            <w:r>
              <w:rPr>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0,01</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114</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color w:val="000000"/>
                <w:sz w:val="20"/>
                <w:szCs w:val="20"/>
              </w:rPr>
            </w:pPr>
            <w:r>
              <w:rPr>
                <w:color w:val="000000"/>
                <w:sz w:val="20"/>
                <w:szCs w:val="20"/>
              </w:rPr>
              <w:t xml:space="preserve">п. Новый Мир, магазин «Былина»</w:t>
            </w:r>
            <w:r>
              <w:rPr>
                <w:color w:val="000000"/>
                <w:sz w:val="20"/>
                <w:szCs w:val="20"/>
              </w:rPr>
            </w:r>
            <w:r>
              <w:rPr>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0,01</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115</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color w:val="000000"/>
                <w:sz w:val="20"/>
                <w:szCs w:val="20"/>
              </w:rPr>
            </w:pPr>
            <w:r>
              <w:rPr>
                <w:color w:val="000000"/>
                <w:sz w:val="20"/>
                <w:szCs w:val="20"/>
              </w:rPr>
              <w:t xml:space="preserve">п. Новый Мир, Лесопилка</w:t>
            </w:r>
            <w:r>
              <w:rPr>
                <w:color w:val="000000"/>
                <w:sz w:val="20"/>
                <w:szCs w:val="20"/>
              </w:rPr>
            </w:r>
            <w:r>
              <w:rPr>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0,013</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116</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color w:val="000000"/>
                <w:sz w:val="20"/>
                <w:szCs w:val="20"/>
              </w:rPr>
            </w:pPr>
            <w:r>
              <w:rPr>
                <w:color w:val="000000"/>
                <w:sz w:val="20"/>
                <w:szCs w:val="20"/>
              </w:rPr>
              <w:t xml:space="preserve">п. Новый Мир, Склад РСУ</w:t>
            </w:r>
            <w:r>
              <w:rPr>
                <w:color w:val="000000"/>
                <w:sz w:val="20"/>
                <w:szCs w:val="20"/>
              </w:rPr>
            </w:r>
            <w:r>
              <w:rPr>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0,008</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117</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color w:val="000000"/>
                <w:sz w:val="20"/>
                <w:szCs w:val="20"/>
              </w:rPr>
            </w:pPr>
            <w:r>
              <w:rPr>
                <w:color w:val="000000"/>
                <w:sz w:val="20"/>
                <w:szCs w:val="20"/>
              </w:rPr>
              <w:t xml:space="preserve">п. Новый Мир, Производственное помещение</w:t>
            </w:r>
            <w:r>
              <w:rPr>
                <w:color w:val="000000"/>
                <w:sz w:val="20"/>
                <w:szCs w:val="20"/>
              </w:rPr>
            </w:r>
            <w:r>
              <w:rPr>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0,01</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118</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color w:val="000000"/>
                <w:sz w:val="20"/>
                <w:szCs w:val="20"/>
              </w:rPr>
            </w:pPr>
            <w:r>
              <w:rPr>
                <w:color w:val="000000"/>
                <w:sz w:val="20"/>
                <w:szCs w:val="20"/>
              </w:rPr>
              <w:t xml:space="preserve">п. Новый Мир, ОК-25 Ленина, 136</w:t>
            </w:r>
            <w:r>
              <w:rPr>
                <w:color w:val="000000"/>
                <w:sz w:val="20"/>
                <w:szCs w:val="20"/>
              </w:rPr>
            </w:r>
            <w:r>
              <w:rPr>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0,053</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jc w:val="center"/>
              <w:rPr>
                <w:color w:val="000000"/>
                <w:sz w:val="20"/>
                <w:szCs w:val="20"/>
              </w:rPr>
            </w:pPr>
            <w:r>
              <w:rPr>
                <w:color w:val="000000"/>
                <w:sz w:val="20"/>
                <w:szCs w:val="20"/>
              </w:rPr>
              <w:t xml:space="preserve">Итого:</w:t>
            </w:r>
            <w:r>
              <w:rPr>
                <w:color w:val="000000"/>
                <w:sz w:val="20"/>
                <w:szCs w:val="20"/>
              </w:rPr>
            </w:r>
            <w:r>
              <w:rPr>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3,507</w:t>
            </w:r>
            <w:r>
              <w:rPr>
                <w:color w:val="000000"/>
                <w:sz w:val="20"/>
                <w:szCs w:val="20"/>
              </w:rPr>
            </w:r>
            <w:r>
              <w:rPr>
                <w:color w:val="000000"/>
                <w:sz w:val="20"/>
                <w:szCs w:val="20"/>
              </w:rPr>
            </w:r>
          </w:p>
        </w:tc>
      </w:tr>
    </w:tbl>
    <w:p>
      <w:pPr>
        <w:pStyle w:val="1247"/>
        <w:ind w:left="118" w:right="149" w:firstLine="707"/>
        <w:jc w:val="right"/>
        <w:spacing w:before="115"/>
      </w:pPr>
      <w:r>
        <w:t xml:space="preserve">Таблица 1.5.1.3</w:t>
      </w:r>
      <w:r/>
    </w:p>
    <w:p>
      <w:pPr>
        <w:pStyle w:val="1248"/>
        <w:ind w:right="147" w:firstLine="24"/>
        <w:jc w:val="center"/>
        <w:rPr>
          <w:b w:val="0"/>
          <w:lang w:eastAsia="ru-RU"/>
        </w:rPr>
      </w:pPr>
      <w:r>
        <w:rPr>
          <w:b w:val="0"/>
        </w:rPr>
        <w:t xml:space="preserve">Максимальное потребление тепловой энергии на котельной р.п.  Юргамыш, ул. Железнодорожная, территория тягловой подстанции ОАО «РЖД»</w:t>
      </w:r>
      <w:r>
        <w:rPr>
          <w:b w:val="0"/>
          <w:lang w:eastAsia="ru-RU"/>
        </w:rPr>
      </w:r>
      <w:r>
        <w:rPr>
          <w:b w:val="0"/>
          <w:lang w:eastAsia="ru-RU"/>
        </w:rPr>
      </w:r>
    </w:p>
    <w:tbl>
      <w:tblPr>
        <w:tblW w:w="4868" w:type="pct"/>
        <w:tblInd w:w="137"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1E0" w:firstRow="1" w:lastRow="1" w:firstColumn="1" w:lastColumn="1" w:noHBand="0" w:noVBand="0"/>
      </w:tblPr>
      <w:tblGrid>
        <w:gridCol w:w="1133"/>
        <w:gridCol w:w="4253"/>
        <w:gridCol w:w="4253"/>
      </w:tblGrid>
      <w:tr>
        <w:tblPrEx/>
        <w:trPr>
          <w:trHeight w:val="20"/>
        </w:trPr>
        <w:tc>
          <w:tcPr>
            <w:shd w:val="clear" w:color="auto" w:fill="auto"/>
            <w:tcW w:w="588" w:type="pct"/>
            <w:vAlign w:val="center"/>
            <w:textDirection w:val="lrTb"/>
            <w:noWrap w:val="false"/>
          </w:tcPr>
          <w:p>
            <w:pPr>
              <w:jc w:val="center"/>
              <w:rPr>
                <w:sz w:val="20"/>
                <w:szCs w:val="20"/>
                <w:lang w:eastAsia="ru-RU"/>
              </w:rPr>
            </w:pPr>
            <w:r>
              <w:rPr>
                <w:sz w:val="20"/>
                <w:szCs w:val="20"/>
                <w:lang w:eastAsia="ru-RU"/>
              </w:rPr>
              <w:t xml:space="preserve">№ п/п</w:t>
            </w:r>
            <w:r>
              <w:rPr>
                <w:sz w:val="20"/>
                <w:szCs w:val="20"/>
                <w:lang w:eastAsia="ru-RU"/>
              </w:rPr>
            </w:r>
            <w:r>
              <w:rPr>
                <w:sz w:val="20"/>
                <w:szCs w:val="20"/>
                <w:lang w:eastAsia="ru-RU"/>
              </w:rPr>
            </w:r>
          </w:p>
        </w:tc>
        <w:tc>
          <w:tcPr>
            <w:shd w:val="clear" w:color="auto" w:fill="auto"/>
            <w:tcW w:w="2206" w:type="pct"/>
            <w:vAlign w:val="center"/>
            <w:textDirection w:val="lrTb"/>
            <w:noWrap w:val="false"/>
          </w:tcPr>
          <w:p>
            <w:pPr>
              <w:jc w:val="center"/>
              <w:rPr>
                <w:sz w:val="20"/>
                <w:szCs w:val="20"/>
                <w:lang w:eastAsia="ru-RU"/>
              </w:rPr>
            </w:pPr>
            <w:r>
              <w:rPr>
                <w:sz w:val="20"/>
                <w:szCs w:val="20"/>
                <w:lang w:eastAsia="ru-RU"/>
              </w:rPr>
              <w:t xml:space="preserve">Адрес объекта</w:t>
            </w:r>
            <w:r>
              <w:rPr>
                <w:sz w:val="20"/>
                <w:szCs w:val="20"/>
                <w:lang w:eastAsia="ru-RU"/>
              </w:rPr>
            </w:r>
            <w:r>
              <w:rPr>
                <w:sz w:val="20"/>
                <w:szCs w:val="20"/>
                <w:lang w:eastAsia="ru-RU"/>
              </w:rPr>
            </w:r>
          </w:p>
        </w:tc>
        <w:tc>
          <w:tcPr>
            <w:shd w:val="clear" w:color="auto" w:fill="auto"/>
            <w:tcW w:w="2206" w:type="pct"/>
            <w:vAlign w:val="center"/>
            <w:textDirection w:val="lrTb"/>
            <w:noWrap w:val="false"/>
          </w:tcPr>
          <w:p>
            <w:pPr>
              <w:jc w:val="center"/>
              <w:rPr>
                <w:sz w:val="20"/>
                <w:szCs w:val="20"/>
                <w:lang w:eastAsia="ru-RU"/>
              </w:rPr>
            </w:pPr>
            <w:r>
              <w:rPr>
                <w:sz w:val="20"/>
                <w:szCs w:val="20"/>
                <w:lang w:eastAsia="ru-RU"/>
              </w:rPr>
              <w:t xml:space="preserve">Тепловая нагрузка на отопление, Гкал/ч</w:t>
            </w:r>
            <w:r>
              <w:rPr>
                <w:sz w:val="20"/>
                <w:szCs w:val="20"/>
                <w:lang w:eastAsia="ru-RU"/>
              </w:rPr>
            </w:r>
            <w:r>
              <w:rPr>
                <w:sz w:val="20"/>
                <w:szCs w:val="20"/>
                <w:lang w:eastAsia="ru-RU"/>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1</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rFonts w:eastAsia="Arial Unicode MS"/>
                <w:color w:val="000000"/>
                <w:sz w:val="20"/>
                <w:szCs w:val="20"/>
              </w:rPr>
              <w:t xml:space="preserve">р.п. Юргамыш, ул. </w:t>
            </w:r>
            <w:r>
              <w:rPr>
                <w:sz w:val="20"/>
                <w:szCs w:val="20"/>
              </w:rPr>
              <w:t xml:space="preserve">Железнодорожная, 1</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sz w:val="20"/>
                <w:szCs w:val="20"/>
              </w:rPr>
            </w:pPr>
            <w:r>
              <w:rPr>
                <w:sz w:val="20"/>
                <w:szCs w:val="20"/>
              </w:rPr>
              <w:t xml:space="preserve">0,0562</w:t>
            </w:r>
            <w:r>
              <w:rPr>
                <w:sz w:val="20"/>
                <w:szCs w:val="20"/>
              </w:rPr>
            </w:r>
            <w:r>
              <w:rPr>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2</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rFonts w:eastAsia="Arial Unicode MS"/>
                <w:color w:val="000000"/>
                <w:sz w:val="20"/>
                <w:szCs w:val="20"/>
              </w:rPr>
              <w:t xml:space="preserve">р.п. Юргамыш, ул. </w:t>
            </w:r>
            <w:r>
              <w:rPr>
                <w:sz w:val="20"/>
                <w:szCs w:val="20"/>
              </w:rPr>
              <w:t xml:space="preserve">Железнодорожная, 2</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sz w:val="20"/>
                <w:szCs w:val="20"/>
              </w:rPr>
            </w:pPr>
            <w:r>
              <w:rPr>
                <w:sz w:val="20"/>
                <w:szCs w:val="20"/>
              </w:rPr>
              <w:t xml:space="preserve">0,049</w:t>
            </w:r>
            <w:r>
              <w:rPr>
                <w:sz w:val="20"/>
                <w:szCs w:val="20"/>
              </w:rPr>
            </w:r>
            <w:r>
              <w:rPr>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3</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rFonts w:eastAsia="Arial Unicode MS"/>
                <w:color w:val="000000"/>
                <w:sz w:val="20"/>
                <w:szCs w:val="20"/>
              </w:rPr>
              <w:t xml:space="preserve">р.п. Юргамыш, ул. </w:t>
            </w:r>
            <w:r>
              <w:rPr>
                <w:sz w:val="20"/>
                <w:szCs w:val="20"/>
              </w:rPr>
              <w:t xml:space="preserve">Железнодорожная, 3</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sz w:val="20"/>
                <w:szCs w:val="20"/>
              </w:rPr>
            </w:pPr>
            <w:r>
              <w:rPr>
                <w:sz w:val="20"/>
                <w:szCs w:val="20"/>
              </w:rPr>
              <w:t xml:space="preserve">0,052</w:t>
            </w:r>
            <w:r>
              <w:rPr>
                <w:sz w:val="20"/>
                <w:szCs w:val="20"/>
              </w:rPr>
            </w:r>
            <w:r>
              <w:rPr>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4</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rFonts w:eastAsia="Arial Unicode MS"/>
                <w:color w:val="000000"/>
                <w:sz w:val="20"/>
                <w:szCs w:val="20"/>
              </w:rPr>
              <w:t xml:space="preserve">р.п. Юргамыш, ул. </w:t>
            </w:r>
            <w:r>
              <w:rPr>
                <w:sz w:val="20"/>
                <w:szCs w:val="20"/>
              </w:rPr>
              <w:t xml:space="preserve">Железнодорожная, 4</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sz w:val="20"/>
                <w:szCs w:val="20"/>
              </w:rPr>
            </w:pPr>
            <w:r>
              <w:rPr>
                <w:sz w:val="20"/>
                <w:szCs w:val="20"/>
              </w:rPr>
              <w:t xml:space="preserve">0,062</w:t>
            </w:r>
            <w:r>
              <w:rPr>
                <w:sz w:val="20"/>
                <w:szCs w:val="20"/>
              </w:rPr>
            </w:r>
            <w:r>
              <w:rPr>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5</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rFonts w:eastAsia="Arial Unicode MS"/>
                <w:color w:val="000000"/>
                <w:sz w:val="20"/>
                <w:szCs w:val="20"/>
              </w:rPr>
              <w:t xml:space="preserve">р.п. Юргамыш, ул. Свердлова, 2</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sz w:val="20"/>
                <w:szCs w:val="20"/>
              </w:rPr>
            </w:pPr>
            <w:r>
              <w:rPr>
                <w:sz w:val="20"/>
                <w:szCs w:val="20"/>
              </w:rPr>
              <w:t xml:space="preserve">0,080</w:t>
            </w:r>
            <w:r>
              <w:rPr>
                <w:sz w:val="20"/>
                <w:szCs w:val="20"/>
              </w:rPr>
            </w:r>
            <w:r>
              <w:rPr>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6</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rFonts w:eastAsia="Arial Unicode MS"/>
                <w:color w:val="000000"/>
                <w:sz w:val="20"/>
                <w:szCs w:val="20"/>
              </w:rPr>
              <w:t xml:space="preserve">Шумихинская дистанция электроснабжения</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color w:val="000000"/>
                <w:sz w:val="20"/>
                <w:szCs w:val="20"/>
              </w:rPr>
              <w:t xml:space="preserve">0,0721</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t xml:space="preserve">7</w:t>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rPr>
                <w:rFonts w:eastAsia="Arial Unicode MS"/>
                <w:color w:val="000000"/>
                <w:sz w:val="20"/>
                <w:szCs w:val="20"/>
              </w:rPr>
            </w:pPr>
            <w:r>
              <w:rPr>
                <w:rFonts w:eastAsia="Arial Unicode MS"/>
                <w:color w:val="000000"/>
                <w:sz w:val="20"/>
                <w:szCs w:val="20"/>
              </w:rPr>
              <w:t xml:space="preserve">ЮУДТВ здание над скважиной</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color w:val="000000"/>
                <w:sz w:val="20"/>
                <w:szCs w:val="20"/>
              </w:rPr>
            </w:pPr>
            <w:r>
              <w:rPr>
                <w:sz w:val="20"/>
                <w:szCs w:val="20"/>
              </w:rPr>
              <w:t xml:space="preserve">0,0019</w:t>
            </w:r>
            <w:r>
              <w:rPr>
                <w:color w:val="000000"/>
                <w:sz w:val="20"/>
                <w:szCs w:val="20"/>
              </w:rPr>
            </w:r>
            <w:r>
              <w:rPr>
                <w:color w:val="000000"/>
                <w:sz w:val="20"/>
                <w:szCs w:val="20"/>
              </w:rPr>
            </w:r>
          </w:p>
        </w:tc>
      </w:tr>
      <w:tr>
        <w:tblPrEx/>
        <w:trPr>
          <w:trHeight w:val="20"/>
        </w:trPr>
        <w:tc>
          <w:tcPr>
            <w:shd w:val="clear" w:color="auto" w:fill="auto"/>
            <w:tcW w:w="588" w:type="pct"/>
            <w:textDirection w:val="lrTb"/>
            <w:noWrap w:val="false"/>
          </w:tcPr>
          <w:p>
            <w:pPr>
              <w:jc w:val="center"/>
              <w:rPr>
                <w:rFonts w:eastAsia="Arial Unicode MS"/>
                <w:color w:val="000000"/>
                <w:sz w:val="20"/>
                <w:szCs w:val="20"/>
              </w:rPr>
            </w:pPr>
            <w:r>
              <w:rPr>
                <w:rFonts w:eastAsia="Arial Unicode MS"/>
                <w:color w:val="000000"/>
                <w:sz w:val="20"/>
                <w:szCs w:val="20"/>
              </w:rPr>
            </w:r>
            <w:r>
              <w:rPr>
                <w:rFonts w:eastAsia="Arial Unicode MS"/>
                <w:color w:val="000000"/>
                <w:sz w:val="20"/>
                <w:szCs w:val="20"/>
              </w:rPr>
            </w:r>
            <w:r>
              <w:rPr>
                <w:rFonts w:eastAsia="Arial Unicode MS"/>
                <w:color w:val="000000"/>
                <w:sz w:val="20"/>
                <w:szCs w:val="20"/>
              </w:rPr>
            </w:r>
          </w:p>
        </w:tc>
        <w:tc>
          <w:tcPr>
            <w:shd w:val="clear" w:color="auto" w:fill="auto"/>
            <w:tcW w:w="2206" w:type="pct"/>
            <w:textDirection w:val="lrTb"/>
            <w:noWrap w:val="false"/>
          </w:tcPr>
          <w:p>
            <w:pPr>
              <w:jc w:val="center"/>
              <w:rPr>
                <w:rFonts w:eastAsia="Arial Unicode MS"/>
                <w:color w:val="000000"/>
                <w:sz w:val="20"/>
                <w:szCs w:val="20"/>
              </w:rPr>
            </w:pPr>
            <w:r>
              <w:rPr>
                <w:color w:val="000000"/>
                <w:sz w:val="20"/>
                <w:szCs w:val="20"/>
              </w:rPr>
              <w:t xml:space="preserve">Итого:</w:t>
            </w:r>
            <w:r>
              <w:rPr>
                <w:rFonts w:eastAsia="Arial Unicode MS"/>
                <w:color w:val="000000"/>
                <w:sz w:val="20"/>
                <w:szCs w:val="20"/>
              </w:rPr>
            </w:r>
            <w:r>
              <w:rPr>
                <w:rFonts w:eastAsia="Arial Unicode MS"/>
                <w:color w:val="000000"/>
                <w:sz w:val="20"/>
                <w:szCs w:val="20"/>
              </w:rPr>
            </w:r>
          </w:p>
        </w:tc>
        <w:tc>
          <w:tcPr>
            <w:shd w:val="clear" w:color="auto" w:fill="auto"/>
            <w:tcW w:w="2206" w:type="pct"/>
            <w:vAlign w:val="center"/>
            <w:textDirection w:val="lrTb"/>
            <w:noWrap w:val="false"/>
          </w:tcPr>
          <w:p>
            <w:pPr>
              <w:jc w:val="center"/>
              <w:rPr>
                <w:sz w:val="20"/>
                <w:szCs w:val="20"/>
              </w:rPr>
            </w:pPr>
            <w:r>
              <w:rPr>
                <w:sz w:val="20"/>
                <w:szCs w:val="20"/>
              </w:rPr>
              <w:t xml:space="preserve">0,3732</w:t>
            </w:r>
            <w:r>
              <w:rPr>
                <w:sz w:val="20"/>
                <w:szCs w:val="20"/>
              </w:rPr>
            </w:r>
            <w:r>
              <w:rPr>
                <w:sz w:val="20"/>
                <w:szCs w:val="20"/>
              </w:rPr>
            </w:r>
          </w:p>
        </w:tc>
      </w:tr>
    </w:tbl>
    <w:p>
      <w:pPr>
        <w:pStyle w:val="1248"/>
        <w:ind w:right="147" w:firstLine="733"/>
        <w:rPr>
          <w:lang w:eastAsia="ru-RU"/>
        </w:rPr>
      </w:pPr>
      <w:r>
        <w:rPr>
          <w:lang w:eastAsia="ru-RU"/>
        </w:rPr>
      </w:r>
      <w:r>
        <w:rPr>
          <w:lang w:eastAsia="ru-RU"/>
        </w:rPr>
      </w:r>
      <w:r>
        <w:rPr>
          <w:lang w:eastAsia="ru-RU"/>
        </w:rPr>
      </w:r>
    </w:p>
    <w:p>
      <w:pPr>
        <w:pStyle w:val="1248"/>
        <w:ind w:left="119" w:right="147" w:firstLine="731"/>
        <w:spacing w:before="0"/>
        <w:rPr>
          <w:b w:val="0"/>
          <w:lang w:eastAsia="ru-RU"/>
        </w:rPr>
      </w:pPr>
      <w:r>
        <w:rPr>
          <w:b w:val="0"/>
          <w:lang w:eastAsia="ru-RU"/>
        </w:rPr>
        <w:t xml:space="preserve">Сведения по котельной ФКУ ИК №7 УФСИН России по Курганской области, Курганская область, р.п. Юргамыш, ул. Труда, 147 и котельной р.п. Юргамыш, ул. Ленина, 47а – отсутствуют.</w:t>
      </w:r>
      <w:r>
        <w:rPr>
          <w:b w:val="0"/>
          <w:lang w:eastAsia="ru-RU"/>
        </w:rPr>
      </w:r>
      <w:r>
        <w:rPr>
          <w:b w:val="0"/>
          <w:lang w:eastAsia="ru-RU"/>
        </w:rPr>
      </w:r>
    </w:p>
    <w:p>
      <w:pPr>
        <w:pStyle w:val="1248"/>
        <w:ind w:right="147" w:firstLine="733"/>
        <w:rPr>
          <w:lang w:eastAsia="ru-RU"/>
        </w:rPr>
      </w:pPr>
      <w:r>
        <w:rPr>
          <w:lang w:eastAsia="ru-RU"/>
        </w:rPr>
      </w:r>
      <w:r>
        <w:rPr>
          <w:lang w:eastAsia="ru-RU"/>
        </w:rPr>
      </w:r>
      <w:r>
        <w:rPr>
          <w:lang w:eastAsia="ru-RU"/>
        </w:rPr>
      </w:r>
    </w:p>
    <w:p>
      <w:pPr>
        <w:pStyle w:val="1248"/>
        <w:ind w:right="147" w:firstLine="733"/>
      </w:pPr>
      <w:r>
        <w:rPr>
          <w:lang w:eastAsia="ru-RU"/>
        </w:rPr>
        <w:t xml:space="preserve">1.5.2 </w:t>
      </w:r>
      <w:r>
        <w:t xml:space="preserve">Описание значений расчётных тепловых нагрузок на коллекторах источников тепловой энергии</w:t>
      </w:r>
      <w:bookmarkEnd w:id="165"/>
      <w:r/>
      <w:bookmarkEnd w:id="166"/>
      <w:r/>
      <w:r/>
    </w:p>
    <w:p>
      <w:pPr>
        <w:pStyle w:val="1247"/>
        <w:ind w:left="118" w:right="147" w:firstLine="707"/>
        <w:jc w:val="both"/>
        <w:spacing w:before="115"/>
      </w:pPr>
      <w:r>
        <w:t xml:space="preserve">Значение тепловой нагрузки на коллекторах </w:t>
      </w:r>
      <w:r>
        <w:t xml:space="preserve">централизованных </w:t>
      </w:r>
      <w:r>
        <w:t xml:space="preserve">источников тепловой энергии </w:t>
      </w:r>
      <w:r>
        <w:t xml:space="preserve">Юргамышского</w:t>
      </w:r>
      <w:r>
        <w:t xml:space="preserve"> муниципального округа </w:t>
      </w:r>
      <w:r>
        <w:t xml:space="preserve">приведены в следующей таблице.</w:t>
      </w:r>
      <w:r/>
    </w:p>
    <w:p>
      <w:pPr>
        <w:ind w:left="142" w:right="129" w:hanging="142"/>
        <w:jc w:val="right"/>
        <w:spacing w:line="276" w:lineRule="auto"/>
        <w:rPr>
          <w:sz w:val="24"/>
          <w:szCs w:val="24"/>
        </w:rPr>
      </w:pPr>
      <w:r/>
      <w:bookmarkStart w:id="167" w:name="_bookmark105"/>
      <w:r/>
      <w:bookmarkEnd w:id="167"/>
      <w:r>
        <w:rPr>
          <w:sz w:val="24"/>
          <w:szCs w:val="24"/>
        </w:rPr>
        <w:t xml:space="preserve">Таблица </w:t>
      </w:r>
      <w:r>
        <w:rPr>
          <w:sz w:val="24"/>
          <w:szCs w:val="24"/>
        </w:rPr>
        <w:t xml:space="preserve">1.5.2.1</w:t>
      </w:r>
      <w:r>
        <w:rPr>
          <w:sz w:val="24"/>
          <w:szCs w:val="24"/>
        </w:rPr>
      </w:r>
      <w:r>
        <w:rPr>
          <w:sz w:val="24"/>
          <w:szCs w:val="24"/>
        </w:rPr>
      </w:r>
    </w:p>
    <w:p>
      <w:pPr>
        <w:ind w:left="142" w:right="129" w:hanging="142"/>
        <w:jc w:val="center"/>
        <w:spacing w:line="276" w:lineRule="auto"/>
        <w:rPr>
          <w:sz w:val="24"/>
          <w:szCs w:val="24"/>
        </w:rPr>
      </w:pPr>
      <w:r>
        <w:rPr>
          <w:sz w:val="24"/>
          <w:szCs w:val="24"/>
        </w:rPr>
        <w:t xml:space="preserve">Значения тепловой нагрузки на коллекторах источников тепловой энергии </w:t>
      </w:r>
      <w:r>
        <w:rPr>
          <w:sz w:val="24"/>
          <w:szCs w:val="24"/>
        </w:rPr>
      </w:r>
      <w:r>
        <w:rPr>
          <w:sz w:val="24"/>
          <w:szCs w:val="24"/>
        </w:rPr>
      </w:r>
    </w:p>
    <w:tbl>
      <w:tblPr>
        <w:tblStyle w:val="1237"/>
        <w:tblW w:w="9639" w:type="dxa"/>
        <w:tblInd w:w="134"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Look w:val="01E0" w:firstRow="1" w:lastRow="1" w:firstColumn="1" w:lastColumn="1" w:noHBand="0" w:noVBand="0"/>
      </w:tblPr>
      <w:tblGrid>
        <w:gridCol w:w="7088"/>
        <w:gridCol w:w="2551"/>
      </w:tblGrid>
      <w:tr>
        <w:tblPrEx/>
        <w:trPr>
          <w:trHeight w:val="475"/>
        </w:trPr>
        <w:tc>
          <w:tcPr>
            <w:tcW w:w="7088" w:type="dxa"/>
            <w:vAlign w:val="center"/>
            <w:textDirection w:val="lrTb"/>
            <w:noWrap w:val="false"/>
          </w:tcPr>
          <w:p>
            <w:pPr>
              <w:pStyle w:val="1251"/>
              <w:spacing w:line="276" w:lineRule="auto"/>
              <w:rPr>
                <w:sz w:val="20"/>
                <w:szCs w:val="20"/>
              </w:rPr>
            </w:pPr>
            <w:r>
              <w:rPr>
                <w:sz w:val="20"/>
                <w:szCs w:val="20"/>
              </w:rPr>
              <w:t xml:space="preserve">Источник тепловой энергии</w:t>
            </w:r>
            <w:r>
              <w:rPr>
                <w:sz w:val="20"/>
                <w:szCs w:val="20"/>
              </w:rPr>
            </w:r>
            <w:r>
              <w:rPr>
                <w:sz w:val="20"/>
                <w:szCs w:val="20"/>
              </w:rPr>
            </w:r>
          </w:p>
        </w:tc>
        <w:tc>
          <w:tcPr>
            <w:tcW w:w="2551" w:type="dxa"/>
            <w:vAlign w:val="center"/>
            <w:textDirection w:val="lrTb"/>
            <w:noWrap w:val="false"/>
          </w:tcPr>
          <w:p>
            <w:pPr>
              <w:jc w:val="center"/>
              <w:rPr>
                <w:sz w:val="20"/>
                <w:szCs w:val="20"/>
              </w:rPr>
            </w:pPr>
            <w:r>
              <w:rPr>
                <w:sz w:val="20"/>
                <w:szCs w:val="20"/>
              </w:rPr>
              <w:t xml:space="preserve">Значение, Гкал/ч</w:t>
            </w:r>
            <w:r>
              <w:rPr>
                <w:sz w:val="20"/>
                <w:szCs w:val="20"/>
              </w:rPr>
            </w:r>
            <w:r>
              <w:rPr>
                <w:sz w:val="20"/>
                <w:szCs w:val="20"/>
              </w:rPr>
            </w:r>
          </w:p>
        </w:tc>
      </w:tr>
      <w:tr>
        <w:tblPrEx/>
        <w:trPr>
          <w:trHeight w:val="72"/>
        </w:trPr>
        <w:tc>
          <w:tcPr>
            <w:tcW w:w="7088" w:type="dxa"/>
            <w:vAlign w:val="center"/>
            <w:textDirection w:val="lrTb"/>
            <w:noWrap w:val="false"/>
          </w:tcPr>
          <w:p>
            <w:pPr>
              <w:jc w:val="center"/>
              <w:rPr>
                <w:sz w:val="20"/>
                <w:szCs w:val="20"/>
              </w:rPr>
            </w:pPr>
            <w:r>
              <w:rPr>
                <w:color w:val="000000"/>
                <w:sz w:val="20"/>
                <w:szCs w:val="20"/>
              </w:rPr>
              <w:t xml:space="preserve">Котельная </w:t>
            </w:r>
            <w:r>
              <w:rPr>
                <w:rFonts w:ascii="Liberation Serif" w:hAnsi="Liberation Serif" w:cs="Calibri"/>
                <w:color w:val="000000"/>
                <w:sz w:val="20"/>
                <w:szCs w:val="20"/>
              </w:rPr>
              <w:t xml:space="preserve">п. Новый Мир, ЛПДС «Юргамыш»</w:t>
            </w:r>
            <w:r>
              <w:rPr>
                <w:sz w:val="20"/>
                <w:szCs w:val="20"/>
              </w:rPr>
            </w:r>
            <w:r>
              <w:rPr>
                <w:sz w:val="20"/>
                <w:szCs w:val="20"/>
              </w:rPr>
            </w:r>
          </w:p>
        </w:tc>
        <w:tc>
          <w:tcPr>
            <w:tcW w:w="2551" w:type="dxa"/>
            <w:vAlign w:val="center"/>
            <w:textDirection w:val="lrTb"/>
            <w:noWrap w:val="false"/>
          </w:tcPr>
          <w:p>
            <w:pPr>
              <w:ind w:left="-142" w:right="-142"/>
              <w:jc w:val="center"/>
              <w:rPr>
                <w:sz w:val="20"/>
                <w:szCs w:val="20"/>
              </w:rPr>
            </w:pPr>
            <w:r>
              <w:rPr>
                <w:sz w:val="20"/>
                <w:szCs w:val="20"/>
              </w:rPr>
              <w:t xml:space="preserve">7,798</w:t>
            </w:r>
            <w:r>
              <w:rPr>
                <w:sz w:val="20"/>
                <w:szCs w:val="20"/>
              </w:rPr>
            </w:r>
            <w:r>
              <w:rPr>
                <w:sz w:val="20"/>
                <w:szCs w:val="20"/>
              </w:rPr>
            </w:r>
          </w:p>
        </w:tc>
      </w:tr>
      <w:tr>
        <w:tblPrEx/>
        <w:trPr>
          <w:trHeight w:val="236"/>
        </w:trPr>
        <w:tc>
          <w:tcPr>
            <w:tcW w:w="7088" w:type="dxa"/>
            <w:vAlign w:val="center"/>
            <w:textDirection w:val="lrTb"/>
            <w:noWrap w:val="false"/>
          </w:tcPr>
          <w:p>
            <w:pPr>
              <w:jc w:val="center"/>
              <w:rPr>
                <w:sz w:val="20"/>
                <w:szCs w:val="20"/>
              </w:rPr>
            </w:pPr>
            <w:r>
              <w:rPr>
                <w:color w:val="000000"/>
                <w:sz w:val="20"/>
                <w:szCs w:val="20"/>
              </w:rPr>
              <w:t xml:space="preserve">Котельная </w:t>
            </w:r>
            <w:r>
              <w:rPr>
                <w:rFonts w:ascii="Liberation Serif" w:hAnsi="Liberation Serif" w:cs="Calibri"/>
                <w:color w:val="000000"/>
                <w:sz w:val="20"/>
                <w:szCs w:val="20"/>
              </w:rPr>
              <w:t xml:space="preserve">р.п.  Юргамыш, ул. Железнодорожная, территория тягловой подстанции ОАО «РЖД»</w:t>
            </w:r>
            <w:r>
              <w:rPr>
                <w:sz w:val="20"/>
                <w:szCs w:val="20"/>
              </w:rPr>
            </w:r>
            <w:r>
              <w:rPr>
                <w:sz w:val="20"/>
                <w:szCs w:val="20"/>
              </w:rPr>
            </w:r>
          </w:p>
        </w:tc>
        <w:tc>
          <w:tcPr>
            <w:tcW w:w="2551" w:type="dxa"/>
            <w:vAlign w:val="center"/>
            <w:textDirection w:val="lrTb"/>
            <w:noWrap w:val="false"/>
          </w:tcPr>
          <w:p>
            <w:pPr>
              <w:ind w:right="-10"/>
              <w:jc w:val="center"/>
              <w:rPr>
                <w:sz w:val="20"/>
                <w:szCs w:val="20"/>
              </w:rPr>
            </w:pPr>
            <w:r>
              <w:rPr>
                <w:sz w:val="20"/>
                <w:szCs w:val="20"/>
              </w:rPr>
              <w:t xml:space="preserve">0,3732</w:t>
            </w:r>
            <w:r>
              <w:rPr>
                <w:sz w:val="20"/>
                <w:szCs w:val="20"/>
              </w:rPr>
            </w:r>
            <w:r>
              <w:rPr>
                <w:sz w:val="20"/>
                <w:szCs w:val="20"/>
              </w:rPr>
            </w:r>
          </w:p>
        </w:tc>
      </w:tr>
      <w:tr>
        <w:tblPrEx/>
        <w:trPr>
          <w:trHeight w:val="236"/>
        </w:trPr>
        <w:tc>
          <w:tcPr>
            <w:tcW w:w="7088" w:type="dxa"/>
            <w:vAlign w:val="center"/>
            <w:textDirection w:val="lrTb"/>
            <w:noWrap w:val="false"/>
          </w:tcPr>
          <w:p>
            <w:pPr>
              <w:jc w:val="center"/>
              <w:rPr>
                <w:sz w:val="20"/>
                <w:szCs w:val="20"/>
              </w:rPr>
            </w:pPr>
            <w:r>
              <w:rPr>
                <w:sz w:val="20"/>
                <w:szCs w:val="20"/>
              </w:rPr>
              <w:t xml:space="preserve">Котельная ФКУ ИК №7 УФСИН России по Курганской области,</w:t>
            </w:r>
            <w:r>
              <w:rPr>
                <w:rFonts w:ascii="Liberation Serif" w:hAnsi="Liberation Serif" w:cs="Calibri"/>
                <w:color w:val="000000"/>
                <w:sz w:val="20"/>
                <w:szCs w:val="20"/>
              </w:rPr>
              <w:t xml:space="preserve"> Курганская область, р.п. Юргамыш, ул. Труда, 147</w:t>
            </w:r>
            <w:r>
              <w:rPr>
                <w:sz w:val="20"/>
                <w:szCs w:val="20"/>
              </w:rPr>
            </w:r>
            <w:r>
              <w:rPr>
                <w:sz w:val="20"/>
                <w:szCs w:val="20"/>
              </w:rPr>
            </w:r>
          </w:p>
        </w:tc>
        <w:tc>
          <w:tcPr>
            <w:tcW w:w="2551" w:type="dxa"/>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r>
      <w:tr>
        <w:tblPrEx/>
        <w:trPr>
          <w:trHeight w:val="236"/>
        </w:trPr>
        <w:tc>
          <w:tcPr>
            <w:tcW w:w="7088" w:type="dxa"/>
            <w:vAlign w:val="center"/>
            <w:textDirection w:val="lrTb"/>
            <w:noWrap w:val="false"/>
          </w:tcPr>
          <w:p>
            <w:pPr>
              <w:jc w:val="center"/>
              <w:rPr>
                <w:sz w:val="20"/>
                <w:szCs w:val="20"/>
              </w:rPr>
            </w:pPr>
            <w:r>
              <w:rPr>
                <w:sz w:val="20"/>
                <w:szCs w:val="20"/>
              </w:rPr>
              <w:t xml:space="preserve">Котельная </w:t>
            </w:r>
            <w:r>
              <w:rPr>
                <w:rFonts w:ascii="Liberation Serif" w:hAnsi="Liberation Serif" w:cs="Calibri"/>
                <w:color w:val="000000"/>
                <w:sz w:val="20"/>
                <w:szCs w:val="20"/>
              </w:rPr>
              <w:t xml:space="preserve">р.п. Юргамыш, ул. Ленина, 47а</w:t>
            </w:r>
            <w:r>
              <w:rPr>
                <w:sz w:val="20"/>
                <w:szCs w:val="20"/>
              </w:rPr>
            </w:r>
            <w:r>
              <w:rPr>
                <w:sz w:val="20"/>
                <w:szCs w:val="20"/>
              </w:rPr>
            </w:r>
          </w:p>
        </w:tc>
        <w:tc>
          <w:tcPr>
            <w:tcW w:w="2551" w:type="dxa"/>
            <w:vAlign w:val="center"/>
            <w:textDirection w:val="lrTb"/>
            <w:noWrap w:val="false"/>
          </w:tcPr>
          <w:p>
            <w:pPr>
              <w:ind w:left="-142" w:right="-142"/>
              <w:jc w:val="center"/>
              <w:rPr>
                <w:sz w:val="20"/>
                <w:szCs w:val="20"/>
              </w:rPr>
            </w:pPr>
            <w:r>
              <w:rPr>
                <w:sz w:val="20"/>
                <w:szCs w:val="20"/>
              </w:rPr>
              <w:t xml:space="preserve">3,324</w:t>
            </w:r>
            <w:r>
              <w:rPr>
                <w:sz w:val="20"/>
                <w:szCs w:val="20"/>
              </w:rPr>
            </w:r>
            <w:r>
              <w:rPr>
                <w:sz w:val="20"/>
                <w:szCs w:val="20"/>
              </w:rPr>
            </w:r>
          </w:p>
        </w:tc>
      </w:tr>
      <w:tr>
        <w:tblPrEx/>
        <w:trPr>
          <w:trHeight w:val="236"/>
        </w:trPr>
        <w:tc>
          <w:tcPr>
            <w:tcW w:w="7088" w:type="dxa"/>
            <w:vAlign w:val="center"/>
            <w:textDirection w:val="lrTb"/>
            <w:noWrap w:val="false"/>
          </w:tcPr>
          <w:p>
            <w:pPr>
              <w:jc w:val="center"/>
              <w:rPr>
                <w:sz w:val="20"/>
                <w:szCs w:val="20"/>
              </w:rPr>
            </w:pPr>
            <w:r>
              <w:rPr>
                <w:color w:val="000000"/>
                <w:sz w:val="20"/>
                <w:szCs w:val="20"/>
              </w:rPr>
              <w:t xml:space="preserve">Итого:</w:t>
            </w:r>
            <w:r>
              <w:rPr>
                <w:sz w:val="20"/>
                <w:szCs w:val="20"/>
              </w:rPr>
            </w:r>
            <w:r>
              <w:rPr>
                <w:sz w:val="20"/>
                <w:szCs w:val="20"/>
              </w:rPr>
            </w:r>
          </w:p>
        </w:tc>
        <w:tc>
          <w:tcPr>
            <w:tcW w:w="2551" w:type="dxa"/>
            <w:vAlign w:val="center"/>
            <w:textDirection w:val="lrTb"/>
            <w:noWrap w:val="false"/>
          </w:tcPr>
          <w:p>
            <w:pPr>
              <w:ind w:left="-142" w:right="-142"/>
              <w:jc w:val="center"/>
              <w:rPr>
                <w:sz w:val="20"/>
                <w:szCs w:val="20"/>
              </w:rPr>
            </w:pPr>
            <w:r>
              <w:rPr>
                <w:sz w:val="20"/>
                <w:szCs w:val="20"/>
              </w:rPr>
              <w:t xml:space="preserve">11,495</w:t>
            </w:r>
            <w:r>
              <w:rPr>
                <w:sz w:val="20"/>
                <w:szCs w:val="20"/>
              </w:rPr>
            </w:r>
            <w:r>
              <w:rPr>
                <w:sz w:val="20"/>
                <w:szCs w:val="20"/>
              </w:rPr>
            </w:r>
          </w:p>
        </w:tc>
      </w:tr>
    </w:tbl>
    <w:p>
      <w:pPr>
        <w:ind w:left="142" w:right="129" w:hanging="142"/>
        <w:jc w:val="center"/>
        <w:spacing w:line="276" w:lineRule="auto"/>
        <w:rPr>
          <w:sz w:val="24"/>
          <w:szCs w:val="24"/>
        </w:rPr>
      </w:pPr>
      <w:r>
        <w:rPr>
          <w:sz w:val="24"/>
          <w:szCs w:val="24"/>
        </w:rPr>
      </w:r>
      <w:r>
        <w:rPr>
          <w:sz w:val="24"/>
          <w:szCs w:val="24"/>
        </w:rPr>
      </w:r>
      <w:r>
        <w:rPr>
          <w:sz w:val="24"/>
          <w:szCs w:val="24"/>
        </w:rPr>
      </w:r>
    </w:p>
    <w:p>
      <w:pPr>
        <w:pStyle w:val="1248"/>
        <w:ind w:right="153" w:firstLine="733"/>
        <w:spacing w:before="71"/>
      </w:pPr>
      <w:r/>
      <w:bookmarkStart w:id="168" w:name="_bookmark106"/>
      <w:r/>
      <w:bookmarkStart w:id="169" w:name="_Toc130231917"/>
      <w:r/>
      <w:bookmarkStart w:id="170" w:name="_Toc165540700"/>
      <w:r/>
      <w:bookmarkEnd w:id="168"/>
      <w:r>
        <w:rPr>
          <w:lang w:eastAsia="ru-RU"/>
        </w:rPr>
        <w:t xml:space="preserve">1.5.3 </w:t>
      </w:r>
      <w:r>
        <w:t xml:space="preserve">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bookmarkEnd w:id="169"/>
      <w:r/>
      <w:bookmarkEnd w:id="170"/>
      <w:r/>
      <w:r/>
    </w:p>
    <w:p>
      <w:pPr>
        <w:pStyle w:val="1247"/>
        <w:ind w:left="118" w:right="151" w:firstLine="707"/>
        <w:jc w:val="both"/>
        <w:spacing w:before="116"/>
      </w:pPr>
      <w:r>
        <w:t xml:space="preserve">Случаев и условий применения на территории </w:t>
      </w:r>
      <w:r>
        <w:t xml:space="preserve">Юргамышского</w:t>
      </w:r>
      <w:r>
        <w:t xml:space="preserve"> муниципального округа </w:t>
      </w:r>
      <w:r>
        <w:t xml:space="preserve">отопления жилых</w:t>
      </w:r>
      <w:r>
        <w:rPr>
          <w:spacing w:val="-8"/>
        </w:rPr>
        <w:t xml:space="preserve"> </w:t>
      </w:r>
      <w:r>
        <w:t xml:space="preserve">помещений</w:t>
      </w:r>
      <w:r>
        <w:rPr>
          <w:spacing w:val="-7"/>
        </w:rPr>
        <w:t xml:space="preserve"> </w:t>
      </w:r>
      <w:r>
        <w:t xml:space="preserve">в</w:t>
      </w:r>
      <w:r>
        <w:rPr>
          <w:spacing w:val="-8"/>
        </w:rPr>
        <w:t xml:space="preserve"> </w:t>
      </w:r>
      <w:r>
        <w:t xml:space="preserve">многоквартирных</w:t>
      </w:r>
      <w:r>
        <w:rPr>
          <w:spacing w:val="-6"/>
        </w:rPr>
        <w:t xml:space="preserve"> </w:t>
      </w:r>
      <w:r>
        <w:t xml:space="preserve">домах</w:t>
      </w:r>
      <w:r>
        <w:rPr>
          <w:spacing w:val="-6"/>
        </w:rPr>
        <w:t xml:space="preserve"> </w:t>
      </w:r>
      <w:r>
        <w:t xml:space="preserve">с</w:t>
      </w:r>
      <w:r>
        <w:rPr>
          <w:spacing w:val="-11"/>
        </w:rPr>
        <w:t xml:space="preserve"> </w:t>
      </w:r>
      <w:r>
        <w:t xml:space="preserve">использованием</w:t>
      </w:r>
      <w:r>
        <w:rPr>
          <w:spacing w:val="-9"/>
        </w:rPr>
        <w:t xml:space="preserve"> </w:t>
      </w:r>
      <w:r>
        <w:t xml:space="preserve">индивидуальных</w:t>
      </w:r>
      <w:r>
        <w:rPr>
          <w:spacing w:val="-6"/>
        </w:rPr>
        <w:t xml:space="preserve"> </w:t>
      </w:r>
      <w:r>
        <w:t xml:space="preserve">квартирных источников тепловой энергии не имеется.</w:t>
      </w:r>
      <w:r/>
    </w:p>
    <w:p>
      <w:pPr>
        <w:pStyle w:val="1247"/>
        <w:rPr>
          <w:sz w:val="27"/>
        </w:rPr>
      </w:pPr>
      <w:r>
        <w:rPr>
          <w:sz w:val="27"/>
        </w:rPr>
      </w:r>
      <w:r>
        <w:rPr>
          <w:sz w:val="27"/>
        </w:rPr>
      </w:r>
      <w:r>
        <w:rPr>
          <w:sz w:val="27"/>
        </w:rPr>
      </w:r>
    </w:p>
    <w:p>
      <w:pPr>
        <w:pStyle w:val="1248"/>
        <w:ind w:right="146" w:firstLine="733"/>
      </w:pPr>
      <w:r/>
      <w:bookmarkStart w:id="171" w:name="_bookmark107"/>
      <w:r/>
      <w:bookmarkStart w:id="172" w:name="_Toc130231918"/>
      <w:r/>
      <w:bookmarkStart w:id="173" w:name="_Toc165540701"/>
      <w:r/>
      <w:bookmarkEnd w:id="171"/>
      <w:r>
        <w:rPr>
          <w:lang w:eastAsia="ru-RU"/>
        </w:rPr>
        <w:t xml:space="preserve">1.5.4 </w:t>
      </w:r>
      <w:r>
        <w:t xml:space="preserve">Описание величины потребления тепловой энергии в расчётных элементах территориального деления за отопительный период и за год в целом</w:t>
      </w:r>
      <w:bookmarkEnd w:id="172"/>
      <w:r/>
      <w:bookmarkEnd w:id="173"/>
      <w:r/>
      <w:r/>
    </w:p>
    <w:p>
      <w:pPr>
        <w:pStyle w:val="1247"/>
        <w:ind w:left="118" w:right="151" w:firstLine="707"/>
        <w:jc w:val="both"/>
        <w:spacing w:before="115"/>
      </w:pPr>
      <w:r>
        <w:t xml:space="preserve">Описание величины потребления тепловой энергии в расчетных элементах территориального деления за отопительный период и за год в целом приведены в таблице 1.</w:t>
      </w:r>
      <w:r>
        <w:t xml:space="preserve">5.4.1</w:t>
      </w:r>
      <w:r/>
    </w:p>
    <w:p>
      <w:pPr>
        <w:ind w:left="2601" w:right="129" w:hanging="2199"/>
        <w:jc w:val="right"/>
        <w:spacing w:before="1"/>
        <w:rPr>
          <w:sz w:val="24"/>
          <w:szCs w:val="24"/>
        </w:rPr>
      </w:pPr>
      <w:r/>
      <w:bookmarkStart w:id="174" w:name="_bookmark108"/>
      <w:r/>
      <w:bookmarkEnd w:id="174"/>
      <w:r>
        <w:rPr>
          <w:sz w:val="24"/>
          <w:szCs w:val="24"/>
        </w:rPr>
      </w:r>
      <w:r>
        <w:rPr>
          <w:sz w:val="24"/>
          <w:szCs w:val="24"/>
        </w:rPr>
      </w:r>
    </w:p>
    <w:p>
      <w:pPr>
        <w:ind w:left="2601" w:right="129" w:hanging="2199"/>
        <w:jc w:val="right"/>
        <w:spacing w:before="1"/>
        <w:rPr>
          <w:spacing w:val="-3"/>
          <w:sz w:val="24"/>
          <w:szCs w:val="24"/>
        </w:rPr>
      </w:pPr>
      <w:r>
        <w:rPr>
          <w:sz w:val="24"/>
          <w:szCs w:val="24"/>
        </w:rPr>
        <w:t xml:space="preserve">Таблица</w:t>
      </w:r>
      <w:r>
        <w:rPr>
          <w:spacing w:val="-2"/>
          <w:sz w:val="24"/>
          <w:szCs w:val="24"/>
        </w:rPr>
        <w:t xml:space="preserve"> </w:t>
      </w:r>
      <w:r>
        <w:rPr>
          <w:sz w:val="24"/>
          <w:szCs w:val="24"/>
        </w:rPr>
        <w:t xml:space="preserve">1.5.4.1</w:t>
      </w:r>
      <w:r>
        <w:rPr>
          <w:spacing w:val="-3"/>
          <w:sz w:val="24"/>
          <w:szCs w:val="24"/>
        </w:rPr>
      </w:r>
      <w:r>
        <w:rPr>
          <w:spacing w:val="-3"/>
          <w:sz w:val="24"/>
          <w:szCs w:val="24"/>
        </w:rPr>
      </w:r>
    </w:p>
    <w:p>
      <w:pPr>
        <w:ind w:left="284"/>
        <w:jc w:val="center"/>
        <w:spacing w:before="1"/>
        <w:rPr>
          <w:sz w:val="24"/>
          <w:szCs w:val="24"/>
        </w:rPr>
      </w:pPr>
      <w:r>
        <w:rPr>
          <w:sz w:val="24"/>
          <w:szCs w:val="24"/>
        </w:rPr>
        <w:t xml:space="preserve">Величины потребления тепловой энергии в расчетных элементах территориального деления за отопительный период и за год</w:t>
      </w:r>
      <w:r>
        <w:rPr>
          <w:sz w:val="24"/>
          <w:szCs w:val="24"/>
        </w:rPr>
        <w:t xml:space="preserve"> </w:t>
      </w:r>
      <w:r>
        <w:rPr>
          <w:sz w:val="24"/>
          <w:szCs w:val="24"/>
        </w:rPr>
      </w:r>
      <w:r>
        <w:rPr>
          <w:sz w:val="24"/>
          <w:szCs w:val="24"/>
        </w:rPr>
      </w:r>
    </w:p>
    <w:tbl>
      <w:tblPr>
        <w:tblW w:w="4936" w:type="pct"/>
        <w:tblInd w:w="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4A0" w:firstRow="1" w:lastRow="0" w:firstColumn="1" w:lastColumn="0" w:noHBand="0" w:noVBand="1"/>
      </w:tblPr>
      <w:tblGrid>
        <w:gridCol w:w="4536"/>
        <w:gridCol w:w="1274"/>
        <w:gridCol w:w="1274"/>
        <w:gridCol w:w="1276"/>
        <w:gridCol w:w="1413"/>
      </w:tblGrid>
      <w:tr>
        <w:tblPrEx/>
        <w:trPr>
          <w:trHeight w:val="315"/>
        </w:trPr>
        <w:tc>
          <w:tcPr>
            <w:shd w:val="clear" w:color="auto" w:fill="auto"/>
            <w:tcW w:w="2320" w:type="pct"/>
            <w:vAlign w:val="center"/>
            <w:vMerge w:val="restart"/>
            <w:textDirection w:val="lrTb"/>
            <w:noWrap w:val="false"/>
          </w:tcPr>
          <w:p>
            <w:pPr>
              <w:jc w:val="center"/>
              <w:rPr>
                <w:sz w:val="20"/>
                <w:szCs w:val="20"/>
              </w:rPr>
            </w:pPr>
            <w:r>
              <w:rPr>
                <w:sz w:val="20"/>
                <w:szCs w:val="20"/>
              </w:rPr>
              <w:t xml:space="preserve">Источник тепловой энергии</w:t>
            </w:r>
            <w:r>
              <w:rPr>
                <w:sz w:val="20"/>
                <w:szCs w:val="20"/>
              </w:rPr>
            </w:r>
            <w:r>
              <w:rPr>
                <w:sz w:val="20"/>
                <w:szCs w:val="20"/>
              </w:rPr>
            </w:r>
          </w:p>
        </w:tc>
        <w:tc>
          <w:tcPr>
            <w:gridSpan w:val="4"/>
            <w:shd w:val="clear" w:color="auto" w:fill="auto"/>
            <w:tcW w:w="2680" w:type="pct"/>
            <w:vAlign w:val="center"/>
            <w:textDirection w:val="lrTb"/>
            <w:noWrap w:val="false"/>
          </w:tcPr>
          <w:p>
            <w:pPr>
              <w:jc w:val="center"/>
              <w:rPr>
                <w:sz w:val="20"/>
                <w:szCs w:val="20"/>
              </w:rPr>
            </w:pPr>
            <w:r>
              <w:rPr>
                <w:sz w:val="20"/>
                <w:szCs w:val="20"/>
              </w:rPr>
              <w:t xml:space="preserve">Полезный отпуск тепловой энергии за 2023 год,  (факт)</w:t>
            </w:r>
            <w:r>
              <w:rPr>
                <w:sz w:val="20"/>
                <w:szCs w:val="20"/>
              </w:rPr>
            </w:r>
            <w:r>
              <w:rPr>
                <w:sz w:val="20"/>
                <w:szCs w:val="20"/>
              </w:rPr>
            </w:r>
          </w:p>
        </w:tc>
      </w:tr>
      <w:tr>
        <w:tblPrEx/>
        <w:trPr>
          <w:trHeight w:val="95"/>
        </w:trPr>
        <w:tc>
          <w:tcPr>
            <w:tcW w:w="2320" w:type="pct"/>
            <w:vAlign w:val="center"/>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W w:w="652" w:type="pct"/>
            <w:vAlign w:val="center"/>
            <w:textDirection w:val="lrTb"/>
            <w:noWrap w:val="false"/>
          </w:tcPr>
          <w:p>
            <w:pPr>
              <w:jc w:val="center"/>
              <w:rPr>
                <w:sz w:val="20"/>
                <w:szCs w:val="20"/>
              </w:rPr>
            </w:pPr>
            <w:r>
              <w:rPr>
                <w:sz w:val="20"/>
                <w:szCs w:val="20"/>
              </w:rPr>
              <w:t xml:space="preserve">Всего, Гкал</w:t>
            </w:r>
            <w:r>
              <w:rPr>
                <w:sz w:val="20"/>
                <w:szCs w:val="20"/>
              </w:rPr>
            </w:r>
            <w:r>
              <w:rPr>
                <w:sz w:val="20"/>
                <w:szCs w:val="20"/>
              </w:rPr>
            </w:r>
          </w:p>
        </w:tc>
        <w:tc>
          <w:tcPr>
            <w:shd w:val="clear" w:color="auto" w:fill="auto"/>
            <w:tcW w:w="652" w:type="pct"/>
            <w:vAlign w:val="center"/>
            <w:textDirection w:val="lrTb"/>
            <w:noWrap w:val="false"/>
          </w:tcPr>
          <w:p>
            <w:pPr>
              <w:jc w:val="center"/>
              <w:rPr>
                <w:sz w:val="20"/>
                <w:szCs w:val="20"/>
              </w:rPr>
            </w:pPr>
            <w:r>
              <w:rPr>
                <w:sz w:val="20"/>
                <w:szCs w:val="20"/>
              </w:rPr>
              <w:t xml:space="preserve">Отопление, Гкал</w:t>
            </w:r>
            <w:r>
              <w:rPr>
                <w:sz w:val="20"/>
                <w:szCs w:val="20"/>
              </w:rPr>
            </w:r>
            <w:r>
              <w:rPr>
                <w:sz w:val="20"/>
                <w:szCs w:val="20"/>
              </w:rPr>
            </w:r>
          </w:p>
        </w:tc>
        <w:tc>
          <w:tcPr>
            <w:shd w:val="clear" w:color="auto" w:fill="auto"/>
            <w:tcW w:w="653" w:type="pct"/>
            <w:vAlign w:val="center"/>
            <w:textDirection w:val="lrTb"/>
            <w:noWrap w:val="false"/>
          </w:tcPr>
          <w:p>
            <w:pPr>
              <w:jc w:val="center"/>
              <w:rPr>
                <w:sz w:val="20"/>
                <w:szCs w:val="20"/>
              </w:rPr>
            </w:pPr>
            <w:r>
              <w:rPr>
                <w:sz w:val="20"/>
                <w:szCs w:val="20"/>
              </w:rPr>
              <w:t xml:space="preserve">ГВС, Гкал</w:t>
            </w:r>
            <w:r>
              <w:rPr>
                <w:sz w:val="20"/>
                <w:szCs w:val="20"/>
              </w:rPr>
            </w:r>
            <w:r>
              <w:rPr>
                <w:sz w:val="20"/>
                <w:szCs w:val="20"/>
              </w:rPr>
            </w:r>
          </w:p>
        </w:tc>
        <w:tc>
          <w:tcPr>
            <w:shd w:val="clear" w:color="auto" w:fill="auto"/>
            <w:tcW w:w="724" w:type="pct"/>
            <w:vAlign w:val="center"/>
            <w:textDirection w:val="lrTb"/>
            <w:noWrap w:val="false"/>
          </w:tcPr>
          <w:p>
            <w:pPr>
              <w:jc w:val="center"/>
              <w:rPr>
                <w:sz w:val="20"/>
                <w:szCs w:val="20"/>
              </w:rPr>
            </w:pPr>
            <w:r>
              <w:rPr>
                <w:sz w:val="20"/>
                <w:szCs w:val="20"/>
              </w:rPr>
              <w:t xml:space="preserve">Вентиляция, Гкал</w:t>
            </w:r>
            <w:r>
              <w:rPr>
                <w:sz w:val="20"/>
                <w:szCs w:val="20"/>
              </w:rPr>
            </w:r>
            <w:r>
              <w:rPr>
                <w:sz w:val="20"/>
                <w:szCs w:val="20"/>
              </w:rPr>
            </w:r>
          </w:p>
        </w:tc>
      </w:tr>
      <w:tr>
        <w:tblPrEx/>
        <w:trPr>
          <w:trHeight w:val="315"/>
        </w:trPr>
        <w:tc>
          <w:tcPr>
            <w:shd w:val="clear" w:color="auto" w:fill="auto"/>
            <w:tcW w:w="2320" w:type="pct"/>
            <w:vAlign w:val="center"/>
            <w:textDirection w:val="lrTb"/>
            <w:noWrap/>
          </w:tcPr>
          <w:p>
            <w:pPr>
              <w:jc w:val="center"/>
              <w:rPr>
                <w:sz w:val="20"/>
                <w:szCs w:val="20"/>
              </w:rPr>
            </w:pPr>
            <w:r>
              <w:rPr>
                <w:color w:val="000000"/>
                <w:sz w:val="20"/>
                <w:szCs w:val="20"/>
              </w:rPr>
              <w:t xml:space="preserve">Котельная </w:t>
            </w:r>
            <w:r>
              <w:rPr>
                <w:rFonts w:ascii="Liberation Serif" w:hAnsi="Liberation Serif" w:cs="Calibri"/>
                <w:color w:val="000000"/>
                <w:sz w:val="20"/>
                <w:szCs w:val="20"/>
              </w:rPr>
              <w:t xml:space="preserve">п. Новый Мир, ЛПДС «Юргамыш», в т.ч. продажа ООО «Новомировское домоуправление»</w:t>
            </w:r>
            <w:r>
              <w:rPr>
                <w:sz w:val="20"/>
                <w:szCs w:val="20"/>
              </w:rPr>
            </w:r>
            <w:r>
              <w:rPr>
                <w:sz w:val="20"/>
                <w:szCs w:val="20"/>
              </w:rPr>
            </w:r>
          </w:p>
        </w:tc>
        <w:tc>
          <w:tcPr>
            <w:shd w:val="clear" w:color="auto" w:fill="auto"/>
            <w:tcW w:w="652" w:type="pct"/>
            <w:vAlign w:val="center"/>
            <w:textDirection w:val="lrTb"/>
            <w:noWrap w:val="false"/>
          </w:tcPr>
          <w:p>
            <w:pPr>
              <w:jc w:val="center"/>
              <w:rPr>
                <w:sz w:val="20"/>
                <w:szCs w:val="20"/>
              </w:rPr>
            </w:pPr>
            <w:r>
              <w:rPr>
                <w:sz w:val="20"/>
                <w:szCs w:val="20"/>
              </w:rPr>
              <w:t xml:space="preserve">23578,909</w:t>
            </w:r>
            <w:r>
              <w:rPr>
                <w:sz w:val="20"/>
                <w:szCs w:val="20"/>
              </w:rPr>
            </w:r>
            <w:r>
              <w:rPr>
                <w:sz w:val="20"/>
                <w:szCs w:val="20"/>
              </w:rPr>
            </w:r>
          </w:p>
          <w:p>
            <w:pPr>
              <w:jc w:val="center"/>
              <w:rPr>
                <w:sz w:val="20"/>
                <w:szCs w:val="20"/>
              </w:rPr>
            </w:pPr>
            <w:r>
              <w:rPr>
                <w:sz w:val="20"/>
                <w:szCs w:val="20"/>
              </w:rPr>
              <w:t xml:space="preserve">8491,909</w:t>
            </w:r>
            <w:r>
              <w:rPr>
                <w:sz w:val="20"/>
                <w:szCs w:val="20"/>
              </w:rPr>
            </w:r>
            <w:r>
              <w:rPr>
                <w:sz w:val="20"/>
                <w:szCs w:val="20"/>
              </w:rPr>
            </w:r>
          </w:p>
        </w:tc>
        <w:tc>
          <w:tcPr>
            <w:shd w:val="clear" w:color="auto" w:fill="auto"/>
            <w:tcW w:w="652" w:type="pct"/>
            <w:vAlign w:val="center"/>
            <w:textDirection w:val="lrTb"/>
            <w:noWrap w:val="false"/>
          </w:tcPr>
          <w:p>
            <w:pPr>
              <w:jc w:val="center"/>
              <w:rPr>
                <w:sz w:val="20"/>
                <w:szCs w:val="20"/>
              </w:rPr>
            </w:pPr>
            <w:r>
              <w:rPr>
                <w:sz w:val="20"/>
                <w:szCs w:val="20"/>
              </w:rPr>
              <w:t xml:space="preserve">23578,909</w:t>
            </w:r>
            <w:r>
              <w:rPr>
                <w:sz w:val="20"/>
                <w:szCs w:val="20"/>
              </w:rPr>
            </w:r>
            <w:r>
              <w:rPr>
                <w:sz w:val="20"/>
                <w:szCs w:val="20"/>
              </w:rPr>
            </w:r>
          </w:p>
          <w:p>
            <w:pPr>
              <w:jc w:val="center"/>
              <w:rPr>
                <w:sz w:val="20"/>
                <w:szCs w:val="20"/>
              </w:rPr>
            </w:pPr>
            <w:r>
              <w:rPr>
                <w:sz w:val="20"/>
                <w:szCs w:val="20"/>
              </w:rPr>
              <w:t xml:space="preserve">8491,909</w:t>
            </w:r>
            <w:r>
              <w:rPr>
                <w:sz w:val="20"/>
                <w:szCs w:val="20"/>
              </w:rPr>
            </w:r>
            <w:r>
              <w:rPr>
                <w:sz w:val="20"/>
                <w:szCs w:val="20"/>
              </w:rPr>
            </w:r>
          </w:p>
        </w:tc>
        <w:tc>
          <w:tcPr>
            <w:shd w:val="clear" w:color="auto" w:fill="auto"/>
            <w:tcW w:w="653" w:type="pct"/>
            <w:vAlign w:val="center"/>
            <w:textDirection w:val="lrTb"/>
            <w:noWrap w:val="false"/>
          </w:tcPr>
          <w:p>
            <w:pPr>
              <w:jc w:val="center"/>
              <w:rPr>
                <w:sz w:val="20"/>
                <w:szCs w:val="20"/>
              </w:rPr>
            </w:pPr>
            <w:r>
              <w:rPr>
                <w:sz w:val="20"/>
                <w:szCs w:val="20"/>
              </w:rPr>
              <w:t xml:space="preserve">0,00</w:t>
            </w:r>
            <w:r>
              <w:rPr>
                <w:sz w:val="20"/>
                <w:szCs w:val="20"/>
              </w:rPr>
            </w:r>
            <w:r>
              <w:rPr>
                <w:sz w:val="20"/>
                <w:szCs w:val="20"/>
              </w:rPr>
            </w:r>
          </w:p>
        </w:tc>
        <w:tc>
          <w:tcPr>
            <w:shd w:val="clear" w:color="auto" w:fill="auto"/>
            <w:tcW w:w="724" w:type="pct"/>
            <w:vAlign w:val="center"/>
            <w:textDirection w:val="lrTb"/>
            <w:noWrap w:val="false"/>
          </w:tcPr>
          <w:p>
            <w:pPr>
              <w:jc w:val="center"/>
              <w:rPr>
                <w:sz w:val="20"/>
                <w:szCs w:val="20"/>
              </w:rPr>
            </w:pPr>
            <w:r>
              <w:rPr>
                <w:sz w:val="20"/>
                <w:szCs w:val="20"/>
              </w:rPr>
              <w:t xml:space="preserve">0,00</w:t>
            </w:r>
            <w:r>
              <w:rPr>
                <w:sz w:val="20"/>
                <w:szCs w:val="20"/>
              </w:rPr>
            </w:r>
            <w:r>
              <w:rPr>
                <w:sz w:val="20"/>
                <w:szCs w:val="20"/>
              </w:rPr>
            </w:r>
          </w:p>
        </w:tc>
      </w:tr>
      <w:tr>
        <w:tblPrEx/>
        <w:trPr>
          <w:trHeight w:val="315"/>
        </w:trPr>
        <w:tc>
          <w:tcPr>
            <w:shd w:val="clear" w:color="auto" w:fill="auto"/>
            <w:tcW w:w="2320" w:type="pct"/>
            <w:vAlign w:val="center"/>
            <w:textDirection w:val="lrTb"/>
            <w:noWrap w:val="false"/>
          </w:tcPr>
          <w:p>
            <w:pPr>
              <w:jc w:val="center"/>
              <w:rPr>
                <w:sz w:val="20"/>
                <w:szCs w:val="20"/>
              </w:rPr>
            </w:pPr>
            <w:r>
              <w:rPr>
                <w:color w:val="000000"/>
                <w:sz w:val="20"/>
                <w:szCs w:val="20"/>
              </w:rPr>
              <w:t xml:space="preserve">Котельная </w:t>
            </w:r>
            <w:r>
              <w:rPr>
                <w:rFonts w:ascii="Liberation Serif" w:hAnsi="Liberation Serif" w:cs="Calibri"/>
                <w:color w:val="000000"/>
                <w:sz w:val="20"/>
                <w:szCs w:val="20"/>
              </w:rPr>
              <w:t xml:space="preserve">р.п.  Юргамыш, ул. Железнодорожная, территория тягловой подстанции ОАО «РЖД»</w:t>
            </w:r>
            <w:r>
              <w:rPr>
                <w:sz w:val="20"/>
                <w:szCs w:val="20"/>
              </w:rPr>
            </w:r>
            <w:r>
              <w:rPr>
                <w:sz w:val="20"/>
                <w:szCs w:val="20"/>
              </w:rPr>
            </w:r>
          </w:p>
        </w:tc>
        <w:tc>
          <w:tcPr>
            <w:shd w:val="clear" w:color="auto" w:fill="auto"/>
            <w:tcW w:w="652" w:type="pct"/>
            <w:vAlign w:val="center"/>
            <w:textDirection w:val="lrTb"/>
            <w:noWrap w:val="false"/>
          </w:tcPr>
          <w:p>
            <w:pPr>
              <w:jc w:val="center"/>
              <w:rPr>
                <w:sz w:val="20"/>
                <w:szCs w:val="20"/>
              </w:rPr>
            </w:pPr>
            <w:r>
              <w:rPr>
                <w:bCs/>
                <w:sz w:val="20"/>
                <w:szCs w:val="20"/>
              </w:rPr>
              <w:t xml:space="preserve">650,112</w:t>
            </w:r>
            <w:r>
              <w:rPr>
                <w:sz w:val="20"/>
                <w:szCs w:val="20"/>
              </w:rPr>
            </w:r>
            <w:r>
              <w:rPr>
                <w:sz w:val="20"/>
                <w:szCs w:val="20"/>
              </w:rPr>
            </w:r>
          </w:p>
        </w:tc>
        <w:tc>
          <w:tcPr>
            <w:shd w:val="clear" w:color="auto" w:fill="auto"/>
            <w:tcW w:w="652" w:type="pct"/>
            <w:vAlign w:val="center"/>
            <w:textDirection w:val="lrTb"/>
            <w:noWrap w:val="false"/>
          </w:tcPr>
          <w:p>
            <w:pPr>
              <w:jc w:val="center"/>
              <w:rPr>
                <w:sz w:val="20"/>
                <w:szCs w:val="20"/>
              </w:rPr>
            </w:pPr>
            <w:r>
              <w:rPr>
                <w:bCs/>
                <w:sz w:val="20"/>
                <w:szCs w:val="20"/>
              </w:rPr>
              <w:t xml:space="preserve">650,112</w:t>
            </w:r>
            <w:r>
              <w:rPr>
                <w:sz w:val="20"/>
                <w:szCs w:val="20"/>
              </w:rPr>
            </w:r>
            <w:r>
              <w:rPr>
                <w:sz w:val="20"/>
                <w:szCs w:val="20"/>
              </w:rPr>
            </w:r>
          </w:p>
        </w:tc>
        <w:tc>
          <w:tcPr>
            <w:shd w:val="clear" w:color="auto" w:fill="auto"/>
            <w:tcW w:w="653" w:type="pct"/>
            <w:vAlign w:val="center"/>
            <w:textDirection w:val="lrTb"/>
            <w:noWrap w:val="false"/>
          </w:tcPr>
          <w:p>
            <w:pPr>
              <w:jc w:val="center"/>
              <w:rPr>
                <w:sz w:val="20"/>
                <w:szCs w:val="20"/>
              </w:rPr>
            </w:pPr>
            <w:r>
              <w:rPr>
                <w:sz w:val="20"/>
                <w:szCs w:val="20"/>
              </w:rPr>
              <w:t xml:space="preserve">0,00</w:t>
            </w:r>
            <w:r>
              <w:rPr>
                <w:sz w:val="20"/>
                <w:szCs w:val="20"/>
              </w:rPr>
            </w:r>
            <w:r>
              <w:rPr>
                <w:sz w:val="20"/>
                <w:szCs w:val="20"/>
              </w:rPr>
            </w:r>
          </w:p>
        </w:tc>
        <w:tc>
          <w:tcPr>
            <w:shd w:val="clear" w:color="auto" w:fill="auto"/>
            <w:tcW w:w="724" w:type="pct"/>
            <w:vAlign w:val="center"/>
            <w:textDirection w:val="lrTb"/>
            <w:noWrap w:val="false"/>
          </w:tcPr>
          <w:p>
            <w:pPr>
              <w:jc w:val="center"/>
              <w:rPr>
                <w:sz w:val="20"/>
                <w:szCs w:val="20"/>
              </w:rPr>
            </w:pPr>
            <w:r>
              <w:rPr>
                <w:sz w:val="20"/>
                <w:szCs w:val="20"/>
              </w:rPr>
              <w:t xml:space="preserve">0,00</w:t>
            </w:r>
            <w:r>
              <w:rPr>
                <w:sz w:val="20"/>
                <w:szCs w:val="20"/>
              </w:rPr>
            </w:r>
            <w:r>
              <w:rPr>
                <w:sz w:val="20"/>
                <w:szCs w:val="20"/>
              </w:rPr>
            </w:r>
          </w:p>
        </w:tc>
      </w:tr>
      <w:tr>
        <w:tblPrEx/>
        <w:trPr>
          <w:trHeight w:val="315"/>
        </w:trPr>
        <w:tc>
          <w:tcPr>
            <w:shd w:val="clear" w:color="auto" w:fill="auto"/>
            <w:tcW w:w="2320" w:type="pct"/>
            <w:vAlign w:val="center"/>
            <w:textDirection w:val="lrTb"/>
            <w:noWrap/>
          </w:tcPr>
          <w:p>
            <w:pPr>
              <w:jc w:val="center"/>
              <w:rPr>
                <w:sz w:val="20"/>
                <w:szCs w:val="20"/>
              </w:rPr>
            </w:pPr>
            <w:r>
              <w:rPr>
                <w:sz w:val="20"/>
                <w:szCs w:val="20"/>
              </w:rPr>
              <w:t xml:space="preserve">Котельная ФКУ ИК №7 УФСИН России по Курганской области,</w:t>
            </w:r>
            <w:r>
              <w:rPr>
                <w:rFonts w:ascii="Liberation Serif" w:hAnsi="Liberation Serif" w:cs="Calibri"/>
                <w:color w:val="000000"/>
                <w:sz w:val="20"/>
                <w:szCs w:val="20"/>
              </w:rPr>
              <w:t xml:space="preserve"> Курганская область, р.п. Юргамыш, ул. Труда, 147</w:t>
            </w:r>
            <w:r>
              <w:rPr>
                <w:sz w:val="20"/>
                <w:szCs w:val="20"/>
              </w:rPr>
            </w:r>
            <w:r>
              <w:rPr>
                <w:sz w:val="20"/>
                <w:szCs w:val="20"/>
              </w:rPr>
            </w:r>
          </w:p>
        </w:tc>
        <w:tc>
          <w:tcPr>
            <w:shd w:val="clear" w:color="auto" w:fill="auto"/>
            <w:tcW w:w="652" w:type="pct"/>
            <w:vAlign w:val="center"/>
            <w:textDirection w:val="lrTb"/>
            <w:noWrap w:val="false"/>
          </w:tcPr>
          <w:p>
            <w:pPr>
              <w:jc w:val="center"/>
              <w:rPr>
                <w:sz w:val="20"/>
                <w:szCs w:val="20"/>
              </w:rPr>
            </w:pPr>
            <w:r>
              <w:rPr>
                <w:sz w:val="20"/>
                <w:szCs w:val="20"/>
              </w:rPr>
              <w:t xml:space="preserve">н/д</w:t>
            </w:r>
            <w:r>
              <w:rPr>
                <w:sz w:val="20"/>
                <w:szCs w:val="20"/>
              </w:rPr>
            </w:r>
            <w:r>
              <w:rPr>
                <w:sz w:val="20"/>
                <w:szCs w:val="20"/>
              </w:rPr>
            </w:r>
          </w:p>
        </w:tc>
        <w:tc>
          <w:tcPr>
            <w:shd w:val="clear" w:color="auto" w:fill="auto"/>
            <w:tcW w:w="652" w:type="pct"/>
            <w:vAlign w:val="center"/>
            <w:textDirection w:val="lrTb"/>
            <w:noWrap w:val="false"/>
          </w:tcPr>
          <w:p>
            <w:pPr>
              <w:jc w:val="center"/>
              <w:rPr>
                <w:sz w:val="20"/>
                <w:szCs w:val="20"/>
              </w:rPr>
            </w:pPr>
            <w:r>
              <w:rPr>
                <w:sz w:val="20"/>
                <w:szCs w:val="20"/>
              </w:rPr>
              <w:t xml:space="preserve">н/д</w:t>
            </w:r>
            <w:r>
              <w:rPr>
                <w:sz w:val="20"/>
                <w:szCs w:val="20"/>
              </w:rPr>
            </w:r>
            <w:r>
              <w:rPr>
                <w:sz w:val="20"/>
                <w:szCs w:val="20"/>
              </w:rPr>
            </w:r>
          </w:p>
        </w:tc>
        <w:tc>
          <w:tcPr>
            <w:shd w:val="clear" w:color="auto" w:fill="auto"/>
            <w:tcW w:w="653" w:type="pct"/>
            <w:vAlign w:val="center"/>
            <w:textDirection w:val="lrTb"/>
            <w:noWrap w:val="false"/>
          </w:tcPr>
          <w:p>
            <w:pPr>
              <w:jc w:val="center"/>
              <w:rPr>
                <w:sz w:val="20"/>
                <w:szCs w:val="20"/>
              </w:rPr>
            </w:pPr>
            <w:r>
              <w:rPr>
                <w:sz w:val="20"/>
                <w:szCs w:val="20"/>
              </w:rPr>
              <w:t xml:space="preserve">0,00</w:t>
            </w:r>
            <w:r>
              <w:rPr>
                <w:sz w:val="20"/>
                <w:szCs w:val="20"/>
              </w:rPr>
            </w:r>
            <w:r>
              <w:rPr>
                <w:sz w:val="20"/>
                <w:szCs w:val="20"/>
              </w:rPr>
            </w:r>
          </w:p>
        </w:tc>
        <w:tc>
          <w:tcPr>
            <w:shd w:val="clear" w:color="auto" w:fill="auto"/>
            <w:tcW w:w="724" w:type="pct"/>
            <w:vAlign w:val="center"/>
            <w:textDirection w:val="lrTb"/>
            <w:noWrap w:val="false"/>
          </w:tcPr>
          <w:p>
            <w:pPr>
              <w:jc w:val="center"/>
              <w:rPr>
                <w:sz w:val="20"/>
                <w:szCs w:val="20"/>
              </w:rPr>
            </w:pPr>
            <w:r>
              <w:rPr>
                <w:sz w:val="20"/>
                <w:szCs w:val="20"/>
              </w:rPr>
              <w:t xml:space="preserve">0,00</w:t>
            </w:r>
            <w:r>
              <w:rPr>
                <w:sz w:val="20"/>
                <w:szCs w:val="20"/>
              </w:rPr>
            </w:r>
            <w:r>
              <w:rPr>
                <w:sz w:val="20"/>
                <w:szCs w:val="20"/>
              </w:rPr>
            </w:r>
          </w:p>
        </w:tc>
      </w:tr>
      <w:tr>
        <w:tblPrEx/>
        <w:trPr>
          <w:trHeight w:val="315"/>
        </w:trPr>
        <w:tc>
          <w:tcPr>
            <w:shd w:val="clear" w:color="auto" w:fill="auto"/>
            <w:tcW w:w="2320" w:type="pct"/>
            <w:vAlign w:val="center"/>
            <w:textDirection w:val="lrTb"/>
            <w:noWrap/>
          </w:tcPr>
          <w:p>
            <w:pPr>
              <w:jc w:val="center"/>
              <w:rPr>
                <w:sz w:val="20"/>
                <w:szCs w:val="20"/>
              </w:rPr>
            </w:pPr>
            <w:r>
              <w:rPr>
                <w:sz w:val="20"/>
                <w:szCs w:val="20"/>
              </w:rPr>
              <w:t xml:space="preserve">Котельная </w:t>
            </w:r>
            <w:r>
              <w:rPr>
                <w:rFonts w:ascii="Liberation Serif" w:hAnsi="Liberation Serif" w:cs="Calibri"/>
                <w:color w:val="000000"/>
                <w:sz w:val="20"/>
                <w:szCs w:val="20"/>
              </w:rPr>
              <w:t xml:space="preserve">р.п. Юргамыш, ул. Ленина, 47а</w:t>
            </w:r>
            <w:r>
              <w:rPr>
                <w:sz w:val="20"/>
                <w:szCs w:val="20"/>
              </w:rPr>
            </w:r>
            <w:r>
              <w:rPr>
                <w:sz w:val="20"/>
                <w:szCs w:val="20"/>
              </w:rPr>
            </w:r>
          </w:p>
        </w:tc>
        <w:tc>
          <w:tcPr>
            <w:shd w:val="clear" w:color="auto" w:fill="auto"/>
            <w:tcW w:w="652" w:type="pct"/>
            <w:vAlign w:val="center"/>
            <w:textDirection w:val="lrTb"/>
            <w:noWrap w:val="false"/>
          </w:tcPr>
          <w:p>
            <w:pPr>
              <w:jc w:val="center"/>
              <w:rPr>
                <w:sz w:val="20"/>
                <w:szCs w:val="20"/>
              </w:rPr>
            </w:pPr>
            <w:r>
              <w:rPr>
                <w:sz w:val="20"/>
                <w:szCs w:val="20"/>
              </w:rPr>
              <w:t xml:space="preserve">5234,00</w:t>
            </w:r>
            <w:r>
              <w:rPr>
                <w:sz w:val="20"/>
                <w:szCs w:val="20"/>
              </w:rPr>
            </w:r>
            <w:r>
              <w:rPr>
                <w:sz w:val="20"/>
                <w:szCs w:val="20"/>
              </w:rPr>
            </w:r>
          </w:p>
        </w:tc>
        <w:tc>
          <w:tcPr>
            <w:shd w:val="clear" w:color="auto" w:fill="auto"/>
            <w:tcW w:w="652" w:type="pct"/>
            <w:vAlign w:val="center"/>
            <w:textDirection w:val="lrTb"/>
            <w:noWrap w:val="false"/>
          </w:tcPr>
          <w:p>
            <w:pPr>
              <w:jc w:val="center"/>
              <w:rPr>
                <w:sz w:val="20"/>
                <w:szCs w:val="20"/>
              </w:rPr>
            </w:pPr>
            <w:r>
              <w:rPr>
                <w:sz w:val="20"/>
                <w:szCs w:val="20"/>
              </w:rPr>
              <w:t xml:space="preserve">5234,00</w:t>
            </w:r>
            <w:r>
              <w:rPr>
                <w:sz w:val="20"/>
                <w:szCs w:val="20"/>
              </w:rPr>
            </w:r>
            <w:r>
              <w:rPr>
                <w:sz w:val="20"/>
                <w:szCs w:val="20"/>
              </w:rPr>
            </w:r>
          </w:p>
        </w:tc>
        <w:tc>
          <w:tcPr>
            <w:shd w:val="clear" w:color="auto" w:fill="auto"/>
            <w:tcW w:w="653" w:type="pct"/>
            <w:vAlign w:val="center"/>
            <w:textDirection w:val="lrTb"/>
            <w:noWrap w:val="false"/>
          </w:tcPr>
          <w:p>
            <w:pPr>
              <w:jc w:val="center"/>
              <w:rPr>
                <w:sz w:val="20"/>
                <w:szCs w:val="20"/>
              </w:rPr>
            </w:pPr>
            <w:r>
              <w:rPr>
                <w:sz w:val="20"/>
                <w:szCs w:val="20"/>
              </w:rPr>
              <w:t xml:space="preserve">0,00</w:t>
            </w:r>
            <w:r>
              <w:rPr>
                <w:sz w:val="20"/>
                <w:szCs w:val="20"/>
              </w:rPr>
            </w:r>
            <w:r>
              <w:rPr>
                <w:sz w:val="20"/>
                <w:szCs w:val="20"/>
              </w:rPr>
            </w:r>
          </w:p>
        </w:tc>
        <w:tc>
          <w:tcPr>
            <w:shd w:val="clear" w:color="auto" w:fill="auto"/>
            <w:tcW w:w="724" w:type="pct"/>
            <w:vAlign w:val="center"/>
            <w:textDirection w:val="lrTb"/>
            <w:noWrap w:val="false"/>
          </w:tcPr>
          <w:p>
            <w:pPr>
              <w:jc w:val="center"/>
              <w:rPr>
                <w:sz w:val="20"/>
                <w:szCs w:val="20"/>
              </w:rPr>
            </w:pPr>
            <w:r>
              <w:rPr>
                <w:sz w:val="20"/>
                <w:szCs w:val="20"/>
              </w:rPr>
              <w:t xml:space="preserve">0,00</w:t>
            </w:r>
            <w:r>
              <w:rPr>
                <w:sz w:val="20"/>
                <w:szCs w:val="20"/>
              </w:rPr>
            </w:r>
            <w:r>
              <w:rPr>
                <w:sz w:val="20"/>
                <w:szCs w:val="20"/>
              </w:rPr>
            </w:r>
          </w:p>
        </w:tc>
      </w:tr>
      <w:tr>
        <w:tblPrEx/>
        <w:trPr>
          <w:trHeight w:val="236"/>
        </w:trPr>
        <w:tc>
          <w:tcPr>
            <w:shd w:val="clear" w:color="auto" w:fill="auto"/>
            <w:tcW w:w="2320" w:type="pct"/>
            <w:vAlign w:val="center"/>
            <w:textDirection w:val="lrTb"/>
            <w:noWrap/>
          </w:tcPr>
          <w:p>
            <w:pPr>
              <w:jc w:val="center"/>
              <w:rPr>
                <w:sz w:val="20"/>
                <w:szCs w:val="20"/>
              </w:rPr>
            </w:pPr>
            <w:r>
              <w:rPr>
                <w:color w:val="000000"/>
                <w:sz w:val="20"/>
                <w:szCs w:val="20"/>
              </w:rPr>
              <w:t xml:space="preserve">Итого:</w:t>
            </w:r>
            <w:r>
              <w:rPr>
                <w:sz w:val="20"/>
                <w:szCs w:val="20"/>
              </w:rPr>
            </w:r>
            <w:r>
              <w:rPr>
                <w:sz w:val="20"/>
                <w:szCs w:val="20"/>
              </w:rPr>
            </w:r>
          </w:p>
        </w:tc>
        <w:tc>
          <w:tcPr>
            <w:shd w:val="clear" w:color="auto" w:fill="auto"/>
            <w:tcW w:w="652" w:type="pct"/>
            <w:vAlign w:val="center"/>
            <w:textDirection w:val="lrTb"/>
            <w:noWrap w:val="false"/>
          </w:tcPr>
          <w:p>
            <w:pPr>
              <w:jc w:val="center"/>
              <w:rPr>
                <w:sz w:val="20"/>
                <w:szCs w:val="20"/>
              </w:rPr>
            </w:pPr>
            <w:r>
              <w:rPr>
                <w:sz w:val="20"/>
                <w:szCs w:val="20"/>
              </w:rPr>
              <w:t xml:space="preserve">29463,021</w:t>
            </w:r>
            <w:r>
              <w:rPr>
                <w:sz w:val="20"/>
                <w:szCs w:val="20"/>
              </w:rPr>
            </w:r>
            <w:r>
              <w:rPr>
                <w:sz w:val="20"/>
                <w:szCs w:val="20"/>
              </w:rPr>
            </w:r>
          </w:p>
        </w:tc>
        <w:tc>
          <w:tcPr>
            <w:shd w:val="clear" w:color="auto" w:fill="auto"/>
            <w:tcW w:w="652" w:type="pct"/>
            <w:vAlign w:val="center"/>
            <w:textDirection w:val="lrTb"/>
            <w:noWrap w:val="false"/>
          </w:tcPr>
          <w:p>
            <w:pPr>
              <w:jc w:val="center"/>
              <w:rPr>
                <w:sz w:val="20"/>
                <w:szCs w:val="20"/>
              </w:rPr>
            </w:pPr>
            <w:r>
              <w:rPr>
                <w:sz w:val="20"/>
                <w:szCs w:val="20"/>
              </w:rPr>
              <w:t xml:space="preserve">29463,021</w:t>
            </w:r>
            <w:r>
              <w:rPr>
                <w:sz w:val="20"/>
                <w:szCs w:val="20"/>
              </w:rPr>
            </w:r>
            <w:r>
              <w:rPr>
                <w:sz w:val="20"/>
                <w:szCs w:val="20"/>
              </w:rPr>
            </w:r>
          </w:p>
        </w:tc>
        <w:tc>
          <w:tcPr>
            <w:shd w:val="clear" w:color="auto" w:fill="auto"/>
            <w:tcW w:w="653" w:type="pct"/>
            <w:vAlign w:val="center"/>
            <w:textDirection w:val="lrTb"/>
            <w:noWrap w:val="false"/>
          </w:tcPr>
          <w:p>
            <w:pPr>
              <w:jc w:val="center"/>
              <w:rPr>
                <w:sz w:val="20"/>
                <w:szCs w:val="20"/>
              </w:rPr>
            </w:pPr>
            <w:r>
              <w:rPr>
                <w:sz w:val="20"/>
                <w:szCs w:val="20"/>
              </w:rPr>
              <w:t xml:space="preserve">0,00</w:t>
            </w:r>
            <w:r>
              <w:rPr>
                <w:sz w:val="20"/>
                <w:szCs w:val="20"/>
              </w:rPr>
            </w:r>
            <w:r>
              <w:rPr>
                <w:sz w:val="20"/>
                <w:szCs w:val="20"/>
              </w:rPr>
            </w:r>
          </w:p>
        </w:tc>
        <w:tc>
          <w:tcPr>
            <w:shd w:val="clear" w:color="auto" w:fill="auto"/>
            <w:tcW w:w="724" w:type="pct"/>
            <w:vAlign w:val="center"/>
            <w:textDirection w:val="lrTb"/>
            <w:noWrap w:val="false"/>
          </w:tcPr>
          <w:p>
            <w:pPr>
              <w:jc w:val="center"/>
              <w:rPr>
                <w:sz w:val="20"/>
                <w:szCs w:val="20"/>
              </w:rPr>
            </w:pPr>
            <w:r>
              <w:rPr>
                <w:sz w:val="20"/>
                <w:szCs w:val="20"/>
              </w:rPr>
              <w:t xml:space="preserve">0,00</w:t>
            </w:r>
            <w:r>
              <w:rPr>
                <w:sz w:val="20"/>
                <w:szCs w:val="20"/>
              </w:rPr>
            </w:r>
            <w:r>
              <w:rPr>
                <w:sz w:val="20"/>
                <w:szCs w:val="20"/>
              </w:rPr>
            </w:r>
          </w:p>
        </w:tc>
      </w:tr>
    </w:tbl>
    <w:p>
      <w:pPr>
        <w:pStyle w:val="1247"/>
        <w:spacing w:before="7"/>
        <w:rPr>
          <w:b/>
          <w:sz w:val="27"/>
        </w:rPr>
      </w:pPr>
      <w:r>
        <w:rPr>
          <w:b/>
          <w:sz w:val="27"/>
        </w:rPr>
      </w:r>
      <w:r>
        <w:rPr>
          <w:b/>
          <w:sz w:val="27"/>
        </w:rPr>
      </w:r>
      <w:r>
        <w:rPr>
          <w:b/>
          <w:sz w:val="27"/>
        </w:rPr>
      </w:r>
    </w:p>
    <w:p>
      <w:pPr>
        <w:pStyle w:val="1248"/>
        <w:ind w:right="150" w:firstLine="733"/>
      </w:pPr>
      <w:r/>
      <w:bookmarkStart w:id="175" w:name="_Toc130231919"/>
      <w:r/>
      <w:bookmarkStart w:id="176" w:name="_Toc165540702"/>
      <w:r>
        <w:rPr>
          <w:lang w:eastAsia="ru-RU"/>
        </w:rPr>
        <w:t xml:space="preserve">1.5.5 </w:t>
      </w:r>
      <w:r>
        <w:t xml:space="preserve">Описание существующих нормативов потребления тепловой энергии для населения на отопление и горячее водоснабжение</w:t>
      </w:r>
      <w:bookmarkEnd w:id="175"/>
      <w:r/>
      <w:bookmarkEnd w:id="176"/>
      <w:r/>
      <w:r/>
    </w:p>
    <w:p>
      <w:pPr>
        <w:ind w:left="142" w:right="130" w:firstLine="709"/>
        <w:jc w:val="both"/>
        <w:spacing w:before="120"/>
        <w:rPr>
          <w:sz w:val="24"/>
          <w:szCs w:val="24"/>
        </w:rPr>
      </w:pPr>
      <w:r>
        <w:rPr>
          <w:sz w:val="24"/>
          <w:szCs w:val="24"/>
        </w:rPr>
        <w:t xml:space="preserve">Нормативы потребления </w:t>
      </w:r>
      <w:r>
        <w:rPr>
          <w:sz w:val="24"/>
          <w:szCs w:val="24"/>
        </w:rPr>
        <w:t xml:space="preserve">коммунальной услуги по отоплению в жилых помещениях </w:t>
      </w:r>
      <w:r>
        <w:rPr>
          <w:sz w:val="24"/>
          <w:szCs w:val="24"/>
        </w:rPr>
        <w:t xml:space="preserve">утверждены </w:t>
      </w:r>
      <w:r>
        <w:rPr>
          <w:sz w:val="24"/>
          <w:szCs w:val="24"/>
        </w:rPr>
        <w:t xml:space="preserve">Постановлением Департамента государственного регулирования цен и тарифов Курганской области от 21.08.2012 №32-2 (в ред. Постановлений Департамента государственного регулирования цен и тарифов Курганской области от 13.09.201</w:t>
      </w:r>
      <w:r>
        <w:rPr>
          <w:sz w:val="24"/>
          <w:szCs w:val="24"/>
        </w:rPr>
        <w:t xml:space="preserve">2 №36-3, от 20.05.2013 №15-3, от 25.12.2014 №51-19, от 29.01.2015 №1-4, от 24.12.2015 №46-2, от 14.07.2016 №25-8, от 06.10.2016 №33-2, от 24.12.2019 №46-2, от 30.12.2020 №60-5, от 10.01.2022 №1-1, от 09.01.2023 №1-1, от 16.03.2023 №9-1, от 09.01.2024 №1-1)</w:t>
      </w:r>
      <w:r>
        <w:rPr>
          <w:sz w:val="24"/>
          <w:szCs w:val="24"/>
        </w:rPr>
      </w:r>
      <w:r>
        <w:rPr>
          <w:sz w:val="24"/>
          <w:szCs w:val="24"/>
        </w:rPr>
      </w:r>
    </w:p>
    <w:p>
      <w:pPr>
        <w:pStyle w:val="1247"/>
        <w:ind w:left="118" w:right="144" w:firstLine="707"/>
        <w:jc w:val="right"/>
        <w:spacing w:before="116"/>
      </w:pPr>
      <w:r>
        <w:t xml:space="preserve">Таблица </w:t>
      </w:r>
      <w:r>
        <w:t xml:space="preserve">1.5.5.1</w:t>
      </w:r>
      <w:r/>
    </w:p>
    <w:p>
      <w:pPr>
        <w:pStyle w:val="1247"/>
        <w:ind w:left="119" w:right="142" w:firstLine="709"/>
        <w:jc w:val="center"/>
      </w:pPr>
      <w:r>
        <w:t xml:space="preserve">Нормативы потребления коммунальной услуги по отоплению</w:t>
      </w:r>
      <w:r/>
    </w:p>
    <w:tbl>
      <w:tblPr>
        <w:tblW w:w="0" w:type="auto"/>
        <w:shd w:val="clear" w:color="auto" w:fill="ffffff"/>
        <w:tblCellMar>
          <w:left w:w="0" w:type="dxa"/>
          <w:right w:w="0" w:type="dxa"/>
        </w:tblCellMar>
        <w:tblLook w:val="04A0" w:firstRow="1" w:lastRow="0" w:firstColumn="1" w:lastColumn="0" w:noHBand="0" w:noVBand="1"/>
      </w:tblPr>
      <w:tblGrid>
        <w:gridCol w:w="2587"/>
        <w:gridCol w:w="7186"/>
      </w:tblGrid>
      <w:tr>
        <w:tblPrEx/>
        <w:trPr/>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2587" w:type="dxa"/>
            <w:textDirection w:val="lrTb"/>
            <w:noWrap w:val="false"/>
          </w:tcPr>
          <w:p>
            <w:pPr>
              <w:jc w:val="center"/>
              <w:widowControl/>
              <w:rPr>
                <w:sz w:val="20"/>
                <w:szCs w:val="20"/>
                <w:lang w:eastAsia="ru-RU"/>
              </w:rPr>
            </w:pPr>
            <w:r>
              <w:rPr>
                <w:sz w:val="20"/>
                <w:szCs w:val="20"/>
                <w:lang w:eastAsia="ru-RU"/>
              </w:rPr>
              <w:t xml:space="preserve">Этажность</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7186" w:type="dxa"/>
            <w:textDirection w:val="lrTb"/>
            <w:noWrap w:val="false"/>
          </w:tcPr>
          <w:p>
            <w:pPr>
              <w:jc w:val="center"/>
              <w:widowControl/>
              <w:rPr>
                <w:sz w:val="20"/>
                <w:szCs w:val="20"/>
                <w:lang w:eastAsia="ru-RU"/>
              </w:rPr>
            </w:pPr>
            <w:r>
              <w:rPr>
                <w:sz w:val="20"/>
                <w:szCs w:val="20"/>
                <w:lang w:eastAsia="ru-RU"/>
              </w:rPr>
              <w:t xml:space="preserve">Многоквартирные и жилые дома до 1999 года постройки включительно</w:t>
            </w:r>
            <w:r>
              <w:rPr>
                <w:sz w:val="20"/>
                <w:szCs w:val="20"/>
                <w:lang w:eastAsia="ru-RU"/>
              </w:rPr>
            </w:r>
            <w:r>
              <w:rPr>
                <w:sz w:val="20"/>
                <w:szCs w:val="20"/>
                <w:lang w:eastAsia="ru-RU"/>
              </w:rPr>
            </w:r>
          </w:p>
        </w:tc>
      </w:tr>
      <w:tr>
        <w:tblPrEx/>
        <w:trPr/>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2587" w:type="dxa"/>
            <w:textDirection w:val="lrTb"/>
            <w:noWrap w:val="false"/>
          </w:tcPr>
          <w:p>
            <w:pPr>
              <w:jc w:val="center"/>
              <w:widowControl/>
              <w:rPr>
                <w:sz w:val="20"/>
                <w:szCs w:val="20"/>
                <w:lang w:eastAsia="ru-RU"/>
              </w:rPr>
            </w:pPr>
            <w:r>
              <w:rPr>
                <w:sz w:val="20"/>
                <w:szCs w:val="20"/>
                <w:lang w:eastAsia="ru-RU"/>
              </w:rPr>
              <w:t xml:space="preserve">1</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7186" w:type="dxa"/>
            <w:textDirection w:val="lrTb"/>
            <w:noWrap w:val="false"/>
          </w:tcPr>
          <w:p>
            <w:pPr>
              <w:jc w:val="center"/>
              <w:widowControl/>
              <w:rPr>
                <w:sz w:val="20"/>
                <w:szCs w:val="20"/>
                <w:lang w:eastAsia="ru-RU"/>
              </w:rPr>
            </w:pPr>
            <w:r>
              <w:rPr>
                <w:sz w:val="20"/>
                <w:szCs w:val="20"/>
                <w:lang w:eastAsia="ru-RU"/>
              </w:rPr>
              <w:t xml:space="preserve">0,04880</w:t>
            </w:r>
            <w:r>
              <w:rPr>
                <w:sz w:val="20"/>
                <w:szCs w:val="20"/>
                <w:lang w:eastAsia="ru-RU"/>
              </w:rPr>
            </w:r>
            <w:r>
              <w:rPr>
                <w:sz w:val="20"/>
                <w:szCs w:val="20"/>
                <w:lang w:eastAsia="ru-RU"/>
              </w:rPr>
            </w:r>
          </w:p>
        </w:tc>
      </w:tr>
      <w:tr>
        <w:tblPrEx/>
        <w:trPr/>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2587" w:type="dxa"/>
            <w:textDirection w:val="lrTb"/>
            <w:noWrap w:val="false"/>
          </w:tcPr>
          <w:p>
            <w:pPr>
              <w:jc w:val="center"/>
              <w:widowControl/>
              <w:rPr>
                <w:sz w:val="20"/>
                <w:szCs w:val="20"/>
                <w:lang w:eastAsia="ru-RU"/>
              </w:rPr>
            </w:pPr>
            <w:r>
              <w:rPr>
                <w:sz w:val="20"/>
                <w:szCs w:val="20"/>
                <w:lang w:eastAsia="ru-RU"/>
              </w:rPr>
              <w:t xml:space="preserve">2</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7186" w:type="dxa"/>
            <w:textDirection w:val="lrTb"/>
            <w:noWrap w:val="false"/>
          </w:tcPr>
          <w:p>
            <w:pPr>
              <w:jc w:val="center"/>
              <w:widowControl/>
              <w:rPr>
                <w:sz w:val="20"/>
                <w:szCs w:val="20"/>
                <w:lang w:eastAsia="ru-RU"/>
              </w:rPr>
            </w:pPr>
            <w:r>
              <w:rPr>
                <w:sz w:val="20"/>
                <w:szCs w:val="20"/>
                <w:lang w:eastAsia="ru-RU"/>
              </w:rPr>
              <w:t xml:space="preserve">0,05380</w:t>
            </w:r>
            <w:r>
              <w:rPr>
                <w:sz w:val="20"/>
                <w:szCs w:val="20"/>
                <w:lang w:eastAsia="ru-RU"/>
              </w:rPr>
            </w:r>
            <w:r>
              <w:rPr>
                <w:sz w:val="20"/>
                <w:szCs w:val="20"/>
                <w:lang w:eastAsia="ru-RU"/>
              </w:rPr>
            </w:r>
          </w:p>
        </w:tc>
      </w:tr>
      <w:tr>
        <w:tblPrEx/>
        <w:trPr/>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2587" w:type="dxa"/>
            <w:textDirection w:val="lrTb"/>
            <w:noWrap w:val="false"/>
          </w:tcPr>
          <w:p>
            <w:pPr>
              <w:jc w:val="center"/>
              <w:widowControl/>
              <w:rPr>
                <w:sz w:val="20"/>
                <w:szCs w:val="20"/>
                <w:lang w:eastAsia="ru-RU"/>
              </w:rPr>
            </w:pPr>
            <w:r>
              <w:rPr>
                <w:sz w:val="20"/>
                <w:szCs w:val="20"/>
                <w:lang w:eastAsia="ru-RU"/>
              </w:rPr>
              <w:t xml:space="preserve">3</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7186" w:type="dxa"/>
            <w:textDirection w:val="lrTb"/>
            <w:noWrap w:val="false"/>
          </w:tcPr>
          <w:p>
            <w:pPr>
              <w:jc w:val="center"/>
              <w:widowControl/>
              <w:rPr>
                <w:sz w:val="20"/>
                <w:szCs w:val="20"/>
                <w:lang w:eastAsia="ru-RU"/>
              </w:rPr>
            </w:pPr>
            <w:r>
              <w:rPr>
                <w:sz w:val="20"/>
                <w:szCs w:val="20"/>
                <w:lang w:eastAsia="ru-RU"/>
              </w:rPr>
              <w:t xml:space="preserve">0,03450</w:t>
            </w:r>
            <w:r>
              <w:rPr>
                <w:sz w:val="20"/>
                <w:szCs w:val="20"/>
                <w:lang w:eastAsia="ru-RU"/>
              </w:rPr>
            </w:r>
            <w:r>
              <w:rPr>
                <w:sz w:val="20"/>
                <w:szCs w:val="20"/>
                <w:lang w:eastAsia="ru-RU"/>
              </w:rPr>
            </w:r>
          </w:p>
        </w:tc>
      </w:tr>
      <w:tr>
        <w:tblPrEx/>
        <w:trPr/>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2587" w:type="dxa"/>
            <w:textDirection w:val="lrTb"/>
            <w:noWrap w:val="false"/>
          </w:tcPr>
          <w:p>
            <w:pPr>
              <w:jc w:val="center"/>
              <w:widowControl/>
              <w:rPr>
                <w:sz w:val="20"/>
                <w:szCs w:val="20"/>
                <w:lang w:eastAsia="ru-RU"/>
              </w:rPr>
            </w:pPr>
            <w:r>
              <w:rPr>
                <w:sz w:val="20"/>
                <w:szCs w:val="20"/>
                <w:lang w:eastAsia="ru-RU"/>
              </w:rPr>
              <w:t xml:space="preserve">4</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7186" w:type="dxa"/>
            <w:textDirection w:val="lrTb"/>
            <w:noWrap w:val="false"/>
          </w:tcPr>
          <w:p>
            <w:pPr>
              <w:jc w:val="center"/>
              <w:widowControl/>
              <w:rPr>
                <w:sz w:val="20"/>
                <w:szCs w:val="20"/>
                <w:lang w:eastAsia="ru-RU"/>
              </w:rPr>
            </w:pPr>
            <w:r>
              <w:rPr>
                <w:sz w:val="20"/>
                <w:szCs w:val="20"/>
                <w:lang w:eastAsia="ru-RU"/>
              </w:rPr>
              <w:t xml:space="preserve">0,03450</w:t>
            </w:r>
            <w:r>
              <w:rPr>
                <w:sz w:val="20"/>
                <w:szCs w:val="20"/>
                <w:lang w:eastAsia="ru-RU"/>
              </w:rPr>
            </w:r>
            <w:r>
              <w:rPr>
                <w:sz w:val="20"/>
                <w:szCs w:val="20"/>
                <w:lang w:eastAsia="ru-RU"/>
              </w:rPr>
            </w:r>
          </w:p>
        </w:tc>
      </w:tr>
      <w:tr>
        <w:tblPrEx/>
        <w:trPr/>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2587" w:type="dxa"/>
            <w:textDirection w:val="lrTb"/>
            <w:noWrap w:val="false"/>
          </w:tcPr>
          <w:p>
            <w:pPr>
              <w:jc w:val="center"/>
              <w:widowControl/>
              <w:rPr>
                <w:sz w:val="20"/>
                <w:szCs w:val="20"/>
                <w:lang w:eastAsia="ru-RU"/>
              </w:rPr>
            </w:pPr>
            <w:r>
              <w:rPr>
                <w:sz w:val="20"/>
                <w:szCs w:val="20"/>
                <w:lang w:eastAsia="ru-RU"/>
              </w:rPr>
              <w:t xml:space="preserve">5</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7186" w:type="dxa"/>
            <w:textDirection w:val="lrTb"/>
            <w:noWrap w:val="false"/>
          </w:tcPr>
          <w:p>
            <w:pPr>
              <w:jc w:val="center"/>
              <w:widowControl/>
              <w:rPr>
                <w:sz w:val="20"/>
                <w:szCs w:val="20"/>
                <w:lang w:eastAsia="ru-RU"/>
              </w:rPr>
            </w:pPr>
            <w:r>
              <w:rPr>
                <w:sz w:val="20"/>
                <w:szCs w:val="20"/>
                <w:lang w:eastAsia="ru-RU"/>
              </w:rPr>
              <w:t xml:space="preserve">0,03340</w:t>
            </w:r>
            <w:r>
              <w:rPr>
                <w:sz w:val="20"/>
                <w:szCs w:val="20"/>
                <w:lang w:eastAsia="ru-RU"/>
              </w:rPr>
            </w:r>
            <w:r>
              <w:rPr>
                <w:sz w:val="20"/>
                <w:szCs w:val="20"/>
                <w:lang w:eastAsia="ru-RU"/>
              </w:rPr>
            </w:r>
          </w:p>
        </w:tc>
      </w:tr>
      <w:tr>
        <w:tblPrEx/>
        <w:trPr/>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2587" w:type="dxa"/>
            <w:textDirection w:val="lrTb"/>
            <w:noWrap w:val="false"/>
          </w:tcPr>
          <w:p>
            <w:pPr>
              <w:jc w:val="center"/>
              <w:widowControl/>
              <w:rPr>
                <w:sz w:val="20"/>
                <w:szCs w:val="20"/>
                <w:lang w:eastAsia="ru-RU"/>
              </w:rPr>
            </w:pPr>
            <w:r>
              <w:rPr>
                <w:sz w:val="20"/>
                <w:szCs w:val="20"/>
                <w:lang w:eastAsia="ru-RU"/>
              </w:rPr>
              <w:t xml:space="preserve">6</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7186" w:type="dxa"/>
            <w:textDirection w:val="lrTb"/>
            <w:noWrap w:val="false"/>
          </w:tcPr>
          <w:p>
            <w:pPr>
              <w:jc w:val="center"/>
              <w:widowControl/>
              <w:rPr>
                <w:sz w:val="20"/>
                <w:szCs w:val="20"/>
                <w:lang w:eastAsia="ru-RU"/>
              </w:rPr>
            </w:pPr>
            <w:r>
              <w:rPr>
                <w:sz w:val="20"/>
                <w:szCs w:val="20"/>
                <w:lang w:eastAsia="ru-RU"/>
              </w:rPr>
              <w:t xml:space="preserve">0,03340</w:t>
            </w:r>
            <w:r>
              <w:rPr>
                <w:sz w:val="20"/>
                <w:szCs w:val="20"/>
                <w:lang w:eastAsia="ru-RU"/>
              </w:rPr>
            </w:r>
            <w:r>
              <w:rPr>
                <w:sz w:val="20"/>
                <w:szCs w:val="20"/>
                <w:lang w:eastAsia="ru-RU"/>
              </w:rPr>
            </w:r>
          </w:p>
        </w:tc>
      </w:tr>
      <w:tr>
        <w:tblPrEx/>
        <w:trPr/>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2587" w:type="dxa"/>
            <w:textDirection w:val="lrTb"/>
            <w:noWrap w:val="false"/>
          </w:tcPr>
          <w:p>
            <w:pPr>
              <w:jc w:val="center"/>
              <w:widowControl/>
              <w:rPr>
                <w:sz w:val="20"/>
                <w:szCs w:val="20"/>
                <w:lang w:eastAsia="ru-RU"/>
              </w:rPr>
            </w:pPr>
            <w:r>
              <w:rPr>
                <w:sz w:val="20"/>
                <w:szCs w:val="20"/>
                <w:lang w:eastAsia="ru-RU"/>
              </w:rPr>
              <w:t xml:space="preserve">7</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7186" w:type="dxa"/>
            <w:textDirection w:val="lrTb"/>
            <w:noWrap w:val="false"/>
          </w:tcPr>
          <w:p>
            <w:pPr>
              <w:jc w:val="center"/>
              <w:widowControl/>
              <w:rPr>
                <w:sz w:val="20"/>
                <w:szCs w:val="20"/>
                <w:lang w:eastAsia="ru-RU"/>
              </w:rPr>
            </w:pPr>
            <w:r>
              <w:rPr>
                <w:sz w:val="20"/>
                <w:szCs w:val="20"/>
                <w:lang w:eastAsia="ru-RU"/>
              </w:rPr>
              <w:t xml:space="preserve">0,03340</w:t>
            </w:r>
            <w:r>
              <w:rPr>
                <w:sz w:val="20"/>
                <w:szCs w:val="20"/>
                <w:lang w:eastAsia="ru-RU"/>
              </w:rPr>
            </w:r>
            <w:r>
              <w:rPr>
                <w:sz w:val="20"/>
                <w:szCs w:val="20"/>
                <w:lang w:eastAsia="ru-RU"/>
              </w:rPr>
            </w:r>
          </w:p>
        </w:tc>
      </w:tr>
      <w:tr>
        <w:tblPrEx/>
        <w:trPr/>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2587" w:type="dxa"/>
            <w:textDirection w:val="lrTb"/>
            <w:noWrap w:val="false"/>
          </w:tcPr>
          <w:p>
            <w:pPr>
              <w:jc w:val="center"/>
              <w:widowControl/>
              <w:rPr>
                <w:sz w:val="20"/>
                <w:szCs w:val="20"/>
                <w:lang w:eastAsia="ru-RU"/>
              </w:rPr>
            </w:pPr>
            <w:r>
              <w:rPr>
                <w:sz w:val="20"/>
                <w:szCs w:val="20"/>
                <w:lang w:eastAsia="ru-RU"/>
              </w:rPr>
              <w:t xml:space="preserve">8</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7186" w:type="dxa"/>
            <w:textDirection w:val="lrTb"/>
            <w:noWrap w:val="false"/>
          </w:tcPr>
          <w:p>
            <w:pPr>
              <w:jc w:val="center"/>
              <w:widowControl/>
              <w:rPr>
                <w:sz w:val="20"/>
                <w:szCs w:val="20"/>
                <w:lang w:eastAsia="ru-RU"/>
              </w:rPr>
            </w:pPr>
            <w:r>
              <w:rPr>
                <w:sz w:val="20"/>
                <w:szCs w:val="20"/>
                <w:lang w:eastAsia="ru-RU"/>
              </w:rPr>
              <w:t xml:space="preserve">0,03340</w:t>
            </w:r>
            <w:r>
              <w:rPr>
                <w:sz w:val="20"/>
                <w:szCs w:val="20"/>
                <w:lang w:eastAsia="ru-RU"/>
              </w:rPr>
            </w:r>
            <w:r>
              <w:rPr>
                <w:sz w:val="20"/>
                <w:szCs w:val="20"/>
                <w:lang w:eastAsia="ru-RU"/>
              </w:rPr>
            </w:r>
          </w:p>
        </w:tc>
      </w:tr>
      <w:tr>
        <w:tblPrEx/>
        <w:trPr/>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2587" w:type="dxa"/>
            <w:textDirection w:val="lrTb"/>
            <w:noWrap w:val="false"/>
          </w:tcPr>
          <w:p>
            <w:pPr>
              <w:jc w:val="center"/>
              <w:widowControl/>
              <w:rPr>
                <w:sz w:val="20"/>
                <w:szCs w:val="20"/>
                <w:lang w:eastAsia="ru-RU"/>
              </w:rPr>
            </w:pPr>
            <w:r>
              <w:rPr>
                <w:sz w:val="20"/>
                <w:szCs w:val="20"/>
                <w:lang w:eastAsia="ru-RU"/>
              </w:rPr>
              <w:t xml:space="preserve">9</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7186" w:type="dxa"/>
            <w:textDirection w:val="lrTb"/>
            <w:noWrap w:val="false"/>
          </w:tcPr>
          <w:p>
            <w:pPr>
              <w:jc w:val="center"/>
              <w:widowControl/>
              <w:rPr>
                <w:sz w:val="20"/>
                <w:szCs w:val="20"/>
                <w:lang w:eastAsia="ru-RU"/>
              </w:rPr>
            </w:pPr>
            <w:r>
              <w:rPr>
                <w:sz w:val="20"/>
                <w:szCs w:val="20"/>
                <w:lang w:eastAsia="ru-RU"/>
              </w:rPr>
              <w:t xml:space="preserve">0,03340</w:t>
            </w:r>
            <w:r>
              <w:rPr>
                <w:sz w:val="20"/>
                <w:szCs w:val="20"/>
                <w:lang w:eastAsia="ru-RU"/>
              </w:rPr>
            </w:r>
            <w:r>
              <w:rPr>
                <w:sz w:val="20"/>
                <w:szCs w:val="20"/>
                <w:lang w:eastAsia="ru-RU"/>
              </w:rPr>
            </w:r>
          </w:p>
        </w:tc>
      </w:tr>
      <w:tr>
        <w:tblPrEx/>
        <w:trPr/>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2587" w:type="dxa"/>
            <w:textDirection w:val="lrTb"/>
            <w:noWrap w:val="false"/>
          </w:tcPr>
          <w:p>
            <w:pPr>
              <w:jc w:val="center"/>
              <w:widowControl/>
              <w:rPr>
                <w:sz w:val="20"/>
                <w:szCs w:val="20"/>
                <w:lang w:eastAsia="ru-RU"/>
              </w:rPr>
            </w:pPr>
            <w:r>
              <w:rPr>
                <w:sz w:val="20"/>
                <w:szCs w:val="20"/>
                <w:lang w:eastAsia="ru-RU"/>
              </w:rPr>
              <w:t xml:space="preserve">10</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7186" w:type="dxa"/>
            <w:textDirection w:val="lrTb"/>
            <w:noWrap w:val="false"/>
          </w:tcPr>
          <w:p>
            <w:pPr>
              <w:jc w:val="center"/>
              <w:widowControl/>
              <w:rPr>
                <w:sz w:val="20"/>
                <w:szCs w:val="20"/>
                <w:lang w:eastAsia="ru-RU"/>
              </w:rPr>
            </w:pPr>
            <w:r>
              <w:rPr>
                <w:sz w:val="20"/>
                <w:szCs w:val="20"/>
                <w:lang w:eastAsia="ru-RU"/>
              </w:rPr>
              <w:t xml:space="preserve">0,03340</w:t>
            </w:r>
            <w:r>
              <w:rPr>
                <w:sz w:val="20"/>
                <w:szCs w:val="20"/>
                <w:lang w:eastAsia="ru-RU"/>
              </w:rPr>
            </w:r>
            <w:r>
              <w:rPr>
                <w:sz w:val="20"/>
                <w:szCs w:val="20"/>
                <w:lang w:eastAsia="ru-RU"/>
              </w:rPr>
            </w:r>
          </w:p>
        </w:tc>
      </w:tr>
      <w:tr>
        <w:tblPrEx/>
        <w:trPr/>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2587" w:type="dxa"/>
            <w:textDirection w:val="lrTb"/>
            <w:noWrap w:val="false"/>
          </w:tcPr>
          <w:p>
            <w:pPr>
              <w:jc w:val="center"/>
              <w:widowControl/>
              <w:rPr>
                <w:sz w:val="20"/>
                <w:szCs w:val="20"/>
                <w:lang w:eastAsia="ru-RU"/>
              </w:rPr>
            </w:pPr>
            <w:r>
              <w:rPr>
                <w:sz w:val="20"/>
                <w:szCs w:val="20"/>
                <w:lang w:eastAsia="ru-RU"/>
              </w:rPr>
              <w:t xml:space="preserve">11</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7186" w:type="dxa"/>
            <w:textDirection w:val="lrTb"/>
            <w:noWrap w:val="false"/>
          </w:tcPr>
          <w:p>
            <w:pPr>
              <w:jc w:val="center"/>
              <w:widowControl/>
              <w:rPr>
                <w:sz w:val="20"/>
                <w:szCs w:val="20"/>
                <w:lang w:eastAsia="ru-RU"/>
              </w:rPr>
            </w:pPr>
            <w:r>
              <w:rPr>
                <w:sz w:val="20"/>
                <w:szCs w:val="20"/>
                <w:lang w:eastAsia="ru-RU"/>
              </w:rPr>
              <w:t xml:space="preserve">-</w:t>
            </w:r>
            <w:r>
              <w:rPr>
                <w:sz w:val="20"/>
                <w:szCs w:val="20"/>
                <w:lang w:eastAsia="ru-RU"/>
              </w:rPr>
            </w:r>
            <w:r>
              <w:rPr>
                <w:sz w:val="20"/>
                <w:szCs w:val="20"/>
                <w:lang w:eastAsia="ru-RU"/>
              </w:rPr>
            </w:r>
          </w:p>
        </w:tc>
      </w:tr>
      <w:tr>
        <w:tblPrEx/>
        <w:trPr/>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2587" w:type="dxa"/>
            <w:textDirection w:val="lrTb"/>
            <w:noWrap w:val="false"/>
          </w:tcPr>
          <w:p>
            <w:pPr>
              <w:jc w:val="center"/>
              <w:widowControl/>
              <w:rPr>
                <w:sz w:val="20"/>
                <w:szCs w:val="20"/>
                <w:lang w:eastAsia="ru-RU"/>
              </w:rPr>
            </w:pPr>
            <w:r>
              <w:rPr>
                <w:sz w:val="20"/>
                <w:szCs w:val="20"/>
                <w:lang w:eastAsia="ru-RU"/>
              </w:rPr>
              <w:t xml:space="preserve">12 и более</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7186" w:type="dxa"/>
            <w:textDirection w:val="lrTb"/>
            <w:noWrap w:val="false"/>
          </w:tcPr>
          <w:p>
            <w:pPr>
              <w:jc w:val="center"/>
              <w:widowControl/>
              <w:rPr>
                <w:sz w:val="20"/>
                <w:szCs w:val="20"/>
                <w:lang w:eastAsia="ru-RU"/>
              </w:rPr>
            </w:pPr>
            <w:r>
              <w:rPr>
                <w:sz w:val="20"/>
                <w:szCs w:val="20"/>
                <w:lang w:eastAsia="ru-RU"/>
              </w:rPr>
              <w:t xml:space="preserve">0,03152</w:t>
            </w:r>
            <w:r>
              <w:rPr>
                <w:sz w:val="20"/>
                <w:szCs w:val="20"/>
                <w:lang w:eastAsia="ru-RU"/>
              </w:rPr>
            </w:r>
            <w:r>
              <w:rPr>
                <w:sz w:val="20"/>
                <w:szCs w:val="20"/>
                <w:lang w:eastAsia="ru-RU"/>
              </w:rPr>
            </w:r>
          </w:p>
        </w:tc>
      </w:tr>
      <w:tr>
        <w:tblPrEx/>
        <w:trPr/>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2587" w:type="dxa"/>
            <w:textDirection w:val="lrTb"/>
            <w:noWrap w:val="false"/>
          </w:tcPr>
          <w:p>
            <w:pPr>
              <w:jc w:val="center"/>
              <w:widowControl/>
              <w:rPr>
                <w:sz w:val="20"/>
                <w:szCs w:val="20"/>
                <w:lang w:eastAsia="ru-RU"/>
              </w:rPr>
            </w:pPr>
            <w:r>
              <w:rPr>
                <w:sz w:val="20"/>
                <w:szCs w:val="20"/>
                <w:lang w:eastAsia="ru-RU"/>
              </w:rPr>
              <w:t xml:space="preserve">Этажность</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7186" w:type="dxa"/>
            <w:textDirection w:val="lrTb"/>
            <w:noWrap w:val="false"/>
          </w:tcPr>
          <w:p>
            <w:pPr>
              <w:jc w:val="center"/>
              <w:widowControl/>
              <w:rPr>
                <w:sz w:val="20"/>
                <w:szCs w:val="20"/>
                <w:lang w:eastAsia="ru-RU"/>
              </w:rPr>
            </w:pPr>
            <w:r>
              <w:rPr>
                <w:sz w:val="20"/>
                <w:szCs w:val="20"/>
                <w:lang w:eastAsia="ru-RU"/>
              </w:rPr>
              <w:t xml:space="preserve">Многоквартирные и жилые дома после 1999 года постройки</w:t>
            </w:r>
            <w:r>
              <w:rPr>
                <w:sz w:val="20"/>
                <w:szCs w:val="20"/>
                <w:lang w:eastAsia="ru-RU"/>
              </w:rPr>
            </w:r>
            <w:r>
              <w:rPr>
                <w:sz w:val="20"/>
                <w:szCs w:val="20"/>
                <w:lang w:eastAsia="ru-RU"/>
              </w:rPr>
            </w:r>
          </w:p>
        </w:tc>
      </w:tr>
      <w:tr>
        <w:tblPrEx/>
        <w:trPr/>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2587" w:type="dxa"/>
            <w:textDirection w:val="lrTb"/>
            <w:noWrap w:val="false"/>
          </w:tcPr>
          <w:p>
            <w:pPr>
              <w:jc w:val="center"/>
              <w:widowControl/>
              <w:rPr>
                <w:sz w:val="20"/>
                <w:szCs w:val="20"/>
                <w:lang w:eastAsia="ru-RU"/>
              </w:rPr>
            </w:pPr>
            <w:r>
              <w:rPr>
                <w:sz w:val="20"/>
                <w:szCs w:val="20"/>
                <w:lang w:eastAsia="ru-RU"/>
              </w:rPr>
              <w:t xml:space="preserve">1</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7186" w:type="dxa"/>
            <w:textDirection w:val="lrTb"/>
            <w:noWrap w:val="false"/>
          </w:tcPr>
          <w:p>
            <w:pPr>
              <w:jc w:val="center"/>
              <w:widowControl/>
              <w:rPr>
                <w:sz w:val="20"/>
                <w:szCs w:val="20"/>
                <w:lang w:eastAsia="ru-RU"/>
              </w:rPr>
            </w:pPr>
            <w:r>
              <w:rPr>
                <w:sz w:val="20"/>
                <w:szCs w:val="20"/>
                <w:lang w:eastAsia="ru-RU"/>
              </w:rPr>
              <w:t xml:space="preserve">0,01940</w:t>
            </w:r>
            <w:r>
              <w:rPr>
                <w:sz w:val="20"/>
                <w:szCs w:val="20"/>
                <w:lang w:eastAsia="ru-RU"/>
              </w:rPr>
            </w:r>
            <w:r>
              <w:rPr>
                <w:sz w:val="20"/>
                <w:szCs w:val="20"/>
                <w:lang w:eastAsia="ru-RU"/>
              </w:rPr>
            </w:r>
          </w:p>
        </w:tc>
      </w:tr>
      <w:tr>
        <w:tblPrEx/>
        <w:trPr/>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2587" w:type="dxa"/>
            <w:textDirection w:val="lrTb"/>
            <w:noWrap w:val="false"/>
          </w:tcPr>
          <w:p>
            <w:pPr>
              <w:jc w:val="center"/>
              <w:widowControl/>
              <w:rPr>
                <w:sz w:val="20"/>
                <w:szCs w:val="20"/>
                <w:lang w:eastAsia="ru-RU"/>
              </w:rPr>
            </w:pPr>
            <w:r>
              <w:rPr>
                <w:sz w:val="20"/>
                <w:szCs w:val="20"/>
                <w:lang w:eastAsia="ru-RU"/>
              </w:rPr>
              <w:t xml:space="preserve">2</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7186" w:type="dxa"/>
            <w:textDirection w:val="lrTb"/>
            <w:noWrap w:val="false"/>
          </w:tcPr>
          <w:p>
            <w:pPr>
              <w:jc w:val="center"/>
              <w:widowControl/>
              <w:rPr>
                <w:sz w:val="20"/>
                <w:szCs w:val="20"/>
                <w:lang w:eastAsia="ru-RU"/>
              </w:rPr>
            </w:pPr>
            <w:r>
              <w:rPr>
                <w:sz w:val="20"/>
                <w:szCs w:val="20"/>
                <w:lang w:eastAsia="ru-RU"/>
              </w:rPr>
              <w:t xml:space="preserve">0,02010</w:t>
            </w:r>
            <w:r>
              <w:rPr>
                <w:sz w:val="20"/>
                <w:szCs w:val="20"/>
                <w:lang w:eastAsia="ru-RU"/>
              </w:rPr>
            </w:r>
            <w:r>
              <w:rPr>
                <w:sz w:val="20"/>
                <w:szCs w:val="20"/>
                <w:lang w:eastAsia="ru-RU"/>
              </w:rPr>
            </w:r>
          </w:p>
        </w:tc>
      </w:tr>
      <w:tr>
        <w:tblPrEx/>
        <w:trPr/>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2587" w:type="dxa"/>
            <w:textDirection w:val="lrTb"/>
            <w:noWrap w:val="false"/>
          </w:tcPr>
          <w:p>
            <w:pPr>
              <w:jc w:val="center"/>
              <w:widowControl/>
              <w:rPr>
                <w:sz w:val="20"/>
                <w:szCs w:val="20"/>
                <w:lang w:eastAsia="ru-RU"/>
              </w:rPr>
            </w:pPr>
            <w:r>
              <w:rPr>
                <w:sz w:val="20"/>
                <w:szCs w:val="20"/>
                <w:lang w:eastAsia="ru-RU"/>
              </w:rPr>
              <w:t xml:space="preserve">3</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7186" w:type="dxa"/>
            <w:textDirection w:val="lrTb"/>
            <w:noWrap w:val="false"/>
          </w:tcPr>
          <w:p>
            <w:pPr>
              <w:jc w:val="center"/>
              <w:widowControl/>
              <w:rPr>
                <w:sz w:val="20"/>
                <w:szCs w:val="20"/>
                <w:lang w:eastAsia="ru-RU"/>
              </w:rPr>
            </w:pPr>
            <w:r>
              <w:rPr>
                <w:sz w:val="20"/>
                <w:szCs w:val="20"/>
                <w:lang w:eastAsia="ru-RU"/>
              </w:rPr>
              <w:t xml:space="preserve">0,01910</w:t>
            </w:r>
            <w:r>
              <w:rPr>
                <w:sz w:val="20"/>
                <w:szCs w:val="20"/>
                <w:lang w:eastAsia="ru-RU"/>
              </w:rPr>
            </w:r>
            <w:r>
              <w:rPr>
                <w:sz w:val="20"/>
                <w:szCs w:val="20"/>
                <w:lang w:eastAsia="ru-RU"/>
              </w:rPr>
            </w:r>
          </w:p>
        </w:tc>
      </w:tr>
      <w:tr>
        <w:tblPrEx/>
        <w:trPr/>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2587" w:type="dxa"/>
            <w:textDirection w:val="lrTb"/>
            <w:noWrap w:val="false"/>
          </w:tcPr>
          <w:p>
            <w:pPr>
              <w:jc w:val="center"/>
              <w:widowControl/>
              <w:rPr>
                <w:sz w:val="20"/>
                <w:szCs w:val="20"/>
                <w:lang w:eastAsia="ru-RU"/>
              </w:rPr>
            </w:pPr>
            <w:r>
              <w:rPr>
                <w:sz w:val="20"/>
                <w:szCs w:val="20"/>
                <w:lang w:eastAsia="ru-RU"/>
              </w:rPr>
              <w:t xml:space="preserve">4</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7186" w:type="dxa"/>
            <w:textDirection w:val="lrTb"/>
            <w:noWrap w:val="false"/>
          </w:tcPr>
          <w:p>
            <w:pPr>
              <w:jc w:val="center"/>
              <w:widowControl/>
              <w:rPr>
                <w:sz w:val="20"/>
                <w:szCs w:val="20"/>
                <w:lang w:eastAsia="ru-RU"/>
              </w:rPr>
            </w:pPr>
            <w:r>
              <w:rPr>
                <w:sz w:val="20"/>
                <w:szCs w:val="20"/>
                <w:lang w:eastAsia="ru-RU"/>
              </w:rPr>
              <w:t xml:space="preserve">0,01860</w:t>
            </w:r>
            <w:r>
              <w:rPr>
                <w:sz w:val="20"/>
                <w:szCs w:val="20"/>
                <w:lang w:eastAsia="ru-RU"/>
              </w:rPr>
            </w:r>
            <w:r>
              <w:rPr>
                <w:sz w:val="20"/>
                <w:szCs w:val="20"/>
                <w:lang w:eastAsia="ru-RU"/>
              </w:rPr>
            </w:r>
          </w:p>
        </w:tc>
      </w:tr>
      <w:tr>
        <w:tblPrEx/>
        <w:trPr/>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2587" w:type="dxa"/>
            <w:textDirection w:val="lrTb"/>
            <w:noWrap w:val="false"/>
          </w:tcPr>
          <w:p>
            <w:pPr>
              <w:jc w:val="center"/>
              <w:widowControl/>
              <w:rPr>
                <w:sz w:val="20"/>
                <w:szCs w:val="20"/>
                <w:lang w:eastAsia="ru-RU"/>
              </w:rPr>
            </w:pPr>
            <w:r>
              <w:rPr>
                <w:sz w:val="20"/>
                <w:szCs w:val="20"/>
                <w:lang w:eastAsia="ru-RU"/>
              </w:rPr>
              <w:t xml:space="preserve">5</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7186" w:type="dxa"/>
            <w:textDirection w:val="lrTb"/>
            <w:noWrap w:val="false"/>
          </w:tcPr>
          <w:p>
            <w:pPr>
              <w:jc w:val="center"/>
              <w:widowControl/>
              <w:rPr>
                <w:sz w:val="20"/>
                <w:szCs w:val="20"/>
                <w:lang w:eastAsia="ru-RU"/>
              </w:rPr>
            </w:pPr>
            <w:r>
              <w:rPr>
                <w:sz w:val="20"/>
                <w:szCs w:val="20"/>
                <w:lang w:eastAsia="ru-RU"/>
              </w:rPr>
              <w:t xml:space="preserve">0,02020</w:t>
            </w:r>
            <w:r>
              <w:rPr>
                <w:sz w:val="20"/>
                <w:szCs w:val="20"/>
                <w:lang w:eastAsia="ru-RU"/>
              </w:rPr>
            </w:r>
            <w:r>
              <w:rPr>
                <w:sz w:val="20"/>
                <w:szCs w:val="20"/>
                <w:lang w:eastAsia="ru-RU"/>
              </w:rPr>
            </w:r>
          </w:p>
        </w:tc>
      </w:tr>
      <w:tr>
        <w:tblPrEx/>
        <w:trPr/>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2587" w:type="dxa"/>
            <w:textDirection w:val="lrTb"/>
            <w:noWrap w:val="false"/>
          </w:tcPr>
          <w:p>
            <w:pPr>
              <w:jc w:val="center"/>
              <w:widowControl/>
              <w:rPr>
                <w:sz w:val="20"/>
                <w:szCs w:val="20"/>
                <w:lang w:eastAsia="ru-RU"/>
              </w:rPr>
            </w:pPr>
            <w:r>
              <w:rPr>
                <w:sz w:val="20"/>
                <w:szCs w:val="20"/>
                <w:lang w:eastAsia="ru-RU"/>
              </w:rPr>
              <w:t xml:space="preserve">6</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7186" w:type="dxa"/>
            <w:textDirection w:val="lrTb"/>
            <w:noWrap w:val="false"/>
          </w:tcPr>
          <w:p>
            <w:pPr>
              <w:jc w:val="center"/>
              <w:widowControl/>
              <w:rPr>
                <w:sz w:val="20"/>
                <w:szCs w:val="20"/>
                <w:lang w:eastAsia="ru-RU"/>
              </w:rPr>
            </w:pPr>
            <w:r>
              <w:rPr>
                <w:sz w:val="20"/>
                <w:szCs w:val="20"/>
                <w:lang w:eastAsia="ru-RU"/>
              </w:rPr>
              <w:t xml:space="preserve">0,01890</w:t>
            </w:r>
            <w:r>
              <w:rPr>
                <w:sz w:val="20"/>
                <w:szCs w:val="20"/>
                <w:lang w:eastAsia="ru-RU"/>
              </w:rPr>
            </w:r>
            <w:r>
              <w:rPr>
                <w:sz w:val="20"/>
                <w:szCs w:val="20"/>
                <w:lang w:eastAsia="ru-RU"/>
              </w:rPr>
            </w:r>
          </w:p>
        </w:tc>
      </w:tr>
      <w:tr>
        <w:tblPrEx/>
        <w:trPr/>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2587" w:type="dxa"/>
            <w:textDirection w:val="lrTb"/>
            <w:noWrap w:val="false"/>
          </w:tcPr>
          <w:p>
            <w:pPr>
              <w:jc w:val="center"/>
              <w:widowControl/>
              <w:rPr>
                <w:sz w:val="20"/>
                <w:szCs w:val="20"/>
                <w:lang w:eastAsia="ru-RU"/>
              </w:rPr>
            </w:pPr>
            <w:r>
              <w:rPr>
                <w:sz w:val="20"/>
                <w:szCs w:val="20"/>
                <w:lang w:eastAsia="ru-RU"/>
              </w:rPr>
              <w:t xml:space="preserve">7</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7186" w:type="dxa"/>
            <w:textDirection w:val="lrTb"/>
            <w:noWrap w:val="false"/>
          </w:tcPr>
          <w:p>
            <w:pPr>
              <w:jc w:val="center"/>
              <w:widowControl/>
              <w:rPr>
                <w:sz w:val="20"/>
                <w:szCs w:val="20"/>
                <w:lang w:eastAsia="ru-RU"/>
              </w:rPr>
            </w:pPr>
            <w:r>
              <w:rPr>
                <w:sz w:val="20"/>
                <w:szCs w:val="20"/>
                <w:lang w:eastAsia="ru-RU"/>
              </w:rPr>
              <w:t xml:space="preserve">0,01890</w:t>
            </w:r>
            <w:r>
              <w:rPr>
                <w:sz w:val="20"/>
                <w:szCs w:val="20"/>
                <w:lang w:eastAsia="ru-RU"/>
              </w:rPr>
            </w:r>
            <w:r>
              <w:rPr>
                <w:sz w:val="20"/>
                <w:szCs w:val="20"/>
                <w:lang w:eastAsia="ru-RU"/>
              </w:rPr>
            </w:r>
          </w:p>
        </w:tc>
      </w:tr>
      <w:tr>
        <w:tblPrEx/>
        <w:trPr/>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2587" w:type="dxa"/>
            <w:textDirection w:val="lrTb"/>
            <w:noWrap w:val="false"/>
          </w:tcPr>
          <w:p>
            <w:pPr>
              <w:jc w:val="center"/>
              <w:widowControl/>
              <w:rPr>
                <w:sz w:val="20"/>
                <w:szCs w:val="20"/>
                <w:lang w:eastAsia="ru-RU"/>
              </w:rPr>
            </w:pPr>
            <w:r>
              <w:rPr>
                <w:sz w:val="20"/>
                <w:szCs w:val="20"/>
                <w:lang w:eastAsia="ru-RU"/>
              </w:rPr>
              <w:t xml:space="preserve">8</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7186" w:type="dxa"/>
            <w:textDirection w:val="lrTb"/>
            <w:noWrap w:val="false"/>
          </w:tcPr>
          <w:p>
            <w:pPr>
              <w:jc w:val="center"/>
              <w:widowControl/>
              <w:rPr>
                <w:sz w:val="20"/>
                <w:szCs w:val="20"/>
                <w:lang w:eastAsia="ru-RU"/>
              </w:rPr>
            </w:pPr>
            <w:r>
              <w:rPr>
                <w:sz w:val="20"/>
                <w:szCs w:val="20"/>
                <w:lang w:eastAsia="ru-RU"/>
              </w:rPr>
              <w:t xml:space="preserve">-</w:t>
            </w:r>
            <w:r>
              <w:rPr>
                <w:sz w:val="20"/>
                <w:szCs w:val="20"/>
                <w:lang w:eastAsia="ru-RU"/>
              </w:rPr>
            </w:r>
            <w:r>
              <w:rPr>
                <w:sz w:val="20"/>
                <w:szCs w:val="20"/>
                <w:lang w:eastAsia="ru-RU"/>
              </w:rPr>
            </w:r>
          </w:p>
        </w:tc>
      </w:tr>
      <w:tr>
        <w:tblPrEx/>
        <w:trPr/>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2587" w:type="dxa"/>
            <w:textDirection w:val="lrTb"/>
            <w:noWrap w:val="false"/>
          </w:tcPr>
          <w:p>
            <w:pPr>
              <w:jc w:val="center"/>
              <w:widowControl/>
              <w:rPr>
                <w:sz w:val="20"/>
                <w:szCs w:val="20"/>
                <w:lang w:eastAsia="ru-RU"/>
              </w:rPr>
            </w:pPr>
            <w:r>
              <w:rPr>
                <w:sz w:val="20"/>
                <w:szCs w:val="20"/>
                <w:lang w:eastAsia="ru-RU"/>
              </w:rPr>
              <w:t xml:space="preserve">9</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7186" w:type="dxa"/>
            <w:textDirection w:val="lrTb"/>
            <w:noWrap w:val="false"/>
          </w:tcPr>
          <w:p>
            <w:pPr>
              <w:jc w:val="center"/>
              <w:widowControl/>
              <w:rPr>
                <w:sz w:val="20"/>
                <w:szCs w:val="20"/>
                <w:lang w:eastAsia="ru-RU"/>
              </w:rPr>
            </w:pPr>
            <w:r>
              <w:rPr>
                <w:sz w:val="20"/>
                <w:szCs w:val="20"/>
                <w:lang w:eastAsia="ru-RU"/>
              </w:rPr>
              <w:t xml:space="preserve">0,01800</w:t>
            </w:r>
            <w:r>
              <w:rPr>
                <w:sz w:val="20"/>
                <w:szCs w:val="20"/>
                <w:lang w:eastAsia="ru-RU"/>
              </w:rPr>
            </w:r>
            <w:r>
              <w:rPr>
                <w:sz w:val="20"/>
                <w:szCs w:val="20"/>
                <w:lang w:eastAsia="ru-RU"/>
              </w:rPr>
            </w:r>
          </w:p>
        </w:tc>
      </w:tr>
      <w:tr>
        <w:tblPrEx/>
        <w:trPr/>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2587" w:type="dxa"/>
            <w:textDirection w:val="lrTb"/>
            <w:noWrap w:val="false"/>
          </w:tcPr>
          <w:p>
            <w:pPr>
              <w:jc w:val="center"/>
              <w:widowControl/>
              <w:rPr>
                <w:sz w:val="20"/>
                <w:szCs w:val="20"/>
                <w:lang w:eastAsia="ru-RU"/>
              </w:rPr>
            </w:pPr>
            <w:r>
              <w:rPr>
                <w:sz w:val="20"/>
                <w:szCs w:val="20"/>
                <w:lang w:eastAsia="ru-RU"/>
              </w:rPr>
              <w:t xml:space="preserve">10</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7186" w:type="dxa"/>
            <w:textDirection w:val="lrTb"/>
            <w:noWrap w:val="false"/>
          </w:tcPr>
          <w:p>
            <w:pPr>
              <w:jc w:val="center"/>
              <w:widowControl/>
              <w:rPr>
                <w:sz w:val="20"/>
                <w:szCs w:val="20"/>
                <w:lang w:eastAsia="ru-RU"/>
              </w:rPr>
            </w:pPr>
            <w:r>
              <w:rPr>
                <w:sz w:val="20"/>
                <w:szCs w:val="20"/>
                <w:lang w:eastAsia="ru-RU"/>
              </w:rPr>
              <w:t xml:space="preserve">0,01610</w:t>
            </w:r>
            <w:r>
              <w:rPr>
                <w:sz w:val="20"/>
                <w:szCs w:val="20"/>
                <w:lang w:eastAsia="ru-RU"/>
              </w:rPr>
            </w:r>
            <w:r>
              <w:rPr>
                <w:sz w:val="20"/>
                <w:szCs w:val="20"/>
                <w:lang w:eastAsia="ru-RU"/>
              </w:rPr>
            </w:r>
          </w:p>
        </w:tc>
      </w:tr>
      <w:tr>
        <w:tblPrEx/>
        <w:trPr/>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2587" w:type="dxa"/>
            <w:textDirection w:val="lrTb"/>
            <w:noWrap w:val="false"/>
          </w:tcPr>
          <w:p>
            <w:pPr>
              <w:jc w:val="center"/>
              <w:widowControl/>
              <w:rPr>
                <w:sz w:val="20"/>
                <w:szCs w:val="20"/>
                <w:lang w:eastAsia="ru-RU"/>
              </w:rPr>
            </w:pPr>
            <w:r>
              <w:rPr>
                <w:sz w:val="20"/>
                <w:szCs w:val="20"/>
                <w:lang w:eastAsia="ru-RU"/>
              </w:rPr>
              <w:t xml:space="preserve">11</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7186" w:type="dxa"/>
            <w:textDirection w:val="lrTb"/>
            <w:noWrap w:val="false"/>
          </w:tcPr>
          <w:p>
            <w:pPr>
              <w:jc w:val="center"/>
              <w:widowControl/>
              <w:rPr>
                <w:sz w:val="20"/>
                <w:szCs w:val="20"/>
                <w:lang w:eastAsia="ru-RU"/>
              </w:rPr>
            </w:pPr>
            <w:r>
              <w:rPr>
                <w:sz w:val="20"/>
                <w:szCs w:val="20"/>
                <w:lang w:eastAsia="ru-RU"/>
              </w:rPr>
              <w:t xml:space="preserve">-</w:t>
            </w:r>
            <w:r>
              <w:rPr>
                <w:sz w:val="20"/>
                <w:szCs w:val="20"/>
                <w:lang w:eastAsia="ru-RU"/>
              </w:rPr>
            </w:r>
            <w:r>
              <w:rPr>
                <w:sz w:val="20"/>
                <w:szCs w:val="20"/>
                <w:lang w:eastAsia="ru-RU"/>
              </w:rPr>
            </w:r>
          </w:p>
        </w:tc>
      </w:tr>
      <w:tr>
        <w:tblPrEx/>
        <w:trPr/>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2587" w:type="dxa"/>
            <w:textDirection w:val="lrTb"/>
            <w:noWrap w:val="false"/>
          </w:tcPr>
          <w:p>
            <w:pPr>
              <w:jc w:val="center"/>
              <w:widowControl/>
              <w:rPr>
                <w:sz w:val="20"/>
                <w:szCs w:val="20"/>
                <w:lang w:eastAsia="ru-RU"/>
              </w:rPr>
            </w:pPr>
            <w:r>
              <w:rPr>
                <w:sz w:val="20"/>
                <w:szCs w:val="20"/>
                <w:lang w:eastAsia="ru-RU"/>
              </w:rPr>
              <w:t xml:space="preserve">12 и более</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7186" w:type="dxa"/>
            <w:textDirection w:val="lrTb"/>
            <w:noWrap w:val="false"/>
          </w:tcPr>
          <w:p>
            <w:pPr>
              <w:jc w:val="center"/>
              <w:widowControl/>
              <w:rPr>
                <w:sz w:val="20"/>
                <w:szCs w:val="20"/>
                <w:lang w:eastAsia="ru-RU"/>
              </w:rPr>
            </w:pPr>
            <w:r>
              <w:rPr>
                <w:sz w:val="20"/>
                <w:szCs w:val="20"/>
                <w:lang w:eastAsia="ru-RU"/>
              </w:rPr>
              <w:t xml:space="preserve">0,01720</w:t>
            </w:r>
            <w:r>
              <w:rPr>
                <w:sz w:val="20"/>
                <w:szCs w:val="20"/>
                <w:lang w:eastAsia="ru-RU"/>
              </w:rPr>
            </w:r>
            <w:r>
              <w:rPr>
                <w:sz w:val="20"/>
                <w:szCs w:val="20"/>
                <w:lang w:eastAsia="ru-RU"/>
              </w:rPr>
            </w:r>
          </w:p>
        </w:tc>
      </w:tr>
    </w:tbl>
    <w:p>
      <w:pPr>
        <w:pStyle w:val="1247"/>
        <w:ind w:left="119" w:right="142" w:firstLine="709"/>
        <w:jc w:val="center"/>
      </w:pPr>
      <w:r/>
      <w:r/>
    </w:p>
    <w:p>
      <w:pPr>
        <w:pStyle w:val="1248"/>
        <w:ind w:right="153" w:firstLine="733"/>
        <w:jc w:val="left"/>
        <w:spacing w:before="150"/>
      </w:pPr>
      <w:r/>
      <w:bookmarkStart w:id="177" w:name="_bookmark113"/>
      <w:r/>
      <w:bookmarkStart w:id="178" w:name="_Toc130231920"/>
      <w:r/>
      <w:bookmarkStart w:id="179" w:name="_Toc165540703"/>
      <w:r/>
      <w:bookmarkEnd w:id="177"/>
      <w:r>
        <w:rPr>
          <w:lang w:eastAsia="ru-RU"/>
        </w:rPr>
        <w:t xml:space="preserve">1.5.6 </w:t>
      </w:r>
      <w:r>
        <w:t xml:space="preserve">Описание сравнения величины договорной и расчётной тепловой нагрузки по зоне действия каждого источника тепловой энергии</w:t>
      </w:r>
      <w:bookmarkEnd w:id="178"/>
      <w:r/>
      <w:bookmarkEnd w:id="179"/>
      <w:r/>
      <w:r/>
    </w:p>
    <w:p>
      <w:pPr>
        <w:pStyle w:val="1247"/>
        <w:ind w:left="118" w:right="156" w:firstLine="707"/>
        <w:jc w:val="both"/>
        <w:spacing w:before="115"/>
      </w:pPr>
      <w:r>
        <w:t xml:space="preserve">Величины договорной и расчетной тепловой нагрузки по </w:t>
      </w:r>
      <w:r>
        <w:t xml:space="preserve">централизованным </w:t>
      </w:r>
      <w:r>
        <w:t xml:space="preserve">котельным представлены в таблице</w:t>
      </w:r>
      <w:r>
        <w:t xml:space="preserve"> ниже.</w:t>
      </w:r>
      <w:r/>
    </w:p>
    <w:p>
      <w:pPr>
        <w:pStyle w:val="1247"/>
        <w:ind w:left="118" w:right="156" w:firstLine="707"/>
        <w:jc w:val="right"/>
        <w:spacing w:before="115"/>
      </w:pPr>
      <w:r>
        <w:t xml:space="preserve">Таблица 1.5.6.1</w:t>
      </w:r>
      <w:r/>
    </w:p>
    <w:tbl>
      <w:tblPr>
        <w:tblStyle w:val="1237"/>
        <w:tblW w:w="9639" w:type="dxa"/>
        <w:tblInd w:w="134"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Look w:val="01E0" w:firstRow="1" w:lastRow="1" w:firstColumn="1" w:lastColumn="1" w:noHBand="0" w:noVBand="0"/>
      </w:tblPr>
      <w:tblGrid>
        <w:gridCol w:w="5387"/>
        <w:gridCol w:w="1984"/>
        <w:gridCol w:w="2268"/>
      </w:tblGrid>
      <w:tr>
        <w:tblPrEx/>
        <w:trPr>
          <w:trHeight w:val="475"/>
        </w:trPr>
        <w:tc>
          <w:tcPr>
            <w:tcW w:w="5387" w:type="dxa"/>
            <w:vAlign w:val="center"/>
            <w:textDirection w:val="lrTb"/>
            <w:noWrap w:val="false"/>
          </w:tcPr>
          <w:p>
            <w:pPr>
              <w:pStyle w:val="1251"/>
              <w:spacing w:line="276" w:lineRule="auto"/>
              <w:rPr>
                <w:sz w:val="20"/>
                <w:szCs w:val="20"/>
              </w:rPr>
            </w:pPr>
            <w:r>
              <w:rPr>
                <w:sz w:val="20"/>
                <w:szCs w:val="20"/>
              </w:rPr>
              <w:t xml:space="preserve">Источник тепловой энергии</w:t>
            </w:r>
            <w:r>
              <w:rPr>
                <w:sz w:val="20"/>
                <w:szCs w:val="20"/>
              </w:rPr>
            </w:r>
            <w:r>
              <w:rPr>
                <w:sz w:val="20"/>
                <w:szCs w:val="20"/>
              </w:rPr>
            </w:r>
          </w:p>
        </w:tc>
        <w:tc>
          <w:tcPr>
            <w:tcW w:w="1984" w:type="dxa"/>
            <w:vAlign w:val="center"/>
            <w:textDirection w:val="lrTb"/>
            <w:noWrap w:val="false"/>
          </w:tcPr>
          <w:p>
            <w:pPr>
              <w:jc w:val="center"/>
              <w:widowControl/>
              <w:rPr>
                <w:bCs/>
                <w:sz w:val="20"/>
                <w:szCs w:val="20"/>
                <w:lang w:eastAsia="ru-RU"/>
              </w:rPr>
            </w:pPr>
            <w:r>
              <w:rPr>
                <w:sz w:val="20"/>
                <w:szCs w:val="20"/>
              </w:rPr>
              <w:t xml:space="preserve">Договорная</w:t>
            </w:r>
            <w:r>
              <w:rPr>
                <w:spacing w:val="-7"/>
                <w:sz w:val="20"/>
                <w:szCs w:val="20"/>
              </w:rPr>
              <w:t xml:space="preserve"> </w:t>
            </w:r>
            <w:r>
              <w:rPr>
                <w:sz w:val="20"/>
                <w:szCs w:val="20"/>
              </w:rPr>
              <w:t xml:space="preserve">тепловая</w:t>
            </w:r>
            <w:r>
              <w:rPr>
                <w:spacing w:val="-5"/>
                <w:sz w:val="20"/>
                <w:szCs w:val="20"/>
              </w:rPr>
              <w:t xml:space="preserve"> </w:t>
            </w:r>
            <w:r>
              <w:rPr>
                <w:sz w:val="20"/>
                <w:szCs w:val="20"/>
              </w:rPr>
              <w:t xml:space="preserve">нагрузка,</w:t>
            </w:r>
            <w:r>
              <w:rPr>
                <w:spacing w:val="-47"/>
                <w:sz w:val="20"/>
                <w:szCs w:val="20"/>
              </w:rPr>
              <w:t xml:space="preserve"> </w:t>
            </w:r>
            <w:r>
              <w:rPr>
                <w:sz w:val="20"/>
                <w:szCs w:val="20"/>
              </w:rPr>
              <w:t xml:space="preserve">Гкал/ч</w:t>
            </w:r>
            <w:r>
              <w:rPr>
                <w:bCs/>
                <w:sz w:val="20"/>
                <w:szCs w:val="20"/>
                <w:lang w:eastAsia="ru-RU"/>
              </w:rPr>
            </w:r>
            <w:r>
              <w:rPr>
                <w:bCs/>
                <w:sz w:val="20"/>
                <w:szCs w:val="20"/>
                <w:lang w:eastAsia="ru-RU"/>
              </w:rPr>
            </w:r>
          </w:p>
        </w:tc>
        <w:tc>
          <w:tcPr>
            <w:tcW w:w="2268" w:type="dxa"/>
            <w:vAlign w:val="center"/>
            <w:textDirection w:val="lrTb"/>
            <w:noWrap w:val="false"/>
          </w:tcPr>
          <w:p>
            <w:pPr>
              <w:jc w:val="center"/>
              <w:widowControl/>
              <w:rPr>
                <w:bCs/>
                <w:sz w:val="20"/>
                <w:szCs w:val="20"/>
                <w:lang w:eastAsia="ru-RU"/>
              </w:rPr>
            </w:pPr>
            <w:r>
              <w:rPr>
                <w:sz w:val="20"/>
                <w:szCs w:val="20"/>
              </w:rPr>
              <w:t xml:space="preserve">Максимальная</w:t>
            </w:r>
            <w:r>
              <w:rPr>
                <w:spacing w:val="-8"/>
                <w:sz w:val="20"/>
                <w:szCs w:val="20"/>
              </w:rPr>
              <w:t xml:space="preserve"> </w:t>
            </w:r>
            <w:r>
              <w:rPr>
                <w:sz w:val="20"/>
                <w:szCs w:val="20"/>
              </w:rPr>
              <w:t xml:space="preserve">расчетная</w:t>
            </w:r>
            <w:r>
              <w:rPr>
                <w:spacing w:val="-9"/>
                <w:sz w:val="20"/>
                <w:szCs w:val="20"/>
              </w:rPr>
              <w:t xml:space="preserve"> </w:t>
            </w:r>
            <w:r>
              <w:rPr>
                <w:sz w:val="20"/>
                <w:szCs w:val="20"/>
              </w:rPr>
              <w:t xml:space="preserve">присоединенная тепловая</w:t>
            </w:r>
            <w:r>
              <w:rPr>
                <w:spacing w:val="-1"/>
                <w:sz w:val="20"/>
                <w:szCs w:val="20"/>
              </w:rPr>
              <w:t xml:space="preserve"> </w:t>
            </w:r>
            <w:r>
              <w:rPr>
                <w:sz w:val="20"/>
                <w:szCs w:val="20"/>
              </w:rPr>
              <w:t xml:space="preserve">нагрузка,</w:t>
            </w:r>
            <w:r>
              <w:rPr>
                <w:spacing w:val="-2"/>
                <w:sz w:val="20"/>
                <w:szCs w:val="20"/>
              </w:rPr>
              <w:t xml:space="preserve"> </w:t>
            </w:r>
            <w:r>
              <w:rPr>
                <w:sz w:val="20"/>
                <w:szCs w:val="20"/>
              </w:rPr>
              <w:t xml:space="preserve">Гкал/ч</w:t>
            </w:r>
            <w:r>
              <w:rPr>
                <w:bCs/>
                <w:sz w:val="20"/>
                <w:szCs w:val="20"/>
                <w:lang w:eastAsia="ru-RU"/>
              </w:rPr>
            </w:r>
            <w:r>
              <w:rPr>
                <w:bCs/>
                <w:sz w:val="20"/>
                <w:szCs w:val="20"/>
                <w:lang w:eastAsia="ru-RU"/>
              </w:rPr>
            </w:r>
          </w:p>
        </w:tc>
      </w:tr>
      <w:tr>
        <w:tblPrEx/>
        <w:trPr>
          <w:trHeight w:val="72"/>
        </w:trPr>
        <w:tc>
          <w:tcPr>
            <w:tcW w:w="5387" w:type="dxa"/>
            <w:vAlign w:val="center"/>
            <w:textDirection w:val="lrTb"/>
            <w:noWrap w:val="false"/>
          </w:tcPr>
          <w:p>
            <w:pPr>
              <w:jc w:val="center"/>
              <w:rPr>
                <w:sz w:val="20"/>
                <w:szCs w:val="20"/>
              </w:rPr>
            </w:pPr>
            <w:r>
              <w:rPr>
                <w:color w:val="000000"/>
                <w:sz w:val="20"/>
                <w:szCs w:val="20"/>
              </w:rPr>
              <w:t xml:space="preserve">Котельная </w:t>
            </w:r>
            <w:r>
              <w:rPr>
                <w:rFonts w:ascii="Liberation Serif" w:hAnsi="Liberation Serif" w:cs="Calibri"/>
                <w:color w:val="000000"/>
                <w:sz w:val="20"/>
                <w:szCs w:val="20"/>
              </w:rPr>
              <w:t xml:space="preserve">п. Новый Мир, ЛПДС «Юргамыш», в т.ч. продажа ООО «Новомировское домоуправление»</w:t>
            </w:r>
            <w:r>
              <w:rPr>
                <w:sz w:val="20"/>
                <w:szCs w:val="20"/>
              </w:rPr>
            </w:r>
            <w:r>
              <w:rPr>
                <w:sz w:val="20"/>
                <w:szCs w:val="20"/>
              </w:rPr>
            </w:r>
          </w:p>
        </w:tc>
        <w:tc>
          <w:tcPr>
            <w:tcW w:w="1984" w:type="dxa"/>
            <w:vAlign w:val="center"/>
            <w:textDirection w:val="lrTb"/>
            <w:noWrap w:val="false"/>
          </w:tcPr>
          <w:p>
            <w:pPr>
              <w:jc w:val="center"/>
              <w:widowControl/>
              <w:rPr>
                <w:rFonts w:eastAsia="Calibri"/>
                <w:sz w:val="20"/>
                <w:szCs w:val="20"/>
              </w:rPr>
            </w:pPr>
            <w:r>
              <w:rPr>
                <w:color w:val="000000"/>
                <w:sz w:val="20"/>
                <w:szCs w:val="20"/>
              </w:rPr>
              <w:t xml:space="preserve">3,507</w:t>
            </w:r>
            <w:r>
              <w:rPr>
                <w:rFonts w:eastAsia="Calibri"/>
                <w:sz w:val="20"/>
                <w:szCs w:val="20"/>
              </w:rPr>
            </w:r>
            <w:r>
              <w:rPr>
                <w:rFonts w:eastAsia="Calibri"/>
                <w:sz w:val="20"/>
                <w:szCs w:val="20"/>
              </w:rPr>
            </w:r>
          </w:p>
        </w:tc>
        <w:tc>
          <w:tcPr>
            <w:tcW w:w="2268" w:type="dxa"/>
            <w:vAlign w:val="center"/>
            <w:textDirection w:val="lrTb"/>
            <w:noWrap w:val="false"/>
          </w:tcPr>
          <w:p>
            <w:pPr>
              <w:jc w:val="center"/>
              <w:widowControl/>
              <w:rPr>
                <w:rFonts w:eastAsia="Calibri"/>
                <w:sz w:val="20"/>
                <w:szCs w:val="20"/>
              </w:rPr>
            </w:pPr>
            <w:r>
              <w:rPr>
                <w:color w:val="000000"/>
                <w:sz w:val="20"/>
                <w:szCs w:val="20"/>
              </w:rPr>
              <w:t xml:space="preserve">3,507</w:t>
            </w:r>
            <w:r>
              <w:rPr>
                <w:rFonts w:eastAsia="Calibri"/>
                <w:sz w:val="20"/>
                <w:szCs w:val="20"/>
              </w:rPr>
            </w:r>
            <w:r>
              <w:rPr>
                <w:rFonts w:eastAsia="Calibri"/>
                <w:sz w:val="20"/>
                <w:szCs w:val="20"/>
              </w:rPr>
            </w:r>
          </w:p>
        </w:tc>
      </w:tr>
      <w:tr>
        <w:tblPrEx/>
        <w:trPr>
          <w:trHeight w:val="236"/>
        </w:trPr>
        <w:tc>
          <w:tcPr>
            <w:tcW w:w="5387" w:type="dxa"/>
            <w:vAlign w:val="center"/>
            <w:textDirection w:val="lrTb"/>
            <w:noWrap w:val="false"/>
          </w:tcPr>
          <w:p>
            <w:pPr>
              <w:jc w:val="center"/>
              <w:rPr>
                <w:sz w:val="20"/>
                <w:szCs w:val="20"/>
              </w:rPr>
            </w:pPr>
            <w:r>
              <w:rPr>
                <w:color w:val="000000"/>
                <w:sz w:val="20"/>
                <w:szCs w:val="20"/>
              </w:rPr>
              <w:t xml:space="preserve">Котельная </w:t>
            </w:r>
            <w:r>
              <w:rPr>
                <w:rFonts w:ascii="Liberation Serif" w:hAnsi="Liberation Serif" w:cs="Calibri"/>
                <w:color w:val="000000"/>
                <w:sz w:val="20"/>
                <w:szCs w:val="20"/>
              </w:rPr>
              <w:t xml:space="preserve">р.п.  Юргамыш, ул. Железнодорожная, территория тягловой подстанции ОАО «РЖД»</w:t>
            </w:r>
            <w:r>
              <w:rPr>
                <w:sz w:val="20"/>
                <w:szCs w:val="20"/>
              </w:rPr>
            </w:r>
            <w:r>
              <w:rPr>
                <w:sz w:val="20"/>
                <w:szCs w:val="20"/>
              </w:rPr>
            </w:r>
          </w:p>
        </w:tc>
        <w:tc>
          <w:tcPr>
            <w:tcW w:w="1984" w:type="dxa"/>
            <w:vAlign w:val="center"/>
            <w:textDirection w:val="lrTb"/>
            <w:noWrap w:val="false"/>
          </w:tcPr>
          <w:p>
            <w:pPr>
              <w:ind w:right="-10"/>
              <w:jc w:val="center"/>
              <w:rPr>
                <w:sz w:val="20"/>
                <w:szCs w:val="20"/>
              </w:rPr>
            </w:pPr>
            <w:r>
              <w:rPr>
                <w:sz w:val="20"/>
                <w:szCs w:val="20"/>
              </w:rPr>
              <w:t xml:space="preserve">0,3732</w:t>
            </w:r>
            <w:r>
              <w:rPr>
                <w:sz w:val="20"/>
                <w:szCs w:val="20"/>
              </w:rPr>
            </w:r>
            <w:r>
              <w:rPr>
                <w:sz w:val="20"/>
                <w:szCs w:val="20"/>
              </w:rPr>
            </w:r>
          </w:p>
        </w:tc>
        <w:tc>
          <w:tcPr>
            <w:tcW w:w="2268" w:type="dxa"/>
            <w:vAlign w:val="center"/>
            <w:textDirection w:val="lrTb"/>
            <w:noWrap w:val="false"/>
          </w:tcPr>
          <w:p>
            <w:pPr>
              <w:ind w:right="-10"/>
              <w:jc w:val="center"/>
              <w:rPr>
                <w:sz w:val="20"/>
                <w:szCs w:val="20"/>
              </w:rPr>
            </w:pPr>
            <w:r>
              <w:rPr>
                <w:sz w:val="20"/>
                <w:szCs w:val="20"/>
              </w:rPr>
              <w:t xml:space="preserve">0,3732</w:t>
            </w:r>
            <w:r>
              <w:rPr>
                <w:sz w:val="20"/>
                <w:szCs w:val="20"/>
              </w:rPr>
            </w:r>
            <w:r>
              <w:rPr>
                <w:sz w:val="20"/>
                <w:szCs w:val="20"/>
              </w:rPr>
            </w:r>
          </w:p>
        </w:tc>
      </w:tr>
      <w:tr>
        <w:tblPrEx/>
        <w:trPr>
          <w:trHeight w:val="236"/>
        </w:trPr>
        <w:tc>
          <w:tcPr>
            <w:tcW w:w="5387" w:type="dxa"/>
            <w:vAlign w:val="center"/>
            <w:textDirection w:val="lrTb"/>
            <w:noWrap w:val="false"/>
          </w:tcPr>
          <w:p>
            <w:pPr>
              <w:jc w:val="center"/>
              <w:rPr>
                <w:sz w:val="20"/>
                <w:szCs w:val="20"/>
              </w:rPr>
            </w:pPr>
            <w:r>
              <w:rPr>
                <w:sz w:val="20"/>
                <w:szCs w:val="20"/>
              </w:rPr>
              <w:t xml:space="preserve">Котельная ФКУ ИК №7 УФСИН России по Курганской области,</w:t>
            </w:r>
            <w:r>
              <w:rPr>
                <w:rFonts w:ascii="Liberation Serif" w:hAnsi="Liberation Serif" w:cs="Calibri"/>
                <w:color w:val="000000"/>
                <w:sz w:val="20"/>
                <w:szCs w:val="20"/>
              </w:rPr>
              <w:t xml:space="preserve"> Курганская область, р.п. Юргамыш, ул. Труда, 147</w:t>
            </w:r>
            <w:r>
              <w:rPr>
                <w:sz w:val="20"/>
                <w:szCs w:val="20"/>
              </w:rPr>
            </w:r>
            <w:r>
              <w:rPr>
                <w:sz w:val="20"/>
                <w:szCs w:val="20"/>
              </w:rPr>
            </w:r>
          </w:p>
        </w:tc>
        <w:tc>
          <w:tcPr>
            <w:tcW w:w="1984" w:type="dxa"/>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c>
          <w:tcPr>
            <w:tcW w:w="2268" w:type="dxa"/>
            <w:vAlign w:val="center"/>
            <w:textDirection w:val="lrTb"/>
            <w:noWrap w:val="false"/>
          </w:tcPr>
          <w:p>
            <w:pPr>
              <w:ind w:left="-142" w:right="-142"/>
              <w:jc w:val="center"/>
              <w:rPr>
                <w:sz w:val="20"/>
                <w:szCs w:val="20"/>
              </w:rPr>
            </w:pPr>
            <w:r>
              <w:rPr>
                <w:sz w:val="20"/>
                <w:szCs w:val="20"/>
              </w:rPr>
              <w:t xml:space="preserve">н/д</w:t>
            </w:r>
            <w:r>
              <w:rPr>
                <w:sz w:val="20"/>
                <w:szCs w:val="20"/>
              </w:rPr>
            </w:r>
            <w:r>
              <w:rPr>
                <w:sz w:val="20"/>
                <w:szCs w:val="20"/>
              </w:rPr>
            </w:r>
          </w:p>
        </w:tc>
      </w:tr>
      <w:tr>
        <w:tblPrEx/>
        <w:trPr>
          <w:trHeight w:val="236"/>
        </w:trPr>
        <w:tc>
          <w:tcPr>
            <w:tcW w:w="5387" w:type="dxa"/>
            <w:vAlign w:val="center"/>
            <w:textDirection w:val="lrTb"/>
            <w:noWrap w:val="false"/>
          </w:tcPr>
          <w:p>
            <w:pPr>
              <w:jc w:val="center"/>
              <w:rPr>
                <w:sz w:val="20"/>
                <w:szCs w:val="20"/>
              </w:rPr>
            </w:pPr>
            <w:r>
              <w:rPr>
                <w:sz w:val="20"/>
                <w:szCs w:val="20"/>
              </w:rPr>
              <w:t xml:space="preserve">Котельная </w:t>
            </w:r>
            <w:r>
              <w:rPr>
                <w:rFonts w:ascii="Liberation Serif" w:hAnsi="Liberation Serif" w:cs="Calibri"/>
                <w:color w:val="000000"/>
                <w:sz w:val="20"/>
                <w:szCs w:val="20"/>
              </w:rPr>
              <w:t xml:space="preserve">р.п. Юргамыш, ул. Ленина, 47а</w:t>
            </w:r>
            <w:r>
              <w:rPr>
                <w:sz w:val="20"/>
                <w:szCs w:val="20"/>
              </w:rPr>
            </w:r>
            <w:r>
              <w:rPr>
                <w:sz w:val="20"/>
                <w:szCs w:val="20"/>
              </w:rPr>
            </w:r>
          </w:p>
        </w:tc>
        <w:tc>
          <w:tcPr>
            <w:tcW w:w="1984" w:type="dxa"/>
            <w:vAlign w:val="center"/>
            <w:textDirection w:val="lrTb"/>
            <w:noWrap w:val="false"/>
          </w:tcPr>
          <w:p>
            <w:pPr>
              <w:ind w:left="-142" w:right="-142"/>
              <w:jc w:val="center"/>
              <w:rPr>
                <w:sz w:val="20"/>
                <w:szCs w:val="20"/>
              </w:rPr>
            </w:pPr>
            <w:r>
              <w:rPr>
                <w:sz w:val="20"/>
                <w:szCs w:val="20"/>
              </w:rPr>
              <w:t xml:space="preserve">3,324</w:t>
            </w:r>
            <w:r>
              <w:rPr>
                <w:sz w:val="20"/>
                <w:szCs w:val="20"/>
              </w:rPr>
            </w:r>
            <w:r>
              <w:rPr>
                <w:sz w:val="20"/>
                <w:szCs w:val="20"/>
              </w:rPr>
            </w:r>
          </w:p>
        </w:tc>
        <w:tc>
          <w:tcPr>
            <w:tcW w:w="2268" w:type="dxa"/>
            <w:vAlign w:val="center"/>
            <w:textDirection w:val="lrTb"/>
            <w:noWrap w:val="false"/>
          </w:tcPr>
          <w:p>
            <w:pPr>
              <w:ind w:left="-142" w:right="-142"/>
              <w:jc w:val="center"/>
              <w:rPr>
                <w:sz w:val="20"/>
                <w:szCs w:val="20"/>
              </w:rPr>
            </w:pPr>
            <w:r>
              <w:rPr>
                <w:sz w:val="20"/>
                <w:szCs w:val="20"/>
              </w:rPr>
              <w:t xml:space="preserve">3,324</w:t>
            </w:r>
            <w:r>
              <w:rPr>
                <w:sz w:val="20"/>
                <w:szCs w:val="20"/>
              </w:rPr>
            </w:r>
            <w:r>
              <w:rPr>
                <w:sz w:val="20"/>
                <w:szCs w:val="20"/>
              </w:rPr>
            </w:r>
          </w:p>
        </w:tc>
      </w:tr>
      <w:tr>
        <w:tblPrEx/>
        <w:trPr>
          <w:trHeight w:val="236"/>
        </w:trPr>
        <w:tc>
          <w:tcPr>
            <w:tcW w:w="5387" w:type="dxa"/>
            <w:vAlign w:val="center"/>
            <w:textDirection w:val="lrTb"/>
            <w:noWrap w:val="false"/>
          </w:tcPr>
          <w:p>
            <w:pPr>
              <w:pStyle w:val="1251"/>
              <w:ind w:left="105"/>
              <w:spacing w:line="264" w:lineRule="exact"/>
              <w:rPr>
                <w:sz w:val="20"/>
                <w:szCs w:val="20"/>
              </w:rPr>
            </w:pPr>
            <w:r>
              <w:rPr>
                <w:color w:val="000000"/>
                <w:sz w:val="20"/>
                <w:szCs w:val="20"/>
              </w:rPr>
              <w:t xml:space="preserve">Итого:</w:t>
            </w:r>
            <w:r>
              <w:rPr>
                <w:sz w:val="20"/>
                <w:szCs w:val="20"/>
              </w:rPr>
            </w:r>
            <w:r>
              <w:rPr>
                <w:sz w:val="20"/>
                <w:szCs w:val="20"/>
              </w:rPr>
            </w:r>
          </w:p>
        </w:tc>
        <w:tc>
          <w:tcPr>
            <w:tcW w:w="1984" w:type="dxa"/>
            <w:vAlign w:val="center"/>
            <w:textDirection w:val="lrTb"/>
            <w:noWrap w:val="false"/>
          </w:tcPr>
          <w:p>
            <w:pPr>
              <w:pStyle w:val="1251"/>
              <w:rPr>
                <w:sz w:val="20"/>
                <w:szCs w:val="20"/>
              </w:rPr>
            </w:pPr>
            <w:r>
              <w:rPr>
                <w:sz w:val="20"/>
                <w:szCs w:val="20"/>
              </w:rPr>
              <w:t xml:space="preserve">7,2042</w:t>
            </w:r>
            <w:r>
              <w:rPr>
                <w:sz w:val="20"/>
                <w:szCs w:val="20"/>
              </w:rPr>
            </w:r>
            <w:r>
              <w:rPr>
                <w:sz w:val="20"/>
                <w:szCs w:val="20"/>
              </w:rPr>
            </w:r>
          </w:p>
        </w:tc>
        <w:tc>
          <w:tcPr>
            <w:tcW w:w="2268" w:type="dxa"/>
            <w:vAlign w:val="center"/>
            <w:textDirection w:val="lrTb"/>
            <w:noWrap w:val="false"/>
          </w:tcPr>
          <w:p>
            <w:pPr>
              <w:pStyle w:val="1251"/>
              <w:rPr>
                <w:sz w:val="20"/>
                <w:szCs w:val="20"/>
              </w:rPr>
            </w:pPr>
            <w:r>
              <w:rPr>
                <w:sz w:val="20"/>
                <w:szCs w:val="20"/>
              </w:rPr>
              <w:t xml:space="preserve">7,2042</w:t>
            </w:r>
            <w:r>
              <w:rPr>
                <w:sz w:val="20"/>
                <w:szCs w:val="20"/>
              </w:rPr>
            </w:r>
            <w:r>
              <w:rPr>
                <w:sz w:val="20"/>
                <w:szCs w:val="20"/>
              </w:rPr>
            </w:r>
          </w:p>
        </w:tc>
      </w:tr>
    </w:tbl>
    <w:p>
      <w:pPr>
        <w:pStyle w:val="1248"/>
        <w:ind w:left="119" w:right="142" w:firstLine="731"/>
        <w:spacing w:before="0"/>
        <w:rPr>
          <w:lang w:eastAsia="ru-RU"/>
        </w:rPr>
      </w:pPr>
      <w:r/>
      <w:bookmarkStart w:id="180" w:name="_bookmark115"/>
      <w:r/>
      <w:bookmarkStart w:id="181" w:name="_bookmark116"/>
      <w:r/>
      <w:bookmarkStart w:id="182" w:name="_Toc130231921"/>
      <w:r/>
      <w:bookmarkStart w:id="183" w:name="_Toc165540704"/>
      <w:r/>
      <w:bookmarkEnd w:id="180"/>
      <w:r/>
      <w:bookmarkEnd w:id="181"/>
      <w:r>
        <w:rPr>
          <w:lang w:eastAsia="ru-RU"/>
        </w:rPr>
      </w:r>
      <w:r>
        <w:rPr>
          <w:lang w:eastAsia="ru-RU"/>
        </w:rPr>
      </w:r>
    </w:p>
    <w:p>
      <w:pPr>
        <w:pStyle w:val="1248"/>
        <w:ind w:right="144" w:firstLine="733"/>
        <w:spacing w:before="144"/>
      </w:pPr>
      <w:r>
        <w:rPr>
          <w:lang w:eastAsia="ru-RU"/>
        </w:rPr>
        <w:t xml:space="preserve">1.5.7 </w:t>
      </w:r>
      <w:r>
        <w:t xml:space="preserve">Описание изменений тепловых нагрузок потребителей тепловой энергии, в том числе подключённых к тепловым сетям каждой системы теплоснабжения, зафиксированных за период, предшествующий актуализации схемы теплоснабжения</w:t>
      </w:r>
      <w:bookmarkEnd w:id="182"/>
      <w:r/>
      <w:bookmarkEnd w:id="183"/>
      <w:r/>
      <w:r/>
    </w:p>
    <w:p>
      <w:pPr>
        <w:pStyle w:val="1247"/>
        <w:ind w:left="119" w:right="108" w:firstLine="709"/>
        <w:jc w:val="both"/>
        <w:spacing w:before="120"/>
      </w:pPr>
      <w:r>
        <w:t xml:space="preserve">Ранее схема теплоснабжения </w:t>
      </w:r>
      <w:r>
        <w:t xml:space="preserve">Юргамышского</w:t>
      </w:r>
      <w:r>
        <w:t xml:space="preserve"> муниципального округа не была разработана.</w:t>
      </w:r>
      <w:r/>
    </w:p>
    <w:p>
      <w:pPr>
        <w:pStyle w:val="1247"/>
        <w:ind w:left="118" w:right="144" w:firstLine="707"/>
        <w:jc w:val="both"/>
        <w:spacing w:before="116"/>
      </w:pPr>
      <w:r/>
      <w:r/>
    </w:p>
    <w:p>
      <w:pPr>
        <w:rPr>
          <w:b/>
          <w:bCs/>
          <w:sz w:val="24"/>
          <w:szCs w:val="24"/>
          <w:lang w:eastAsia="ru-RU"/>
        </w:rPr>
      </w:pPr>
      <w:r/>
      <w:bookmarkStart w:id="184" w:name="_bookmark117"/>
      <w:r/>
      <w:bookmarkStart w:id="185" w:name="_Toc130231922"/>
      <w:r/>
      <w:bookmarkStart w:id="186" w:name="_Toc165540705"/>
      <w:r/>
      <w:bookmarkEnd w:id="184"/>
      <w:r>
        <w:rPr>
          <w:lang w:eastAsia="ru-RU"/>
        </w:rPr>
        <w:br w:type="page" w:clear="all"/>
      </w:r>
      <w:r>
        <w:rPr>
          <w:b/>
          <w:bCs/>
          <w:sz w:val="24"/>
          <w:szCs w:val="24"/>
          <w:lang w:eastAsia="ru-RU"/>
        </w:rPr>
      </w:r>
      <w:r>
        <w:rPr>
          <w:b/>
          <w:bCs/>
          <w:sz w:val="24"/>
          <w:szCs w:val="24"/>
          <w:lang w:eastAsia="ru-RU"/>
        </w:rPr>
      </w:r>
    </w:p>
    <w:p>
      <w:pPr>
        <w:pStyle w:val="1248"/>
        <w:ind w:firstLine="733"/>
      </w:pPr>
      <w:r>
        <w:rPr>
          <w:lang w:eastAsia="ru-RU"/>
        </w:rPr>
        <w:t xml:space="preserve">1.6 </w:t>
      </w:r>
      <w:r>
        <w:t xml:space="preserve">Балансы</w:t>
      </w:r>
      <w:r>
        <w:rPr>
          <w:spacing w:val="-6"/>
        </w:rPr>
        <w:t xml:space="preserve"> </w:t>
      </w:r>
      <w:r>
        <w:t xml:space="preserve">тепловой</w:t>
      </w:r>
      <w:r>
        <w:rPr>
          <w:spacing w:val="-2"/>
        </w:rPr>
        <w:t xml:space="preserve"> </w:t>
      </w:r>
      <w:r>
        <w:t xml:space="preserve">мощности</w:t>
      </w:r>
      <w:r>
        <w:rPr>
          <w:spacing w:val="-2"/>
        </w:rPr>
        <w:t xml:space="preserve"> </w:t>
      </w:r>
      <w:r>
        <w:t xml:space="preserve">и</w:t>
      </w:r>
      <w:r>
        <w:rPr>
          <w:spacing w:val="-2"/>
        </w:rPr>
        <w:t xml:space="preserve"> </w:t>
      </w:r>
      <w:r>
        <w:t xml:space="preserve">тепловой</w:t>
      </w:r>
      <w:r>
        <w:rPr>
          <w:spacing w:val="-4"/>
        </w:rPr>
        <w:t xml:space="preserve"> </w:t>
      </w:r>
      <w:r>
        <w:rPr>
          <w:spacing w:val="-2"/>
        </w:rPr>
        <w:t xml:space="preserve">нагрузки</w:t>
      </w:r>
      <w:bookmarkEnd w:id="185"/>
      <w:r/>
      <w:bookmarkEnd w:id="186"/>
      <w:r/>
      <w:r/>
    </w:p>
    <w:p>
      <w:pPr>
        <w:pStyle w:val="1248"/>
        <w:ind w:right="143" w:firstLine="733"/>
        <w:spacing w:before="120"/>
      </w:pPr>
      <w:r/>
      <w:bookmarkStart w:id="187" w:name="_bookmark118"/>
      <w:r/>
      <w:bookmarkStart w:id="188" w:name="_Toc130231923"/>
      <w:r/>
      <w:bookmarkStart w:id="189" w:name="_Toc165540706"/>
      <w:r/>
      <w:bookmarkEnd w:id="187"/>
      <w:r>
        <w:rPr>
          <w:lang w:eastAsia="ru-RU"/>
        </w:rPr>
        <w:t xml:space="preserve">1.6.1 </w:t>
      </w:r>
      <w:r>
        <w:t xml:space="preserve">Описание балан</w:t>
      </w:r>
      <w:r>
        <w:t xml:space="preserve">сов установленной, располагаемой тепловой мощности и тепловой мощности нетто, потерь тепловой мощности в тепловых сетях и расчётной тепловой нагрузки по каждому источнику тепловой энергии, а в ценовых зонах теплоснабжения - по каждой системе теплоснабжения</w:t>
      </w:r>
      <w:bookmarkEnd w:id="188"/>
      <w:r/>
      <w:bookmarkEnd w:id="189"/>
      <w:r/>
      <w:r/>
    </w:p>
    <w:p>
      <w:pPr>
        <w:ind w:left="816"/>
        <w:jc w:val="right"/>
        <w:rPr>
          <w:spacing w:val="-5"/>
          <w:sz w:val="24"/>
          <w:szCs w:val="24"/>
        </w:rPr>
      </w:pPr>
      <w:r/>
      <w:bookmarkStart w:id="190" w:name="_bookmark119"/>
      <w:r/>
      <w:bookmarkEnd w:id="190"/>
      <w:r>
        <w:rPr>
          <w:sz w:val="24"/>
          <w:szCs w:val="24"/>
        </w:rPr>
        <w:t xml:space="preserve">Таблица</w:t>
      </w:r>
      <w:r>
        <w:rPr>
          <w:spacing w:val="-4"/>
          <w:sz w:val="24"/>
          <w:szCs w:val="24"/>
        </w:rPr>
        <w:t xml:space="preserve"> </w:t>
      </w:r>
      <w:r>
        <w:rPr>
          <w:sz w:val="24"/>
          <w:szCs w:val="24"/>
        </w:rPr>
        <w:t xml:space="preserve">1.6.1.1</w:t>
      </w:r>
      <w:r>
        <w:rPr>
          <w:spacing w:val="-5"/>
          <w:sz w:val="24"/>
          <w:szCs w:val="24"/>
        </w:rPr>
      </w:r>
      <w:r>
        <w:rPr>
          <w:spacing w:val="-5"/>
          <w:sz w:val="24"/>
          <w:szCs w:val="24"/>
        </w:rPr>
      </w:r>
    </w:p>
    <w:p>
      <w:pPr>
        <w:ind w:left="816"/>
        <w:jc w:val="center"/>
        <w:rPr>
          <w:sz w:val="24"/>
          <w:szCs w:val="24"/>
        </w:rPr>
      </w:pPr>
      <w:r>
        <w:rPr>
          <w:sz w:val="24"/>
          <w:szCs w:val="24"/>
        </w:rPr>
        <w:t xml:space="preserve">Баланс</w:t>
      </w:r>
      <w:r>
        <w:rPr>
          <w:spacing w:val="-9"/>
          <w:sz w:val="24"/>
          <w:szCs w:val="24"/>
        </w:rPr>
        <w:t xml:space="preserve"> </w:t>
      </w:r>
      <w:r>
        <w:rPr>
          <w:sz w:val="24"/>
          <w:szCs w:val="24"/>
        </w:rPr>
        <w:t xml:space="preserve">тепловой</w:t>
      </w:r>
      <w:r>
        <w:rPr>
          <w:spacing w:val="-6"/>
          <w:sz w:val="24"/>
          <w:szCs w:val="24"/>
        </w:rPr>
        <w:t xml:space="preserve"> </w:t>
      </w:r>
      <w:r>
        <w:rPr>
          <w:sz w:val="24"/>
          <w:szCs w:val="24"/>
        </w:rPr>
        <w:t xml:space="preserve">мощности</w:t>
      </w:r>
      <w:r>
        <w:rPr>
          <w:spacing w:val="-5"/>
          <w:sz w:val="24"/>
          <w:szCs w:val="24"/>
        </w:rPr>
        <w:t xml:space="preserve"> </w:t>
      </w:r>
      <w:r>
        <w:rPr>
          <w:sz w:val="24"/>
          <w:szCs w:val="24"/>
        </w:rPr>
        <w:t xml:space="preserve">и</w:t>
      </w:r>
      <w:r>
        <w:rPr>
          <w:spacing w:val="-8"/>
          <w:sz w:val="24"/>
          <w:szCs w:val="24"/>
        </w:rPr>
        <w:t xml:space="preserve"> </w:t>
      </w:r>
      <w:r>
        <w:rPr>
          <w:sz w:val="24"/>
          <w:szCs w:val="24"/>
        </w:rPr>
        <w:t xml:space="preserve">тепловых</w:t>
      </w:r>
      <w:r>
        <w:rPr>
          <w:spacing w:val="-6"/>
          <w:sz w:val="24"/>
          <w:szCs w:val="24"/>
        </w:rPr>
        <w:t xml:space="preserve"> </w:t>
      </w:r>
      <w:r>
        <w:rPr>
          <w:sz w:val="24"/>
          <w:szCs w:val="24"/>
        </w:rPr>
        <w:t xml:space="preserve">нагрузок</w:t>
      </w:r>
      <w:r>
        <w:rPr>
          <w:spacing w:val="-6"/>
          <w:sz w:val="24"/>
          <w:szCs w:val="24"/>
        </w:rPr>
        <w:t xml:space="preserve"> </w:t>
      </w:r>
      <w:r>
        <w:rPr>
          <w:sz w:val="24"/>
          <w:szCs w:val="24"/>
        </w:rPr>
        <w:t xml:space="preserve">по</w:t>
      </w:r>
      <w:r>
        <w:rPr>
          <w:spacing w:val="-5"/>
          <w:sz w:val="24"/>
          <w:szCs w:val="24"/>
        </w:rPr>
        <w:t xml:space="preserve"> </w:t>
      </w:r>
      <w:r>
        <w:rPr>
          <w:spacing w:val="-5"/>
          <w:sz w:val="24"/>
          <w:szCs w:val="24"/>
        </w:rPr>
        <w:t xml:space="preserve">централизованным </w:t>
      </w:r>
      <w:r>
        <w:rPr>
          <w:sz w:val="24"/>
          <w:szCs w:val="24"/>
        </w:rPr>
        <w:t xml:space="preserve">котельным</w:t>
      </w:r>
      <w:r>
        <w:rPr>
          <w:sz w:val="24"/>
          <w:szCs w:val="24"/>
        </w:rPr>
      </w:r>
      <w:r>
        <w:rPr>
          <w:sz w:val="24"/>
          <w:szCs w:val="24"/>
        </w:rPr>
      </w:r>
    </w:p>
    <w:p>
      <w:pPr>
        <w:pStyle w:val="1247"/>
        <w:spacing w:before="8"/>
        <w:rPr>
          <w:b/>
          <w:sz w:val="10"/>
        </w:rPr>
      </w:pPr>
      <w:r>
        <w:rPr>
          <w:b/>
          <w:sz w:val="10"/>
        </w:rPr>
      </w:r>
      <w:r>
        <w:rPr>
          <w:b/>
          <w:sz w:val="10"/>
        </w:rPr>
      </w:r>
      <w:r>
        <w:rPr>
          <w:b/>
          <w:sz w:val="10"/>
        </w:rPr>
      </w:r>
    </w:p>
    <w:tbl>
      <w:tblPr>
        <w:tblStyle w:val="1237"/>
        <w:tblW w:w="4863" w:type="pct"/>
        <w:tblInd w:w="150"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Look w:val="01E0" w:firstRow="1" w:lastRow="1" w:firstColumn="1" w:lastColumn="1" w:noHBand="0" w:noVBand="0"/>
      </w:tblPr>
      <w:tblGrid>
        <w:gridCol w:w="2536"/>
        <w:gridCol w:w="1423"/>
        <w:gridCol w:w="1273"/>
        <w:gridCol w:w="962"/>
        <w:gridCol w:w="1120"/>
        <w:gridCol w:w="1116"/>
        <w:gridCol w:w="1193"/>
      </w:tblGrid>
      <w:tr>
        <w:tblPrEx/>
        <w:trPr>
          <w:trHeight w:val="65"/>
        </w:trPr>
        <w:tc>
          <w:tcPr>
            <w:tcW w:w="1317" w:type="pct"/>
            <w:vAlign w:val="center"/>
            <w:textDirection w:val="lrTb"/>
            <w:noWrap w:val="false"/>
          </w:tcPr>
          <w:p>
            <w:pPr>
              <w:pStyle w:val="1251"/>
              <w:rPr>
                <w:sz w:val="20"/>
              </w:rPr>
            </w:pPr>
            <w:r>
              <w:rPr>
                <w:sz w:val="20"/>
                <w:szCs w:val="20"/>
              </w:rPr>
              <w:t xml:space="preserve">Источник тепловой энергии</w:t>
            </w:r>
            <w:r>
              <w:rPr>
                <w:sz w:val="20"/>
              </w:rPr>
            </w:r>
            <w:r>
              <w:rPr>
                <w:sz w:val="20"/>
              </w:rPr>
            </w:r>
          </w:p>
        </w:tc>
        <w:tc>
          <w:tcPr>
            <w:tcW w:w="739" w:type="pct"/>
            <w:vAlign w:val="center"/>
            <w:textDirection w:val="lrTb"/>
            <w:noWrap w:val="false"/>
          </w:tcPr>
          <w:p>
            <w:pPr>
              <w:pStyle w:val="1251"/>
              <w:rPr>
                <w:sz w:val="20"/>
              </w:rPr>
            </w:pPr>
            <w:r>
              <w:rPr>
                <w:spacing w:val="-2"/>
                <w:sz w:val="20"/>
              </w:rPr>
              <w:t xml:space="preserve">Установленная</w:t>
            </w:r>
            <w:r>
              <w:rPr>
                <w:sz w:val="20"/>
              </w:rPr>
              <w:t xml:space="preserve"> мощность,</w:t>
            </w:r>
            <w:r>
              <w:rPr>
                <w:spacing w:val="-8"/>
                <w:sz w:val="20"/>
              </w:rPr>
              <w:t xml:space="preserve"> </w:t>
            </w:r>
            <w:r>
              <w:rPr>
                <w:spacing w:val="-2"/>
                <w:sz w:val="20"/>
              </w:rPr>
              <w:t xml:space="preserve">Гкал/ч</w:t>
            </w:r>
            <w:r>
              <w:rPr>
                <w:sz w:val="20"/>
              </w:rPr>
            </w:r>
            <w:r>
              <w:rPr>
                <w:sz w:val="20"/>
              </w:rPr>
            </w:r>
          </w:p>
        </w:tc>
        <w:tc>
          <w:tcPr>
            <w:tcW w:w="661" w:type="pct"/>
            <w:vAlign w:val="center"/>
            <w:textDirection w:val="lrTb"/>
            <w:noWrap w:val="false"/>
          </w:tcPr>
          <w:p>
            <w:pPr>
              <w:pStyle w:val="1251"/>
              <w:rPr>
                <w:sz w:val="20"/>
              </w:rPr>
            </w:pPr>
            <w:r>
              <w:rPr>
                <w:spacing w:val="-2"/>
                <w:sz w:val="20"/>
              </w:rPr>
              <w:t xml:space="preserve">Располагаемая</w:t>
            </w:r>
            <w:r>
              <w:rPr>
                <w:sz w:val="20"/>
              </w:rPr>
              <w:t xml:space="preserve"> тепловая</w:t>
            </w:r>
            <w:r>
              <w:rPr>
                <w:spacing w:val="-13"/>
                <w:sz w:val="20"/>
              </w:rPr>
              <w:t xml:space="preserve"> </w:t>
            </w:r>
            <w:r>
              <w:rPr>
                <w:sz w:val="20"/>
              </w:rPr>
              <w:t xml:space="preserve">мощность, </w:t>
            </w:r>
            <w:r>
              <w:rPr>
                <w:spacing w:val="-2"/>
                <w:sz w:val="20"/>
              </w:rPr>
              <w:t xml:space="preserve">Гкал/ч</w:t>
            </w:r>
            <w:r>
              <w:rPr>
                <w:sz w:val="20"/>
              </w:rPr>
            </w:r>
            <w:r>
              <w:rPr>
                <w:sz w:val="20"/>
              </w:rPr>
            </w:r>
          </w:p>
        </w:tc>
        <w:tc>
          <w:tcPr>
            <w:tcW w:w="500" w:type="pct"/>
            <w:vAlign w:val="center"/>
            <w:textDirection w:val="lrTb"/>
            <w:noWrap w:val="false"/>
          </w:tcPr>
          <w:p>
            <w:pPr>
              <w:pStyle w:val="1251"/>
              <w:rPr>
                <w:spacing w:val="-1"/>
                <w:sz w:val="20"/>
                <w:szCs w:val="20"/>
              </w:rPr>
            </w:pPr>
            <w:r>
              <w:rPr>
                <w:spacing w:val="-1"/>
                <w:sz w:val="20"/>
                <w:szCs w:val="20"/>
              </w:rPr>
              <w:t xml:space="preserve">Собственные нужды, </w:t>
            </w:r>
            <w:r>
              <w:rPr>
                <w:spacing w:val="-1"/>
                <w:sz w:val="20"/>
                <w:szCs w:val="20"/>
              </w:rPr>
            </w:r>
            <w:r>
              <w:rPr>
                <w:spacing w:val="-1"/>
                <w:sz w:val="20"/>
                <w:szCs w:val="20"/>
              </w:rPr>
            </w:r>
          </w:p>
          <w:p>
            <w:pPr>
              <w:pStyle w:val="1251"/>
              <w:rPr>
                <w:sz w:val="20"/>
              </w:rPr>
            </w:pPr>
            <w:r>
              <w:rPr>
                <w:spacing w:val="-1"/>
                <w:sz w:val="20"/>
                <w:szCs w:val="20"/>
              </w:rPr>
              <w:t xml:space="preserve">Гкал/ч</w:t>
            </w:r>
            <w:r>
              <w:rPr>
                <w:sz w:val="20"/>
              </w:rPr>
            </w:r>
            <w:r>
              <w:rPr>
                <w:sz w:val="20"/>
              </w:rPr>
            </w:r>
          </w:p>
        </w:tc>
        <w:tc>
          <w:tcPr>
            <w:tcW w:w="582" w:type="pct"/>
            <w:vAlign w:val="center"/>
            <w:textDirection w:val="lrTb"/>
            <w:noWrap w:val="false"/>
          </w:tcPr>
          <w:p>
            <w:pPr>
              <w:pStyle w:val="1251"/>
              <w:rPr>
                <w:sz w:val="20"/>
              </w:rPr>
            </w:pPr>
            <w:r>
              <w:rPr>
                <w:sz w:val="20"/>
              </w:rPr>
              <w:t xml:space="preserve">Тепловая</w:t>
            </w:r>
            <w:r>
              <w:rPr>
                <w:spacing w:val="-9"/>
                <w:sz w:val="20"/>
              </w:rPr>
              <w:t xml:space="preserve"> </w:t>
            </w:r>
            <w:r>
              <w:rPr>
                <w:spacing w:val="-2"/>
                <w:sz w:val="20"/>
              </w:rPr>
              <w:t xml:space="preserve">мощность</w:t>
            </w:r>
            <w:r>
              <w:rPr>
                <w:sz w:val="20"/>
              </w:rPr>
              <w:t xml:space="preserve"> нетто,</w:t>
            </w:r>
            <w:r>
              <w:rPr>
                <w:spacing w:val="-8"/>
                <w:sz w:val="20"/>
              </w:rPr>
              <w:t xml:space="preserve"> </w:t>
            </w:r>
            <w:r>
              <w:rPr>
                <w:spacing w:val="-2"/>
                <w:sz w:val="20"/>
              </w:rPr>
              <w:t xml:space="preserve">Гкал/ч</w:t>
            </w:r>
            <w:r>
              <w:rPr>
                <w:sz w:val="20"/>
              </w:rPr>
            </w:r>
            <w:r>
              <w:rPr>
                <w:sz w:val="20"/>
              </w:rPr>
            </w:r>
          </w:p>
        </w:tc>
        <w:tc>
          <w:tcPr>
            <w:tcW w:w="580" w:type="pct"/>
            <w:textDirection w:val="lrTb"/>
            <w:noWrap w:val="false"/>
          </w:tcPr>
          <w:p>
            <w:pPr>
              <w:pStyle w:val="1251"/>
              <w:rPr>
                <w:sz w:val="20"/>
              </w:rPr>
            </w:pPr>
            <w:r>
              <w:rPr>
                <w:sz w:val="20"/>
              </w:rPr>
              <w:t xml:space="preserve">Потери тепловой мощности</w:t>
            </w:r>
            <w:r>
              <w:rPr>
                <w:spacing w:val="-13"/>
                <w:sz w:val="20"/>
              </w:rPr>
              <w:t xml:space="preserve"> </w:t>
            </w:r>
            <w:r>
              <w:rPr>
                <w:sz w:val="20"/>
              </w:rPr>
              <w:t xml:space="preserve">в</w:t>
            </w:r>
            <w:r>
              <w:rPr>
                <w:spacing w:val="-12"/>
                <w:sz w:val="20"/>
              </w:rPr>
              <w:t xml:space="preserve"> </w:t>
            </w:r>
            <w:r>
              <w:rPr>
                <w:sz w:val="20"/>
              </w:rPr>
              <w:t xml:space="preserve">тепловых сетях,</w:t>
            </w:r>
            <w:r>
              <w:rPr>
                <w:spacing w:val="-9"/>
                <w:sz w:val="20"/>
              </w:rPr>
              <w:t xml:space="preserve"> </w:t>
            </w:r>
            <w:r>
              <w:rPr>
                <w:spacing w:val="-2"/>
                <w:sz w:val="20"/>
              </w:rPr>
              <w:t xml:space="preserve">Гкал/ч</w:t>
            </w:r>
            <w:r>
              <w:rPr>
                <w:sz w:val="20"/>
              </w:rPr>
            </w:r>
            <w:r>
              <w:rPr>
                <w:sz w:val="20"/>
              </w:rPr>
            </w:r>
          </w:p>
        </w:tc>
        <w:tc>
          <w:tcPr>
            <w:tcW w:w="620" w:type="pct"/>
            <w:vAlign w:val="center"/>
            <w:textDirection w:val="lrTb"/>
            <w:noWrap w:val="false"/>
          </w:tcPr>
          <w:p>
            <w:pPr>
              <w:pStyle w:val="1251"/>
              <w:rPr>
                <w:sz w:val="20"/>
              </w:rPr>
            </w:pPr>
            <w:r>
              <w:rPr>
                <w:spacing w:val="-2"/>
                <w:sz w:val="20"/>
              </w:rPr>
              <w:t xml:space="preserve">Присоединённая</w:t>
            </w:r>
            <w:r>
              <w:rPr>
                <w:sz w:val="20"/>
              </w:rPr>
              <w:t xml:space="preserve"> тепловая</w:t>
            </w:r>
            <w:r>
              <w:rPr>
                <w:spacing w:val="-13"/>
                <w:sz w:val="20"/>
              </w:rPr>
              <w:t xml:space="preserve"> </w:t>
            </w:r>
            <w:r>
              <w:rPr>
                <w:sz w:val="20"/>
              </w:rPr>
              <w:t xml:space="preserve">нагрузка, </w:t>
            </w:r>
            <w:r>
              <w:rPr>
                <w:spacing w:val="-2"/>
                <w:sz w:val="20"/>
              </w:rPr>
              <w:t xml:space="preserve">Гкал/ч</w:t>
            </w:r>
            <w:r>
              <w:rPr>
                <w:sz w:val="20"/>
              </w:rPr>
            </w:r>
            <w:r>
              <w:rPr>
                <w:sz w:val="20"/>
              </w:rPr>
            </w:r>
          </w:p>
        </w:tc>
      </w:tr>
      <w:tr>
        <w:tblPrEx/>
        <w:trPr>
          <w:trHeight w:val="65"/>
        </w:trPr>
        <w:tc>
          <w:tcPr>
            <w:tcW w:w="1317" w:type="pct"/>
            <w:vAlign w:val="center"/>
            <w:textDirection w:val="lrTb"/>
            <w:noWrap w:val="false"/>
          </w:tcPr>
          <w:p>
            <w:pPr>
              <w:jc w:val="center"/>
              <w:rPr>
                <w:sz w:val="20"/>
                <w:szCs w:val="20"/>
              </w:rPr>
            </w:pPr>
            <w:r>
              <w:rPr>
                <w:color w:val="000000"/>
                <w:sz w:val="20"/>
                <w:szCs w:val="20"/>
              </w:rPr>
              <w:t xml:space="preserve">Котельная </w:t>
            </w:r>
            <w:r>
              <w:rPr>
                <w:rFonts w:ascii="Liberation Serif" w:hAnsi="Liberation Serif" w:cs="Calibri"/>
                <w:color w:val="000000"/>
                <w:sz w:val="20"/>
                <w:szCs w:val="20"/>
              </w:rPr>
              <w:t xml:space="preserve">п. Новый Мир, ЛПДС «Юргамыш»</w:t>
            </w:r>
            <w:r>
              <w:rPr>
                <w:sz w:val="20"/>
                <w:szCs w:val="20"/>
              </w:rPr>
            </w:r>
            <w:r>
              <w:rPr>
                <w:sz w:val="20"/>
                <w:szCs w:val="20"/>
              </w:rPr>
            </w:r>
          </w:p>
        </w:tc>
        <w:tc>
          <w:tcPr>
            <w:tcW w:w="739" w:type="pct"/>
            <w:vAlign w:val="center"/>
            <w:textDirection w:val="lrTb"/>
            <w:noWrap w:val="false"/>
          </w:tcPr>
          <w:p>
            <w:pPr>
              <w:pStyle w:val="1251"/>
              <w:rPr>
                <w:sz w:val="20"/>
              </w:rPr>
            </w:pPr>
            <w:r>
              <w:rPr>
                <w:sz w:val="20"/>
              </w:rPr>
              <w:t xml:space="preserve">21,00</w:t>
            </w:r>
            <w:r>
              <w:rPr>
                <w:sz w:val="20"/>
              </w:rPr>
            </w:r>
            <w:r>
              <w:rPr>
                <w:sz w:val="20"/>
              </w:rPr>
            </w:r>
          </w:p>
        </w:tc>
        <w:tc>
          <w:tcPr>
            <w:tcW w:w="661" w:type="pct"/>
            <w:vAlign w:val="center"/>
            <w:textDirection w:val="lrTb"/>
            <w:noWrap w:val="false"/>
          </w:tcPr>
          <w:p>
            <w:pPr>
              <w:pStyle w:val="1251"/>
              <w:rPr>
                <w:sz w:val="20"/>
              </w:rPr>
            </w:pPr>
            <w:r>
              <w:rPr>
                <w:sz w:val="20"/>
              </w:rPr>
              <w:t xml:space="preserve">13,20</w:t>
            </w:r>
            <w:r>
              <w:rPr>
                <w:sz w:val="20"/>
              </w:rPr>
            </w:r>
            <w:r>
              <w:rPr>
                <w:sz w:val="20"/>
              </w:rPr>
            </w:r>
          </w:p>
        </w:tc>
        <w:tc>
          <w:tcPr>
            <w:tcW w:w="500" w:type="pct"/>
            <w:vAlign w:val="center"/>
            <w:textDirection w:val="lrTb"/>
            <w:noWrap w:val="false"/>
          </w:tcPr>
          <w:p>
            <w:pPr>
              <w:pStyle w:val="1251"/>
              <w:rPr>
                <w:sz w:val="20"/>
              </w:rPr>
            </w:pPr>
            <w:r>
              <w:rPr>
                <w:sz w:val="20"/>
              </w:rPr>
              <w:t xml:space="preserve">0,02</w:t>
            </w:r>
            <w:r>
              <w:rPr>
                <w:sz w:val="20"/>
              </w:rPr>
            </w:r>
            <w:r>
              <w:rPr>
                <w:sz w:val="20"/>
              </w:rPr>
            </w:r>
          </w:p>
        </w:tc>
        <w:tc>
          <w:tcPr>
            <w:tcW w:w="582" w:type="pct"/>
            <w:vAlign w:val="center"/>
            <w:textDirection w:val="lrTb"/>
            <w:noWrap w:val="false"/>
          </w:tcPr>
          <w:p>
            <w:pPr>
              <w:pStyle w:val="1251"/>
              <w:rPr>
                <w:sz w:val="20"/>
              </w:rPr>
            </w:pPr>
            <w:r>
              <w:rPr>
                <w:sz w:val="20"/>
              </w:rPr>
              <w:t xml:space="preserve">13,18</w:t>
            </w:r>
            <w:r>
              <w:rPr>
                <w:sz w:val="20"/>
              </w:rPr>
            </w:r>
            <w:r>
              <w:rPr>
                <w:sz w:val="20"/>
              </w:rPr>
            </w:r>
          </w:p>
        </w:tc>
        <w:tc>
          <w:tcPr>
            <w:tcW w:w="580" w:type="pct"/>
            <w:vAlign w:val="center"/>
            <w:textDirection w:val="lrTb"/>
            <w:noWrap w:val="false"/>
          </w:tcPr>
          <w:p>
            <w:pPr>
              <w:pStyle w:val="1251"/>
              <w:rPr>
                <w:sz w:val="20"/>
              </w:rPr>
            </w:pPr>
            <w:r>
              <w:rPr>
                <w:sz w:val="20"/>
              </w:rPr>
              <w:t xml:space="preserve">0,372</w:t>
            </w:r>
            <w:r>
              <w:rPr>
                <w:sz w:val="20"/>
              </w:rPr>
            </w:r>
            <w:r>
              <w:rPr>
                <w:sz w:val="20"/>
              </w:rPr>
            </w:r>
          </w:p>
        </w:tc>
        <w:tc>
          <w:tcPr>
            <w:tcW w:w="620" w:type="pct"/>
            <w:vAlign w:val="center"/>
            <w:textDirection w:val="lrTb"/>
            <w:noWrap w:val="false"/>
          </w:tcPr>
          <w:p>
            <w:pPr>
              <w:jc w:val="center"/>
              <w:widowControl/>
              <w:rPr>
                <w:rFonts w:eastAsia="Calibri"/>
                <w:sz w:val="20"/>
                <w:szCs w:val="20"/>
              </w:rPr>
            </w:pPr>
            <w:r>
              <w:rPr>
                <w:rFonts w:eastAsia="Calibri"/>
                <w:sz w:val="20"/>
                <w:szCs w:val="20"/>
              </w:rPr>
              <w:t xml:space="preserve">7,798</w:t>
            </w:r>
            <w:r>
              <w:rPr>
                <w:rFonts w:eastAsia="Calibri"/>
                <w:sz w:val="20"/>
                <w:szCs w:val="20"/>
              </w:rPr>
            </w:r>
            <w:r>
              <w:rPr>
                <w:rFonts w:eastAsia="Calibri"/>
                <w:sz w:val="20"/>
                <w:szCs w:val="20"/>
              </w:rPr>
            </w:r>
          </w:p>
        </w:tc>
      </w:tr>
      <w:tr>
        <w:tblPrEx/>
        <w:trPr>
          <w:trHeight w:val="220"/>
        </w:trPr>
        <w:tc>
          <w:tcPr>
            <w:tcW w:w="1317" w:type="pct"/>
            <w:vAlign w:val="center"/>
            <w:textDirection w:val="lrTb"/>
            <w:noWrap w:val="false"/>
          </w:tcPr>
          <w:p>
            <w:pPr>
              <w:jc w:val="center"/>
              <w:rPr>
                <w:sz w:val="20"/>
                <w:szCs w:val="20"/>
              </w:rPr>
            </w:pPr>
            <w:r>
              <w:rPr>
                <w:color w:val="000000"/>
                <w:sz w:val="20"/>
                <w:szCs w:val="20"/>
              </w:rPr>
              <w:t xml:space="preserve">Котельная </w:t>
            </w:r>
            <w:r>
              <w:rPr>
                <w:rFonts w:ascii="Liberation Serif" w:hAnsi="Liberation Serif" w:cs="Calibri"/>
                <w:color w:val="000000"/>
                <w:sz w:val="20"/>
                <w:szCs w:val="20"/>
              </w:rPr>
              <w:t xml:space="preserve">р.п.  Юргамыш, ул. Железнодорожная, территория тягловой подстанции ОАО «РЖД»</w:t>
            </w:r>
            <w:r>
              <w:rPr>
                <w:sz w:val="20"/>
                <w:szCs w:val="20"/>
              </w:rPr>
            </w:r>
            <w:r>
              <w:rPr>
                <w:sz w:val="20"/>
                <w:szCs w:val="20"/>
              </w:rPr>
            </w:r>
          </w:p>
        </w:tc>
        <w:tc>
          <w:tcPr>
            <w:tcW w:w="739" w:type="pct"/>
            <w:vAlign w:val="center"/>
            <w:textDirection w:val="lrTb"/>
            <w:noWrap w:val="false"/>
          </w:tcPr>
          <w:p>
            <w:pPr>
              <w:pStyle w:val="1251"/>
              <w:rPr>
                <w:sz w:val="20"/>
              </w:rPr>
            </w:pPr>
            <w:r>
              <w:rPr>
                <w:sz w:val="20"/>
              </w:rPr>
              <w:t xml:space="preserve">0,963</w:t>
            </w:r>
            <w:r>
              <w:rPr>
                <w:sz w:val="20"/>
              </w:rPr>
            </w:r>
            <w:r>
              <w:rPr>
                <w:sz w:val="20"/>
              </w:rPr>
            </w:r>
          </w:p>
        </w:tc>
        <w:tc>
          <w:tcPr>
            <w:tcW w:w="661" w:type="pct"/>
            <w:vAlign w:val="center"/>
            <w:textDirection w:val="lrTb"/>
            <w:noWrap w:val="false"/>
          </w:tcPr>
          <w:p>
            <w:pPr>
              <w:pStyle w:val="1251"/>
              <w:rPr>
                <w:sz w:val="20"/>
              </w:rPr>
            </w:pPr>
            <w:r>
              <w:rPr>
                <w:sz w:val="20"/>
              </w:rPr>
              <w:t xml:space="preserve">0,915</w:t>
            </w:r>
            <w:r>
              <w:rPr>
                <w:sz w:val="20"/>
              </w:rPr>
            </w:r>
            <w:r>
              <w:rPr>
                <w:sz w:val="20"/>
              </w:rPr>
            </w:r>
          </w:p>
        </w:tc>
        <w:tc>
          <w:tcPr>
            <w:tcW w:w="500" w:type="pct"/>
            <w:vAlign w:val="center"/>
            <w:textDirection w:val="lrTb"/>
            <w:noWrap w:val="false"/>
          </w:tcPr>
          <w:p>
            <w:pPr>
              <w:jc w:val="center"/>
            </w:pPr>
            <w:r>
              <w:t xml:space="preserve">0,048</w:t>
            </w:r>
            <w:r/>
          </w:p>
        </w:tc>
        <w:tc>
          <w:tcPr>
            <w:tcW w:w="582" w:type="pct"/>
            <w:vAlign w:val="center"/>
            <w:textDirection w:val="lrTb"/>
            <w:noWrap w:val="false"/>
          </w:tcPr>
          <w:p>
            <w:pPr>
              <w:pStyle w:val="1251"/>
              <w:rPr>
                <w:sz w:val="20"/>
              </w:rPr>
            </w:pPr>
            <w:r>
              <w:rPr>
                <w:sz w:val="20"/>
              </w:rPr>
              <w:t xml:space="preserve">0,867</w:t>
            </w:r>
            <w:r>
              <w:rPr>
                <w:sz w:val="20"/>
              </w:rPr>
            </w:r>
            <w:r>
              <w:rPr>
                <w:sz w:val="20"/>
              </w:rPr>
            </w:r>
          </w:p>
        </w:tc>
        <w:tc>
          <w:tcPr>
            <w:tcW w:w="580" w:type="pct"/>
            <w:vAlign w:val="center"/>
            <w:textDirection w:val="lrTb"/>
            <w:noWrap w:val="false"/>
          </w:tcPr>
          <w:p>
            <w:pPr>
              <w:jc w:val="center"/>
            </w:pPr>
            <w:r>
              <w:t xml:space="preserve">0,0708</w:t>
            </w:r>
            <w:r/>
          </w:p>
        </w:tc>
        <w:tc>
          <w:tcPr>
            <w:tcW w:w="620" w:type="pct"/>
            <w:vAlign w:val="center"/>
            <w:textDirection w:val="lrTb"/>
            <w:noWrap w:val="false"/>
          </w:tcPr>
          <w:p>
            <w:pPr>
              <w:pStyle w:val="1251"/>
              <w:rPr>
                <w:sz w:val="20"/>
                <w:szCs w:val="20"/>
              </w:rPr>
            </w:pPr>
            <w:r>
              <w:rPr>
                <w:sz w:val="20"/>
                <w:szCs w:val="20"/>
              </w:rPr>
              <w:t xml:space="preserve">0,3732</w:t>
            </w:r>
            <w:r>
              <w:rPr>
                <w:sz w:val="20"/>
                <w:szCs w:val="20"/>
              </w:rPr>
            </w:r>
            <w:r>
              <w:rPr>
                <w:sz w:val="20"/>
                <w:szCs w:val="20"/>
              </w:rPr>
            </w:r>
          </w:p>
        </w:tc>
      </w:tr>
      <w:tr>
        <w:tblPrEx/>
        <w:trPr>
          <w:trHeight w:val="220"/>
        </w:trPr>
        <w:tc>
          <w:tcPr>
            <w:tcW w:w="1317" w:type="pct"/>
            <w:vAlign w:val="center"/>
            <w:textDirection w:val="lrTb"/>
            <w:noWrap w:val="false"/>
          </w:tcPr>
          <w:p>
            <w:pPr>
              <w:jc w:val="center"/>
              <w:rPr>
                <w:sz w:val="20"/>
                <w:szCs w:val="20"/>
              </w:rPr>
            </w:pPr>
            <w:r>
              <w:rPr>
                <w:sz w:val="20"/>
                <w:szCs w:val="20"/>
              </w:rPr>
              <w:t xml:space="preserve">Котельная ФКУ ИК №7 УФСИН России по Курганской области,</w:t>
            </w:r>
            <w:r>
              <w:rPr>
                <w:rFonts w:ascii="Liberation Serif" w:hAnsi="Liberation Serif" w:cs="Calibri"/>
                <w:color w:val="000000"/>
                <w:sz w:val="20"/>
                <w:szCs w:val="20"/>
              </w:rPr>
              <w:t xml:space="preserve"> Курганская область, р.п. Юргамыш, ул. Труда, 147</w:t>
            </w:r>
            <w:r>
              <w:rPr>
                <w:sz w:val="20"/>
                <w:szCs w:val="20"/>
              </w:rPr>
            </w:r>
            <w:r>
              <w:rPr>
                <w:sz w:val="20"/>
                <w:szCs w:val="20"/>
              </w:rPr>
            </w:r>
          </w:p>
        </w:tc>
        <w:tc>
          <w:tcPr>
            <w:tcW w:w="739" w:type="pct"/>
            <w:vAlign w:val="center"/>
            <w:textDirection w:val="lrTb"/>
            <w:noWrap w:val="false"/>
          </w:tcPr>
          <w:p>
            <w:pPr>
              <w:pStyle w:val="1251"/>
              <w:rPr>
                <w:sz w:val="20"/>
              </w:rPr>
            </w:pPr>
            <w:r>
              <w:rPr>
                <w:sz w:val="20"/>
              </w:rPr>
              <w:t xml:space="preserve">6,15</w:t>
            </w:r>
            <w:r>
              <w:rPr>
                <w:sz w:val="20"/>
              </w:rPr>
            </w:r>
            <w:r>
              <w:rPr>
                <w:sz w:val="20"/>
              </w:rPr>
            </w:r>
          </w:p>
        </w:tc>
        <w:tc>
          <w:tcPr>
            <w:tcW w:w="661" w:type="pct"/>
            <w:vAlign w:val="center"/>
            <w:textDirection w:val="lrTb"/>
            <w:noWrap w:val="false"/>
          </w:tcPr>
          <w:p>
            <w:pPr>
              <w:pStyle w:val="1251"/>
              <w:rPr>
                <w:sz w:val="20"/>
              </w:rPr>
            </w:pPr>
            <w:r>
              <w:rPr>
                <w:sz w:val="20"/>
              </w:rPr>
              <w:t xml:space="preserve">6,15</w:t>
            </w:r>
            <w:r>
              <w:rPr>
                <w:sz w:val="20"/>
              </w:rPr>
            </w:r>
            <w:r>
              <w:rPr>
                <w:sz w:val="20"/>
              </w:rPr>
            </w:r>
          </w:p>
        </w:tc>
        <w:tc>
          <w:tcPr>
            <w:tcW w:w="500" w:type="pct"/>
            <w:vAlign w:val="center"/>
            <w:textDirection w:val="lrTb"/>
            <w:noWrap w:val="false"/>
          </w:tcPr>
          <w:p>
            <w:pPr>
              <w:jc w:val="center"/>
            </w:pPr>
            <w:r>
              <w:t xml:space="preserve">н/д</w:t>
            </w:r>
            <w:r/>
          </w:p>
        </w:tc>
        <w:tc>
          <w:tcPr>
            <w:tcW w:w="582" w:type="pct"/>
            <w:vAlign w:val="center"/>
            <w:textDirection w:val="lrTb"/>
            <w:noWrap w:val="false"/>
          </w:tcPr>
          <w:p>
            <w:pPr>
              <w:pStyle w:val="1251"/>
              <w:rPr>
                <w:sz w:val="20"/>
              </w:rPr>
            </w:pPr>
            <w:r>
              <w:rPr>
                <w:sz w:val="20"/>
              </w:rPr>
              <w:t xml:space="preserve">6,15</w:t>
            </w:r>
            <w:r>
              <w:rPr>
                <w:sz w:val="20"/>
              </w:rPr>
            </w:r>
            <w:r>
              <w:rPr>
                <w:sz w:val="20"/>
              </w:rPr>
            </w:r>
          </w:p>
        </w:tc>
        <w:tc>
          <w:tcPr>
            <w:tcW w:w="580" w:type="pct"/>
            <w:vAlign w:val="center"/>
            <w:textDirection w:val="lrTb"/>
            <w:noWrap w:val="false"/>
          </w:tcPr>
          <w:p>
            <w:pPr>
              <w:jc w:val="center"/>
            </w:pPr>
            <w:r>
              <w:t xml:space="preserve">н/д</w:t>
            </w:r>
            <w:r/>
          </w:p>
        </w:tc>
        <w:tc>
          <w:tcPr>
            <w:tcW w:w="620" w:type="pct"/>
            <w:vAlign w:val="center"/>
            <w:textDirection w:val="lrTb"/>
            <w:noWrap w:val="false"/>
          </w:tcPr>
          <w:p>
            <w:pPr>
              <w:pStyle w:val="1251"/>
              <w:rPr>
                <w:sz w:val="20"/>
                <w:szCs w:val="20"/>
              </w:rPr>
            </w:pPr>
            <w:r>
              <w:t xml:space="preserve">н/д</w:t>
            </w:r>
            <w:r>
              <w:rPr>
                <w:sz w:val="20"/>
                <w:szCs w:val="20"/>
              </w:rPr>
            </w:r>
            <w:r>
              <w:rPr>
                <w:sz w:val="20"/>
                <w:szCs w:val="20"/>
              </w:rPr>
            </w:r>
          </w:p>
        </w:tc>
      </w:tr>
      <w:tr>
        <w:tblPrEx/>
        <w:trPr>
          <w:trHeight w:val="65"/>
        </w:trPr>
        <w:tc>
          <w:tcPr>
            <w:tcW w:w="1317" w:type="pct"/>
            <w:vAlign w:val="center"/>
            <w:textDirection w:val="lrTb"/>
            <w:noWrap w:val="false"/>
          </w:tcPr>
          <w:p>
            <w:pPr>
              <w:jc w:val="center"/>
              <w:rPr>
                <w:sz w:val="20"/>
                <w:szCs w:val="20"/>
              </w:rPr>
            </w:pPr>
            <w:r>
              <w:rPr>
                <w:sz w:val="20"/>
                <w:szCs w:val="20"/>
              </w:rPr>
              <w:t xml:space="preserve">Котельная </w:t>
            </w:r>
            <w:r>
              <w:rPr>
                <w:rFonts w:ascii="Liberation Serif" w:hAnsi="Liberation Serif" w:cs="Calibri"/>
                <w:color w:val="000000"/>
                <w:sz w:val="20"/>
                <w:szCs w:val="20"/>
              </w:rPr>
              <w:t xml:space="preserve">р.п. Юргамыш, ул. Ленина, 47а</w:t>
            </w:r>
            <w:r>
              <w:rPr>
                <w:sz w:val="20"/>
                <w:szCs w:val="20"/>
              </w:rPr>
            </w:r>
            <w:r>
              <w:rPr>
                <w:sz w:val="20"/>
                <w:szCs w:val="20"/>
              </w:rPr>
            </w:r>
          </w:p>
        </w:tc>
        <w:tc>
          <w:tcPr>
            <w:tcW w:w="739" w:type="pct"/>
            <w:vAlign w:val="center"/>
            <w:textDirection w:val="lrTb"/>
            <w:noWrap w:val="false"/>
          </w:tcPr>
          <w:p>
            <w:pPr>
              <w:pStyle w:val="1251"/>
              <w:rPr>
                <w:sz w:val="20"/>
              </w:rPr>
            </w:pPr>
            <w:r>
              <w:rPr>
                <w:sz w:val="20"/>
              </w:rPr>
              <w:t xml:space="preserve">4,81</w:t>
            </w:r>
            <w:r>
              <w:rPr>
                <w:sz w:val="20"/>
              </w:rPr>
            </w:r>
            <w:r>
              <w:rPr>
                <w:sz w:val="20"/>
              </w:rPr>
            </w:r>
          </w:p>
        </w:tc>
        <w:tc>
          <w:tcPr>
            <w:tcW w:w="661" w:type="pct"/>
            <w:vAlign w:val="center"/>
            <w:textDirection w:val="lrTb"/>
            <w:noWrap w:val="false"/>
          </w:tcPr>
          <w:p>
            <w:pPr>
              <w:pStyle w:val="1251"/>
              <w:rPr>
                <w:sz w:val="20"/>
              </w:rPr>
            </w:pPr>
            <w:r>
              <w:rPr>
                <w:sz w:val="20"/>
              </w:rPr>
              <w:t xml:space="preserve">4,761</w:t>
            </w:r>
            <w:r>
              <w:rPr>
                <w:sz w:val="20"/>
              </w:rPr>
            </w:r>
            <w:r>
              <w:rPr>
                <w:sz w:val="20"/>
              </w:rPr>
            </w:r>
          </w:p>
        </w:tc>
        <w:tc>
          <w:tcPr>
            <w:tcW w:w="500" w:type="pct"/>
            <w:vAlign w:val="center"/>
            <w:textDirection w:val="lrTb"/>
            <w:noWrap w:val="false"/>
          </w:tcPr>
          <w:p>
            <w:pPr>
              <w:jc w:val="center"/>
            </w:pPr>
            <w:r>
              <w:t xml:space="preserve">0,07</w:t>
            </w:r>
            <w:r/>
          </w:p>
        </w:tc>
        <w:tc>
          <w:tcPr>
            <w:tcW w:w="582" w:type="pct"/>
            <w:vAlign w:val="center"/>
            <w:textDirection w:val="lrTb"/>
            <w:noWrap w:val="false"/>
          </w:tcPr>
          <w:p>
            <w:pPr>
              <w:pStyle w:val="1251"/>
              <w:rPr>
                <w:sz w:val="20"/>
              </w:rPr>
            </w:pPr>
            <w:r>
              <w:rPr>
                <w:sz w:val="20"/>
              </w:rPr>
              <w:t xml:space="preserve">4,691</w:t>
            </w:r>
            <w:r>
              <w:rPr>
                <w:sz w:val="20"/>
              </w:rPr>
            </w:r>
            <w:r>
              <w:rPr>
                <w:sz w:val="20"/>
              </w:rPr>
            </w:r>
          </w:p>
        </w:tc>
        <w:tc>
          <w:tcPr>
            <w:tcW w:w="580" w:type="pct"/>
            <w:vAlign w:val="center"/>
            <w:textDirection w:val="lrTb"/>
            <w:noWrap w:val="false"/>
          </w:tcPr>
          <w:p>
            <w:pPr>
              <w:jc w:val="center"/>
            </w:pPr>
            <w:r>
              <w:t xml:space="preserve">0,085</w:t>
            </w:r>
            <w:r/>
          </w:p>
        </w:tc>
        <w:tc>
          <w:tcPr>
            <w:tcW w:w="620" w:type="pct"/>
            <w:vAlign w:val="center"/>
            <w:textDirection w:val="lrTb"/>
            <w:noWrap w:val="false"/>
          </w:tcPr>
          <w:p>
            <w:pPr>
              <w:pStyle w:val="1251"/>
              <w:rPr>
                <w:sz w:val="20"/>
                <w:szCs w:val="20"/>
              </w:rPr>
            </w:pPr>
            <w:r>
              <w:rPr>
                <w:sz w:val="20"/>
                <w:szCs w:val="20"/>
              </w:rPr>
              <w:t xml:space="preserve">3,324</w:t>
            </w:r>
            <w:r>
              <w:rPr>
                <w:sz w:val="20"/>
                <w:szCs w:val="20"/>
              </w:rPr>
            </w:r>
            <w:r>
              <w:rPr>
                <w:sz w:val="20"/>
                <w:szCs w:val="20"/>
              </w:rPr>
            </w:r>
          </w:p>
        </w:tc>
      </w:tr>
    </w:tbl>
    <w:p>
      <w:pPr>
        <w:pStyle w:val="1247"/>
        <w:spacing w:before="8"/>
        <w:rPr>
          <w:b/>
          <w:sz w:val="27"/>
        </w:rPr>
      </w:pPr>
      <w:r>
        <w:rPr>
          <w:b/>
          <w:sz w:val="27"/>
        </w:rPr>
      </w:r>
      <w:r>
        <w:rPr>
          <w:b/>
          <w:sz w:val="27"/>
        </w:rPr>
      </w:r>
      <w:r>
        <w:rPr>
          <w:b/>
          <w:sz w:val="27"/>
        </w:rPr>
      </w:r>
    </w:p>
    <w:p>
      <w:pPr>
        <w:pStyle w:val="1248"/>
        <w:ind w:right="150" w:firstLine="733"/>
      </w:pPr>
      <w:r/>
      <w:bookmarkStart w:id="191" w:name="_bookmark120"/>
      <w:r/>
      <w:bookmarkStart w:id="192" w:name="_Toc130231924"/>
      <w:r/>
      <w:bookmarkStart w:id="193" w:name="_Toc165540707"/>
      <w:r/>
      <w:bookmarkEnd w:id="191"/>
      <w:r>
        <w:rPr>
          <w:lang w:eastAsia="ru-RU"/>
        </w:rPr>
        <w:t xml:space="preserve">1.6.2 </w:t>
      </w:r>
      <w:r>
        <w:t xml:space="preserve">Описание резервов и дефицитов тепловой мощности нетто по каждому источнику тепловой энергии, а в ценовых зонах теплоснабжения - по каждой системе </w:t>
      </w:r>
      <w:r>
        <w:rPr>
          <w:spacing w:val="-2"/>
        </w:rPr>
        <w:t xml:space="preserve">теплоснабжения</w:t>
      </w:r>
      <w:bookmarkEnd w:id="192"/>
      <w:r/>
      <w:bookmarkEnd w:id="193"/>
      <w:r/>
      <w:r/>
    </w:p>
    <w:p>
      <w:pPr>
        <w:ind w:left="896"/>
        <w:jc w:val="right"/>
        <w:rPr>
          <w:spacing w:val="-4"/>
          <w:sz w:val="24"/>
          <w:szCs w:val="24"/>
        </w:rPr>
      </w:pPr>
      <w:r/>
      <w:bookmarkStart w:id="194" w:name="_bookmark121"/>
      <w:r/>
      <w:bookmarkEnd w:id="194"/>
      <w:r>
        <w:rPr>
          <w:sz w:val="24"/>
          <w:szCs w:val="24"/>
        </w:rPr>
        <w:t xml:space="preserve">Таблица</w:t>
      </w:r>
      <w:r>
        <w:rPr>
          <w:spacing w:val="-4"/>
          <w:sz w:val="24"/>
          <w:szCs w:val="24"/>
        </w:rPr>
        <w:t xml:space="preserve"> </w:t>
      </w:r>
      <w:r>
        <w:rPr>
          <w:sz w:val="24"/>
          <w:szCs w:val="24"/>
        </w:rPr>
        <w:t xml:space="preserve">1.6.2.1</w:t>
      </w:r>
      <w:r>
        <w:rPr>
          <w:spacing w:val="-4"/>
          <w:sz w:val="24"/>
          <w:szCs w:val="24"/>
        </w:rPr>
      </w:r>
      <w:r>
        <w:rPr>
          <w:spacing w:val="-4"/>
          <w:sz w:val="24"/>
          <w:szCs w:val="24"/>
        </w:rPr>
      </w:r>
    </w:p>
    <w:p>
      <w:pPr>
        <w:ind w:left="896"/>
        <w:jc w:val="center"/>
        <w:rPr>
          <w:sz w:val="24"/>
          <w:szCs w:val="24"/>
        </w:rPr>
      </w:pPr>
      <w:r>
        <w:rPr>
          <w:sz w:val="24"/>
          <w:szCs w:val="24"/>
        </w:rPr>
        <w:t xml:space="preserve">Резервы</w:t>
      </w:r>
      <w:r>
        <w:rPr>
          <w:spacing w:val="-6"/>
          <w:sz w:val="24"/>
          <w:szCs w:val="24"/>
        </w:rPr>
        <w:t xml:space="preserve"> </w:t>
      </w:r>
      <w:r>
        <w:rPr>
          <w:sz w:val="24"/>
          <w:szCs w:val="24"/>
        </w:rPr>
        <w:t xml:space="preserve">и</w:t>
      </w:r>
      <w:r>
        <w:rPr>
          <w:spacing w:val="-5"/>
          <w:sz w:val="24"/>
          <w:szCs w:val="24"/>
        </w:rPr>
        <w:t xml:space="preserve"> </w:t>
      </w:r>
      <w:r>
        <w:rPr>
          <w:sz w:val="24"/>
          <w:szCs w:val="24"/>
        </w:rPr>
        <w:t xml:space="preserve">дефициты</w:t>
      </w:r>
      <w:r>
        <w:rPr>
          <w:spacing w:val="-9"/>
          <w:sz w:val="24"/>
          <w:szCs w:val="24"/>
        </w:rPr>
        <w:t xml:space="preserve"> </w:t>
      </w:r>
      <w:r>
        <w:rPr>
          <w:sz w:val="24"/>
          <w:szCs w:val="24"/>
        </w:rPr>
        <w:t xml:space="preserve">тепловой</w:t>
      </w:r>
      <w:r>
        <w:rPr>
          <w:spacing w:val="-7"/>
          <w:sz w:val="24"/>
          <w:szCs w:val="24"/>
        </w:rPr>
        <w:t xml:space="preserve"> </w:t>
      </w:r>
      <w:r>
        <w:rPr>
          <w:sz w:val="24"/>
          <w:szCs w:val="24"/>
        </w:rPr>
        <w:t xml:space="preserve">мощности</w:t>
      </w:r>
      <w:r>
        <w:rPr>
          <w:spacing w:val="-5"/>
          <w:sz w:val="24"/>
          <w:szCs w:val="24"/>
        </w:rPr>
        <w:t xml:space="preserve"> </w:t>
      </w:r>
      <w:r>
        <w:rPr>
          <w:sz w:val="24"/>
          <w:szCs w:val="24"/>
        </w:rPr>
        <w:t xml:space="preserve">нетто</w:t>
      </w:r>
      <w:r>
        <w:rPr>
          <w:spacing w:val="-6"/>
          <w:sz w:val="24"/>
          <w:szCs w:val="24"/>
        </w:rPr>
        <w:t xml:space="preserve"> </w:t>
      </w:r>
      <w:r>
        <w:rPr>
          <w:sz w:val="24"/>
          <w:szCs w:val="24"/>
        </w:rPr>
        <w:t xml:space="preserve">по</w:t>
      </w:r>
      <w:r>
        <w:rPr>
          <w:spacing w:val="-4"/>
          <w:sz w:val="24"/>
          <w:szCs w:val="24"/>
        </w:rPr>
        <w:t xml:space="preserve"> </w:t>
      </w:r>
      <w:r>
        <w:rPr>
          <w:sz w:val="24"/>
          <w:szCs w:val="24"/>
        </w:rPr>
        <w:t xml:space="preserve">котельным</w:t>
      </w:r>
      <w:r>
        <w:rPr>
          <w:sz w:val="24"/>
          <w:szCs w:val="24"/>
        </w:rPr>
      </w:r>
      <w:r>
        <w:rPr>
          <w:sz w:val="24"/>
          <w:szCs w:val="24"/>
        </w:rPr>
      </w:r>
    </w:p>
    <w:tbl>
      <w:tblPr>
        <w:tblStyle w:val="1237"/>
        <w:tblW w:w="4863" w:type="pct"/>
        <w:tblInd w:w="150"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Look w:val="01E0" w:firstRow="1" w:lastRow="1" w:firstColumn="1" w:lastColumn="1" w:noHBand="0" w:noVBand="0"/>
      </w:tblPr>
      <w:tblGrid>
        <w:gridCol w:w="3953"/>
        <w:gridCol w:w="1815"/>
        <w:gridCol w:w="1875"/>
        <w:gridCol w:w="1980"/>
      </w:tblGrid>
      <w:tr>
        <w:tblPrEx/>
        <w:trPr>
          <w:trHeight w:val="65"/>
        </w:trPr>
        <w:tc>
          <w:tcPr>
            <w:tcW w:w="2054" w:type="pct"/>
            <w:vAlign w:val="center"/>
            <w:textDirection w:val="lrTb"/>
            <w:noWrap w:val="false"/>
          </w:tcPr>
          <w:p>
            <w:pPr>
              <w:pStyle w:val="1251"/>
              <w:rPr>
                <w:sz w:val="20"/>
              </w:rPr>
            </w:pPr>
            <w:r>
              <w:rPr>
                <w:sz w:val="20"/>
                <w:szCs w:val="20"/>
              </w:rPr>
              <w:t xml:space="preserve">Источник тепловой энергии</w:t>
            </w:r>
            <w:r>
              <w:rPr>
                <w:sz w:val="20"/>
              </w:rPr>
            </w:r>
            <w:r>
              <w:rPr>
                <w:sz w:val="20"/>
              </w:rPr>
            </w:r>
          </w:p>
        </w:tc>
        <w:tc>
          <w:tcPr>
            <w:tcW w:w="943" w:type="pct"/>
            <w:vAlign w:val="center"/>
            <w:textDirection w:val="lrTb"/>
            <w:noWrap w:val="false"/>
          </w:tcPr>
          <w:p>
            <w:pPr>
              <w:pStyle w:val="1251"/>
              <w:rPr>
                <w:sz w:val="20"/>
              </w:rPr>
            </w:pPr>
            <w:r>
              <w:rPr>
                <w:sz w:val="20"/>
              </w:rPr>
              <w:t xml:space="preserve">Резерв</w:t>
            </w:r>
            <w:r>
              <w:rPr>
                <w:spacing w:val="-5"/>
                <w:sz w:val="20"/>
              </w:rPr>
              <w:t xml:space="preserve"> </w:t>
            </w:r>
            <w:r>
              <w:rPr>
                <w:spacing w:val="-2"/>
                <w:sz w:val="20"/>
              </w:rPr>
              <w:t xml:space="preserve">тепловой</w:t>
            </w:r>
            <w:r>
              <w:rPr>
                <w:sz w:val="20"/>
              </w:rPr>
              <w:t xml:space="preserve"> мощности</w:t>
            </w:r>
            <w:r>
              <w:rPr>
                <w:spacing w:val="-13"/>
                <w:sz w:val="20"/>
              </w:rPr>
              <w:t xml:space="preserve"> </w:t>
            </w:r>
            <w:r>
              <w:rPr>
                <w:sz w:val="20"/>
              </w:rPr>
              <w:t xml:space="preserve">нетто, </w:t>
            </w:r>
            <w:r>
              <w:rPr>
                <w:spacing w:val="-2"/>
                <w:sz w:val="20"/>
              </w:rPr>
              <w:t xml:space="preserve">Гкал/ч</w:t>
            </w:r>
            <w:r>
              <w:rPr>
                <w:sz w:val="20"/>
              </w:rPr>
            </w:r>
            <w:r>
              <w:rPr>
                <w:sz w:val="20"/>
              </w:rPr>
            </w:r>
          </w:p>
        </w:tc>
        <w:tc>
          <w:tcPr>
            <w:tcW w:w="974" w:type="pct"/>
            <w:vAlign w:val="center"/>
            <w:textDirection w:val="lrTb"/>
            <w:noWrap w:val="false"/>
          </w:tcPr>
          <w:p>
            <w:pPr>
              <w:pStyle w:val="1251"/>
              <w:rPr>
                <w:sz w:val="20"/>
              </w:rPr>
            </w:pPr>
            <w:r>
              <w:rPr>
                <w:sz w:val="20"/>
              </w:rPr>
              <w:t xml:space="preserve">Дефицит</w:t>
            </w:r>
            <w:r>
              <w:rPr>
                <w:spacing w:val="-13"/>
                <w:sz w:val="20"/>
              </w:rPr>
              <w:t xml:space="preserve"> </w:t>
            </w:r>
            <w:r>
              <w:rPr>
                <w:sz w:val="20"/>
              </w:rPr>
              <w:t xml:space="preserve">тепловой мощности нетто, </w:t>
            </w:r>
            <w:r>
              <w:rPr>
                <w:spacing w:val="-2"/>
                <w:sz w:val="20"/>
              </w:rPr>
              <w:t xml:space="preserve">Гкал/ч</w:t>
            </w:r>
            <w:r>
              <w:rPr>
                <w:sz w:val="20"/>
              </w:rPr>
            </w:r>
            <w:r>
              <w:rPr>
                <w:sz w:val="20"/>
              </w:rPr>
            </w:r>
          </w:p>
        </w:tc>
        <w:tc>
          <w:tcPr>
            <w:tcW w:w="1029" w:type="pct"/>
            <w:vAlign w:val="center"/>
            <w:textDirection w:val="lrTb"/>
            <w:noWrap w:val="false"/>
          </w:tcPr>
          <w:p>
            <w:pPr>
              <w:pStyle w:val="1251"/>
              <w:rPr>
                <w:sz w:val="20"/>
              </w:rPr>
            </w:pPr>
            <w:r>
              <w:rPr>
                <w:sz w:val="20"/>
              </w:rPr>
              <w:t xml:space="preserve">Резерв</w:t>
            </w:r>
            <w:r>
              <w:rPr>
                <w:spacing w:val="-13"/>
                <w:sz w:val="20"/>
              </w:rPr>
              <w:t xml:space="preserve"> </w:t>
            </w:r>
            <w:r>
              <w:rPr>
                <w:sz w:val="20"/>
              </w:rPr>
              <w:t xml:space="preserve">(+)/Дефицит</w:t>
            </w:r>
            <w:r>
              <w:rPr>
                <w:spacing w:val="-12"/>
                <w:sz w:val="20"/>
              </w:rPr>
              <w:t xml:space="preserve"> </w:t>
            </w:r>
            <w:r>
              <w:rPr>
                <w:sz w:val="20"/>
              </w:rPr>
              <w:t xml:space="preserve">(-) от</w:t>
            </w:r>
            <w:r>
              <w:rPr>
                <w:spacing w:val="-6"/>
                <w:sz w:val="20"/>
              </w:rPr>
              <w:t xml:space="preserve"> </w:t>
            </w:r>
            <w:r>
              <w:rPr>
                <w:sz w:val="20"/>
              </w:rPr>
              <w:t xml:space="preserve">мощности</w:t>
            </w:r>
            <w:r>
              <w:rPr>
                <w:spacing w:val="-6"/>
                <w:sz w:val="20"/>
              </w:rPr>
              <w:t xml:space="preserve"> </w:t>
            </w:r>
            <w:r>
              <w:rPr>
                <w:sz w:val="20"/>
              </w:rPr>
              <w:t xml:space="preserve">нетто,</w:t>
            </w:r>
            <w:r>
              <w:rPr>
                <w:spacing w:val="-4"/>
                <w:sz w:val="20"/>
              </w:rPr>
              <w:t xml:space="preserve"> </w:t>
            </w:r>
            <w:r>
              <w:rPr>
                <w:spacing w:val="-10"/>
                <w:sz w:val="20"/>
              </w:rPr>
              <w:t xml:space="preserve">%</w:t>
            </w:r>
            <w:r>
              <w:rPr>
                <w:sz w:val="20"/>
              </w:rPr>
            </w:r>
            <w:r>
              <w:rPr>
                <w:sz w:val="20"/>
              </w:rPr>
            </w:r>
          </w:p>
        </w:tc>
      </w:tr>
      <w:tr>
        <w:tblPrEx/>
        <w:trPr>
          <w:trHeight w:val="65"/>
        </w:trPr>
        <w:tc>
          <w:tcPr>
            <w:tcW w:w="2054" w:type="pct"/>
            <w:vAlign w:val="center"/>
            <w:textDirection w:val="lrTb"/>
            <w:noWrap w:val="false"/>
          </w:tcPr>
          <w:p>
            <w:pPr>
              <w:jc w:val="center"/>
              <w:rPr>
                <w:sz w:val="20"/>
                <w:szCs w:val="20"/>
              </w:rPr>
            </w:pPr>
            <w:r>
              <w:rPr>
                <w:color w:val="000000"/>
                <w:sz w:val="20"/>
                <w:szCs w:val="20"/>
              </w:rPr>
              <w:t xml:space="preserve">Котельная </w:t>
            </w:r>
            <w:r>
              <w:rPr>
                <w:rFonts w:ascii="Liberation Serif" w:hAnsi="Liberation Serif" w:cs="Calibri"/>
                <w:color w:val="000000"/>
                <w:sz w:val="20"/>
                <w:szCs w:val="20"/>
              </w:rPr>
              <w:t xml:space="preserve">п. Новый Мир, ЛПДС «Юргамыш»</w:t>
            </w:r>
            <w:r>
              <w:rPr>
                <w:sz w:val="20"/>
                <w:szCs w:val="20"/>
              </w:rPr>
            </w:r>
            <w:r>
              <w:rPr>
                <w:sz w:val="20"/>
                <w:szCs w:val="20"/>
              </w:rPr>
            </w:r>
          </w:p>
        </w:tc>
        <w:tc>
          <w:tcPr>
            <w:tcW w:w="943" w:type="pct"/>
            <w:vAlign w:val="center"/>
            <w:textDirection w:val="lrTb"/>
            <w:noWrap w:val="false"/>
          </w:tcPr>
          <w:p>
            <w:pPr>
              <w:jc w:val="center"/>
              <w:rPr>
                <w:color w:val="000000"/>
                <w:sz w:val="20"/>
                <w:szCs w:val="20"/>
              </w:rPr>
            </w:pPr>
            <w:r>
              <w:rPr>
                <w:color w:val="000000"/>
                <w:sz w:val="20"/>
                <w:szCs w:val="20"/>
              </w:rPr>
              <w:t xml:space="preserve">5,010</w:t>
            </w:r>
            <w:r>
              <w:rPr>
                <w:color w:val="000000"/>
                <w:sz w:val="20"/>
                <w:szCs w:val="20"/>
              </w:rPr>
            </w:r>
            <w:r>
              <w:rPr>
                <w:color w:val="000000"/>
                <w:sz w:val="20"/>
                <w:szCs w:val="20"/>
              </w:rPr>
            </w:r>
          </w:p>
        </w:tc>
        <w:tc>
          <w:tcPr>
            <w:tcW w:w="974" w:type="pct"/>
            <w:vAlign w:val="center"/>
            <w:textDirection w:val="lrTb"/>
            <w:noWrap w:val="false"/>
          </w:tcPr>
          <w:p>
            <w:pPr>
              <w:pStyle w:val="1251"/>
              <w:rPr>
                <w:sz w:val="20"/>
              </w:rPr>
            </w:pPr>
            <w:r>
              <w:rPr>
                <w:sz w:val="20"/>
              </w:rPr>
            </w:r>
            <w:r>
              <w:rPr>
                <w:sz w:val="20"/>
              </w:rPr>
            </w:r>
            <w:r>
              <w:rPr>
                <w:sz w:val="20"/>
              </w:rPr>
            </w:r>
          </w:p>
        </w:tc>
        <w:tc>
          <w:tcPr>
            <w:tcW w:w="1029" w:type="pct"/>
            <w:vAlign w:val="center"/>
            <w:textDirection w:val="lrTb"/>
            <w:noWrap w:val="false"/>
          </w:tcPr>
          <w:p>
            <w:pPr>
              <w:jc w:val="center"/>
              <w:rPr>
                <w:color w:val="000000"/>
                <w:sz w:val="20"/>
                <w:szCs w:val="20"/>
              </w:rPr>
            </w:pPr>
            <w:r>
              <w:rPr>
                <w:color w:val="000000"/>
                <w:sz w:val="20"/>
                <w:szCs w:val="20"/>
              </w:rPr>
              <w:t xml:space="preserve">38,0</w:t>
            </w:r>
            <w:r>
              <w:rPr>
                <w:color w:val="000000"/>
                <w:sz w:val="20"/>
                <w:szCs w:val="20"/>
              </w:rPr>
            </w:r>
            <w:r>
              <w:rPr>
                <w:color w:val="000000"/>
                <w:sz w:val="20"/>
                <w:szCs w:val="20"/>
              </w:rPr>
            </w:r>
          </w:p>
        </w:tc>
      </w:tr>
      <w:tr>
        <w:tblPrEx/>
        <w:trPr>
          <w:trHeight w:val="220"/>
        </w:trPr>
        <w:tc>
          <w:tcPr>
            <w:tcW w:w="2054" w:type="pct"/>
            <w:vAlign w:val="center"/>
            <w:textDirection w:val="lrTb"/>
            <w:noWrap w:val="false"/>
          </w:tcPr>
          <w:p>
            <w:pPr>
              <w:jc w:val="center"/>
              <w:rPr>
                <w:sz w:val="20"/>
                <w:szCs w:val="20"/>
              </w:rPr>
            </w:pPr>
            <w:r>
              <w:rPr>
                <w:color w:val="000000"/>
                <w:sz w:val="20"/>
                <w:szCs w:val="20"/>
              </w:rPr>
              <w:t xml:space="preserve">Котельная </w:t>
            </w:r>
            <w:r>
              <w:rPr>
                <w:rFonts w:ascii="Liberation Serif" w:hAnsi="Liberation Serif" w:cs="Calibri"/>
                <w:color w:val="000000"/>
                <w:sz w:val="20"/>
                <w:szCs w:val="20"/>
              </w:rPr>
              <w:t xml:space="preserve">р.п.  Юргамыш, ул. Железнодорожная, территория тягловой подстанции ОАО «РЖД»</w:t>
            </w:r>
            <w:r>
              <w:rPr>
                <w:sz w:val="20"/>
                <w:szCs w:val="20"/>
              </w:rPr>
            </w:r>
            <w:r>
              <w:rPr>
                <w:sz w:val="20"/>
                <w:szCs w:val="20"/>
              </w:rPr>
            </w:r>
          </w:p>
        </w:tc>
        <w:tc>
          <w:tcPr>
            <w:tcW w:w="943" w:type="pct"/>
            <w:vAlign w:val="center"/>
            <w:textDirection w:val="lrTb"/>
            <w:noWrap w:val="false"/>
          </w:tcPr>
          <w:p>
            <w:pPr>
              <w:jc w:val="center"/>
              <w:rPr>
                <w:color w:val="000000"/>
                <w:sz w:val="20"/>
                <w:szCs w:val="20"/>
              </w:rPr>
            </w:pPr>
            <w:r>
              <w:rPr>
                <w:color w:val="000000"/>
                <w:sz w:val="20"/>
                <w:szCs w:val="20"/>
              </w:rPr>
              <w:t xml:space="preserve">0,423</w:t>
            </w:r>
            <w:r>
              <w:rPr>
                <w:color w:val="000000"/>
                <w:sz w:val="20"/>
                <w:szCs w:val="20"/>
              </w:rPr>
            </w:r>
            <w:r>
              <w:rPr>
                <w:color w:val="000000"/>
                <w:sz w:val="20"/>
                <w:szCs w:val="20"/>
              </w:rPr>
            </w:r>
          </w:p>
        </w:tc>
        <w:tc>
          <w:tcPr>
            <w:tcW w:w="974" w:type="pct"/>
            <w:vAlign w:val="center"/>
            <w:textDirection w:val="lrTb"/>
            <w:noWrap w:val="false"/>
          </w:tcPr>
          <w:p>
            <w:pPr>
              <w:pStyle w:val="1251"/>
              <w:rPr>
                <w:sz w:val="20"/>
              </w:rPr>
            </w:pPr>
            <w:r>
              <w:rPr>
                <w:sz w:val="20"/>
              </w:rPr>
            </w:r>
            <w:r>
              <w:rPr>
                <w:sz w:val="20"/>
              </w:rPr>
            </w:r>
            <w:r>
              <w:rPr>
                <w:sz w:val="20"/>
              </w:rPr>
            </w:r>
          </w:p>
        </w:tc>
        <w:tc>
          <w:tcPr>
            <w:tcW w:w="1029" w:type="pct"/>
            <w:vAlign w:val="center"/>
            <w:textDirection w:val="lrTb"/>
            <w:noWrap w:val="false"/>
          </w:tcPr>
          <w:p>
            <w:pPr>
              <w:jc w:val="center"/>
              <w:rPr>
                <w:color w:val="000000"/>
                <w:sz w:val="20"/>
                <w:szCs w:val="20"/>
              </w:rPr>
            </w:pPr>
            <w:r>
              <w:rPr>
                <w:color w:val="000000"/>
                <w:sz w:val="20"/>
                <w:szCs w:val="20"/>
              </w:rPr>
              <w:t xml:space="preserve">48,8</w:t>
            </w:r>
            <w:r>
              <w:rPr>
                <w:color w:val="000000"/>
                <w:sz w:val="20"/>
                <w:szCs w:val="20"/>
              </w:rPr>
            </w:r>
            <w:r>
              <w:rPr>
                <w:color w:val="000000"/>
                <w:sz w:val="20"/>
                <w:szCs w:val="20"/>
              </w:rPr>
            </w:r>
          </w:p>
        </w:tc>
      </w:tr>
      <w:tr>
        <w:tblPrEx/>
        <w:trPr>
          <w:trHeight w:val="220"/>
        </w:trPr>
        <w:tc>
          <w:tcPr>
            <w:tcW w:w="2054" w:type="pct"/>
            <w:vAlign w:val="center"/>
            <w:textDirection w:val="lrTb"/>
            <w:noWrap w:val="false"/>
          </w:tcPr>
          <w:p>
            <w:pPr>
              <w:jc w:val="center"/>
              <w:rPr>
                <w:sz w:val="20"/>
                <w:szCs w:val="20"/>
              </w:rPr>
            </w:pPr>
            <w:r>
              <w:rPr>
                <w:sz w:val="20"/>
                <w:szCs w:val="20"/>
              </w:rPr>
              <w:t xml:space="preserve">Котельная ФКУ ИК №7 УФСИН России по Курганской области,</w:t>
            </w:r>
            <w:r>
              <w:rPr>
                <w:rFonts w:ascii="Liberation Serif" w:hAnsi="Liberation Serif" w:cs="Calibri"/>
                <w:color w:val="000000"/>
                <w:sz w:val="20"/>
                <w:szCs w:val="20"/>
              </w:rPr>
              <w:t xml:space="preserve"> Курганская область, р.п. Юргамыш, ул. Труда, 147</w:t>
            </w:r>
            <w:r>
              <w:rPr>
                <w:sz w:val="20"/>
                <w:szCs w:val="20"/>
              </w:rPr>
            </w:r>
            <w:r>
              <w:rPr>
                <w:sz w:val="20"/>
                <w:szCs w:val="20"/>
              </w:rPr>
            </w:r>
          </w:p>
        </w:tc>
        <w:tc>
          <w:tcPr>
            <w:tcW w:w="943" w:type="pct"/>
            <w:vAlign w:val="center"/>
            <w:textDirection w:val="lrTb"/>
            <w:noWrap w:val="false"/>
          </w:tcPr>
          <w:p>
            <w:pPr>
              <w:jc w:val="center"/>
            </w:pPr>
            <w:r>
              <w:t xml:space="preserve">н/д</w:t>
            </w:r>
            <w:r/>
          </w:p>
        </w:tc>
        <w:tc>
          <w:tcPr>
            <w:tcW w:w="974" w:type="pct"/>
            <w:vAlign w:val="center"/>
            <w:textDirection w:val="lrTb"/>
            <w:noWrap w:val="false"/>
          </w:tcPr>
          <w:p>
            <w:pPr>
              <w:pStyle w:val="1251"/>
              <w:rPr>
                <w:sz w:val="20"/>
                <w:szCs w:val="20"/>
              </w:rPr>
            </w:pPr>
            <w:r>
              <w:rPr>
                <w:sz w:val="20"/>
                <w:szCs w:val="20"/>
              </w:rPr>
            </w:r>
            <w:r>
              <w:rPr>
                <w:sz w:val="20"/>
                <w:szCs w:val="20"/>
              </w:rPr>
            </w:r>
            <w:r>
              <w:rPr>
                <w:sz w:val="20"/>
                <w:szCs w:val="20"/>
              </w:rPr>
            </w:r>
          </w:p>
        </w:tc>
        <w:tc>
          <w:tcPr>
            <w:tcW w:w="1029" w:type="pct"/>
            <w:vAlign w:val="center"/>
            <w:textDirection w:val="lrTb"/>
            <w:noWrap w:val="false"/>
          </w:tcPr>
          <w:p>
            <w:pPr>
              <w:jc w:val="center"/>
              <w:rPr>
                <w:color w:val="000000"/>
                <w:sz w:val="20"/>
                <w:szCs w:val="20"/>
              </w:rPr>
            </w:pPr>
            <w:r>
              <w:t xml:space="preserve">н/д</w:t>
            </w:r>
            <w:r>
              <w:rPr>
                <w:color w:val="000000"/>
                <w:sz w:val="20"/>
                <w:szCs w:val="20"/>
              </w:rPr>
            </w:r>
            <w:r>
              <w:rPr>
                <w:color w:val="000000"/>
                <w:sz w:val="20"/>
                <w:szCs w:val="20"/>
              </w:rPr>
            </w:r>
          </w:p>
        </w:tc>
      </w:tr>
      <w:tr>
        <w:tblPrEx/>
        <w:trPr>
          <w:trHeight w:val="65"/>
        </w:trPr>
        <w:tc>
          <w:tcPr>
            <w:tcW w:w="2054" w:type="pct"/>
            <w:vAlign w:val="center"/>
            <w:textDirection w:val="lrTb"/>
            <w:noWrap w:val="false"/>
          </w:tcPr>
          <w:p>
            <w:pPr>
              <w:jc w:val="center"/>
              <w:rPr>
                <w:rFonts w:ascii="Liberation Serif" w:hAnsi="Liberation Serif" w:cs="Calibri"/>
                <w:color w:val="000000"/>
                <w:sz w:val="20"/>
                <w:szCs w:val="20"/>
              </w:rPr>
            </w:pPr>
            <w:r>
              <w:rPr>
                <w:sz w:val="20"/>
                <w:szCs w:val="20"/>
              </w:rPr>
              <w:t xml:space="preserve">Котельная </w:t>
            </w:r>
            <w:r>
              <w:rPr>
                <w:rFonts w:ascii="Liberation Serif" w:hAnsi="Liberation Serif" w:cs="Calibri"/>
                <w:color w:val="000000"/>
                <w:sz w:val="20"/>
                <w:szCs w:val="20"/>
              </w:rPr>
              <w:t xml:space="preserve">р.п. Юргамыш, ул. Ленина, </w:t>
            </w:r>
            <w:r>
              <w:rPr>
                <w:rFonts w:ascii="Liberation Serif" w:hAnsi="Liberation Serif" w:cs="Calibri"/>
                <w:color w:val="000000"/>
                <w:sz w:val="20"/>
                <w:szCs w:val="20"/>
              </w:rPr>
            </w:r>
            <w:r>
              <w:rPr>
                <w:rFonts w:ascii="Liberation Serif" w:hAnsi="Liberation Serif" w:cs="Calibri"/>
                <w:color w:val="000000"/>
                <w:sz w:val="20"/>
                <w:szCs w:val="20"/>
              </w:rPr>
            </w:r>
          </w:p>
          <w:p>
            <w:pPr>
              <w:jc w:val="center"/>
              <w:rPr>
                <w:sz w:val="20"/>
                <w:szCs w:val="20"/>
              </w:rPr>
            </w:pPr>
            <w:r>
              <w:rPr>
                <w:rFonts w:ascii="Liberation Serif" w:hAnsi="Liberation Serif" w:cs="Calibri"/>
                <w:color w:val="000000"/>
                <w:sz w:val="20"/>
                <w:szCs w:val="20"/>
              </w:rPr>
              <w:t xml:space="preserve">47а</w:t>
            </w:r>
            <w:r>
              <w:rPr>
                <w:sz w:val="20"/>
                <w:szCs w:val="20"/>
              </w:rPr>
            </w:r>
            <w:r>
              <w:rPr>
                <w:sz w:val="20"/>
                <w:szCs w:val="20"/>
              </w:rPr>
            </w:r>
          </w:p>
        </w:tc>
        <w:tc>
          <w:tcPr>
            <w:tcW w:w="943" w:type="pct"/>
            <w:vAlign w:val="center"/>
            <w:textDirection w:val="lrTb"/>
            <w:noWrap w:val="false"/>
          </w:tcPr>
          <w:p>
            <w:pPr>
              <w:jc w:val="center"/>
              <w:rPr>
                <w:color w:val="000000"/>
                <w:sz w:val="20"/>
                <w:szCs w:val="20"/>
              </w:rPr>
            </w:pPr>
            <w:r>
              <w:rPr>
                <w:color w:val="000000"/>
                <w:sz w:val="20"/>
                <w:szCs w:val="20"/>
              </w:rPr>
              <w:t xml:space="preserve">1,282</w:t>
            </w:r>
            <w:r>
              <w:rPr>
                <w:color w:val="000000"/>
                <w:sz w:val="20"/>
                <w:szCs w:val="20"/>
              </w:rPr>
            </w:r>
            <w:r>
              <w:rPr>
                <w:color w:val="000000"/>
                <w:sz w:val="20"/>
                <w:szCs w:val="20"/>
              </w:rPr>
            </w:r>
          </w:p>
        </w:tc>
        <w:tc>
          <w:tcPr>
            <w:tcW w:w="974" w:type="pct"/>
            <w:vAlign w:val="center"/>
            <w:textDirection w:val="lrTb"/>
            <w:noWrap w:val="false"/>
          </w:tcPr>
          <w:p>
            <w:pPr>
              <w:pStyle w:val="1251"/>
              <w:rPr>
                <w:sz w:val="20"/>
              </w:rPr>
            </w:pPr>
            <w:r>
              <w:rPr>
                <w:sz w:val="20"/>
              </w:rPr>
              <w:t xml:space="preserve">0,0</w:t>
            </w:r>
            <w:r>
              <w:rPr>
                <w:sz w:val="20"/>
              </w:rPr>
            </w:r>
            <w:r>
              <w:rPr>
                <w:sz w:val="20"/>
              </w:rPr>
            </w:r>
          </w:p>
        </w:tc>
        <w:tc>
          <w:tcPr>
            <w:tcW w:w="1029" w:type="pct"/>
            <w:vAlign w:val="center"/>
            <w:textDirection w:val="lrTb"/>
            <w:noWrap w:val="false"/>
          </w:tcPr>
          <w:p>
            <w:pPr>
              <w:jc w:val="center"/>
              <w:rPr>
                <w:color w:val="000000"/>
                <w:sz w:val="20"/>
                <w:szCs w:val="20"/>
              </w:rPr>
            </w:pPr>
            <w:r>
              <w:rPr>
                <w:color w:val="000000"/>
                <w:sz w:val="20"/>
                <w:szCs w:val="20"/>
              </w:rPr>
              <w:t xml:space="preserve">27,3</w:t>
            </w:r>
            <w:r>
              <w:rPr>
                <w:color w:val="000000"/>
                <w:sz w:val="20"/>
                <w:szCs w:val="20"/>
              </w:rPr>
            </w:r>
            <w:r>
              <w:rPr>
                <w:color w:val="000000"/>
                <w:sz w:val="20"/>
                <w:szCs w:val="20"/>
              </w:rPr>
            </w:r>
          </w:p>
        </w:tc>
      </w:tr>
    </w:tbl>
    <w:p>
      <w:pPr>
        <w:ind w:left="896"/>
        <w:jc w:val="center"/>
        <w:rPr>
          <w:sz w:val="24"/>
          <w:szCs w:val="24"/>
        </w:rPr>
      </w:pPr>
      <w:r>
        <w:rPr>
          <w:sz w:val="24"/>
          <w:szCs w:val="24"/>
        </w:rPr>
      </w:r>
      <w:r>
        <w:rPr>
          <w:sz w:val="24"/>
          <w:szCs w:val="24"/>
        </w:rPr>
      </w:r>
      <w:r>
        <w:rPr>
          <w:sz w:val="24"/>
          <w:szCs w:val="24"/>
        </w:rPr>
      </w:r>
    </w:p>
    <w:p>
      <w:pPr>
        <w:pStyle w:val="1248"/>
        <w:ind w:right="145" w:firstLine="733"/>
      </w:pPr>
      <w:r/>
      <w:bookmarkStart w:id="195" w:name="_bookmark122"/>
      <w:r/>
      <w:bookmarkStart w:id="196" w:name="_Toc130231925"/>
      <w:r/>
      <w:bookmarkStart w:id="197" w:name="_Toc165540708"/>
      <w:r/>
      <w:bookmarkEnd w:id="195"/>
      <w:r>
        <w:rPr>
          <w:lang w:eastAsia="ru-RU"/>
        </w:rPr>
        <w:t xml:space="preserve">1.6.3 </w:t>
      </w:r>
      <w:r>
        <w:t xml:space="preserve">Описание гидравлических режимов, обеспечивающих передачу тепловой энергии от источника тепловой энергии до самого удалённого потребителя и характеризующих существующие возможности (резервы и дефициты по пропускной способности)</w:t>
      </w:r>
      <w:r>
        <w:rPr>
          <w:spacing w:val="-7"/>
        </w:rPr>
        <w:t xml:space="preserve"> </w:t>
      </w:r>
      <w:r>
        <w:t xml:space="preserve">передачи</w:t>
      </w:r>
      <w:r>
        <w:rPr>
          <w:spacing w:val="-5"/>
        </w:rPr>
        <w:t xml:space="preserve"> </w:t>
      </w:r>
      <w:r>
        <w:t xml:space="preserve">тепловой</w:t>
      </w:r>
      <w:r>
        <w:rPr>
          <w:spacing w:val="-5"/>
        </w:rPr>
        <w:t xml:space="preserve"> </w:t>
      </w:r>
      <w:r>
        <w:t xml:space="preserve">энергии</w:t>
      </w:r>
      <w:r>
        <w:rPr>
          <w:spacing w:val="-4"/>
        </w:rPr>
        <w:t xml:space="preserve"> </w:t>
      </w:r>
      <w:r>
        <w:t xml:space="preserve">от</w:t>
      </w:r>
      <w:r>
        <w:rPr>
          <w:spacing w:val="-5"/>
        </w:rPr>
        <w:t xml:space="preserve"> </w:t>
      </w:r>
      <w:r>
        <w:t xml:space="preserve">источника</w:t>
      </w:r>
      <w:r>
        <w:rPr>
          <w:spacing w:val="-7"/>
        </w:rPr>
        <w:t xml:space="preserve"> </w:t>
      </w:r>
      <w:r>
        <w:t xml:space="preserve">тепловой</w:t>
      </w:r>
      <w:r>
        <w:rPr>
          <w:spacing w:val="-5"/>
        </w:rPr>
        <w:t xml:space="preserve"> </w:t>
      </w:r>
      <w:r>
        <w:t xml:space="preserve">энергии</w:t>
      </w:r>
      <w:r>
        <w:rPr>
          <w:spacing w:val="2"/>
        </w:rPr>
        <w:t xml:space="preserve"> </w:t>
      </w:r>
      <w:r>
        <w:t xml:space="preserve">к</w:t>
      </w:r>
      <w:r>
        <w:rPr>
          <w:spacing w:val="-5"/>
        </w:rPr>
        <w:t xml:space="preserve"> </w:t>
      </w:r>
      <w:r>
        <w:rPr>
          <w:spacing w:val="-2"/>
        </w:rPr>
        <w:t xml:space="preserve">потребителю</w:t>
      </w:r>
      <w:bookmarkEnd w:id="196"/>
      <w:r/>
      <w:bookmarkEnd w:id="197"/>
      <w:r/>
      <w:r/>
    </w:p>
    <w:p>
      <w:pPr>
        <w:pStyle w:val="1247"/>
        <w:ind w:left="118" w:right="153" w:firstLine="707"/>
        <w:jc w:val="both"/>
        <w:spacing w:before="116"/>
      </w:pPr>
      <w:r>
        <w:t xml:space="preserve">Разработка гидравлического режима для системы теплоснабжени</w:t>
      </w:r>
      <w:r>
        <w:t xml:space="preserve">я населенного пункта проводится эксплуатирующей организацией в соответствии с Правилами технической эксплуатации тепловых энергоустановок, утверждённых Приказом Минэнерго России от 24.03.2003 г. № 115. Ежегодно разрабатываются гидравлические режимы работы </w:t>
      </w:r>
      <w:r>
        <w:t xml:space="preserve">централизованной </w:t>
      </w:r>
      <w:r>
        <w:t xml:space="preserve">системы теплоснабжения. Мероприятия по регулированию расхода воды у потребителей составляются для каждого отопительного сезона.</w:t>
      </w:r>
      <w:r/>
    </w:p>
    <w:p>
      <w:pPr>
        <w:pStyle w:val="1248"/>
        <w:ind w:right="152" w:firstLine="733"/>
      </w:pPr>
      <w:r/>
      <w:bookmarkStart w:id="198" w:name="_bookmark124"/>
      <w:r/>
      <w:bookmarkStart w:id="199" w:name="_Toc130231926"/>
      <w:r/>
      <w:bookmarkStart w:id="200" w:name="_Toc165540709"/>
      <w:r/>
      <w:bookmarkEnd w:id="198"/>
      <w:r>
        <w:rPr>
          <w:lang w:eastAsia="ru-RU"/>
        </w:rPr>
        <w:t xml:space="preserve">1.6.4 </w:t>
      </w:r>
      <w:r>
        <w:t xml:space="preserve">Описание причины возникновения дефицитов тепловой мощности и последствий влияния дефицитов на качество теплоснабжения</w:t>
      </w:r>
      <w:bookmarkEnd w:id="199"/>
      <w:r/>
      <w:bookmarkEnd w:id="200"/>
      <w:r/>
      <w:r/>
    </w:p>
    <w:p>
      <w:pPr>
        <w:pStyle w:val="1247"/>
        <w:ind w:left="119" w:right="153" w:firstLine="709"/>
        <w:jc w:val="both"/>
        <w:spacing w:before="120"/>
      </w:pPr>
      <w:r>
        <w:t xml:space="preserve">Дефицит тепловой мощности отсутствует.</w:t>
      </w:r>
      <w:r/>
    </w:p>
    <w:p>
      <w:pPr>
        <w:pStyle w:val="1247"/>
        <w:ind w:left="119" w:right="153" w:firstLine="709"/>
        <w:jc w:val="both"/>
      </w:pPr>
      <w:r/>
      <w:r/>
    </w:p>
    <w:p>
      <w:pPr>
        <w:pStyle w:val="1248"/>
        <w:ind w:right="148" w:firstLine="733"/>
      </w:pPr>
      <w:r/>
      <w:bookmarkStart w:id="201" w:name="_bookmark125"/>
      <w:r/>
      <w:bookmarkStart w:id="202" w:name="_Toc130231927"/>
      <w:r/>
      <w:bookmarkStart w:id="203" w:name="_Toc165540710"/>
      <w:r/>
      <w:bookmarkEnd w:id="201"/>
      <w:r>
        <w:rPr>
          <w:lang w:eastAsia="ru-RU"/>
        </w:rPr>
        <w:t xml:space="preserve">1.6.5 </w:t>
      </w:r>
      <w:r>
        <w:t xml:space="preserve">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w:t>
      </w:r>
      <w:r>
        <w:rPr>
          <w:spacing w:val="-2"/>
        </w:rPr>
        <w:t xml:space="preserve">мощности</w:t>
      </w:r>
      <w:bookmarkEnd w:id="202"/>
      <w:r/>
      <w:bookmarkEnd w:id="203"/>
      <w:r/>
      <w:r/>
    </w:p>
    <w:p>
      <w:pPr>
        <w:pStyle w:val="1247"/>
        <w:ind w:left="119" w:right="147" w:firstLine="709"/>
        <w:jc w:val="both"/>
        <w:spacing w:before="120"/>
      </w:pPr>
      <w:r>
        <w:t xml:space="preserve">С учетом плановой тепловой нагрузки на отопительный сезон 2024-2025 годов дефицит тепловой нагрузки на централизованных котельных будет отсутствовать. </w:t>
      </w:r>
      <w:r/>
    </w:p>
    <w:p>
      <w:pPr>
        <w:pStyle w:val="1247"/>
        <w:ind w:left="119" w:right="153" w:firstLine="709"/>
        <w:jc w:val="both"/>
      </w:pPr>
      <w:r>
        <w:t xml:space="preserve">Теплоснабжающие организации несут ответственность за бесперебойное и качественное теплоснабжение абонентов в соответствии с требованиями, установленными законодательством, иными нормативными актами.</w:t>
      </w:r>
      <w:r/>
    </w:p>
    <w:p>
      <w:pPr>
        <w:pStyle w:val="1247"/>
        <w:ind w:left="119" w:right="153" w:firstLine="709"/>
        <w:jc w:val="both"/>
      </w:pPr>
      <w:r>
        <w:t xml:space="preserve">Расчет дефицита/профицита мощности по каждому из источников пр</w:t>
      </w:r>
      <w:r>
        <w:t xml:space="preserve">оизводится, исходя из ситуации, при которой потребители производят выборку заявленной мощности в полном объеме. При этом актуализация тепловых нагрузок производится ежегодно на основании фактически проведенных наладочных мероприятий, показаний узлов учета.</w:t>
      </w:r>
      <w:r/>
    </w:p>
    <w:p>
      <w:pPr>
        <w:pStyle w:val="1247"/>
        <w:ind w:left="118" w:right="150" w:firstLine="707"/>
        <w:jc w:val="both"/>
      </w:pPr>
      <w:r/>
      <w:r/>
    </w:p>
    <w:p>
      <w:pPr>
        <w:pStyle w:val="1248"/>
        <w:ind w:right="145" w:firstLine="733"/>
      </w:pPr>
      <w:r/>
      <w:bookmarkStart w:id="204" w:name="_bookmark126"/>
      <w:r/>
      <w:bookmarkStart w:id="205" w:name="_Toc130231928"/>
      <w:r/>
      <w:bookmarkStart w:id="206" w:name="_Toc165540711"/>
      <w:r/>
      <w:bookmarkEnd w:id="204"/>
      <w:r>
        <w:rPr>
          <w:lang w:eastAsia="ru-RU"/>
        </w:rPr>
        <w:t xml:space="preserve">1.6.6 </w:t>
      </w:r>
      <w:r>
        <w:t xml:space="preserve">Описание изменений в балансах тепловой мощности и тепловой нагрузки каждой</w:t>
      </w:r>
      <w:r>
        <w:t xml:space="preserve"> системы теплоснабжения, в том числе с учётом реализации планов строительства, реконструкции, технического перевооружения и (или) модернизации источников тепловой энергии, введённых в эксплуатацию за период, предшествующий актуализации схемы теплоснабжения</w:t>
      </w:r>
      <w:bookmarkEnd w:id="205"/>
      <w:r/>
      <w:bookmarkEnd w:id="206"/>
      <w:r/>
      <w:r/>
    </w:p>
    <w:p>
      <w:pPr>
        <w:pStyle w:val="1247"/>
        <w:ind w:left="119" w:right="108" w:firstLine="709"/>
        <w:jc w:val="both"/>
        <w:spacing w:before="120"/>
      </w:pPr>
      <w:r>
        <w:t xml:space="preserve">Ранее схема теплоснабжения </w:t>
      </w:r>
      <w:r>
        <w:t xml:space="preserve">Юргамышского</w:t>
      </w:r>
      <w:r>
        <w:t xml:space="preserve"> муниципального округа не была разработана.</w:t>
      </w:r>
      <w:r/>
    </w:p>
    <w:p>
      <w:pPr>
        <w:pStyle w:val="1247"/>
        <w:ind w:left="118" w:right="146" w:firstLine="707"/>
        <w:jc w:val="both"/>
        <w:spacing w:before="115"/>
      </w:pPr>
      <w:r/>
      <w:r/>
    </w:p>
    <w:p>
      <w:pPr>
        <w:pStyle w:val="1248"/>
        <w:ind w:left="1194" w:hanging="343"/>
      </w:pPr>
      <w:r/>
      <w:bookmarkStart w:id="207" w:name="_bookmark127"/>
      <w:r/>
      <w:bookmarkStart w:id="208" w:name="_Toc130231929"/>
      <w:r/>
      <w:bookmarkStart w:id="209" w:name="_Toc165540712"/>
      <w:r/>
      <w:bookmarkEnd w:id="207"/>
      <w:r>
        <w:rPr>
          <w:lang w:eastAsia="ru-RU"/>
        </w:rPr>
        <w:t xml:space="preserve">1.7 </w:t>
      </w:r>
      <w:r>
        <w:t xml:space="preserve">Балансы</w:t>
      </w:r>
      <w:r>
        <w:rPr>
          <w:spacing w:val="-2"/>
        </w:rPr>
        <w:t xml:space="preserve"> теплоносителя</w:t>
      </w:r>
      <w:bookmarkEnd w:id="208"/>
      <w:r/>
      <w:bookmarkEnd w:id="209"/>
      <w:r/>
      <w:r/>
    </w:p>
    <w:p>
      <w:pPr>
        <w:pStyle w:val="1248"/>
        <w:ind w:right="146" w:firstLine="733"/>
        <w:spacing w:before="120"/>
      </w:pPr>
      <w:r/>
      <w:bookmarkStart w:id="210" w:name="_bookmark128"/>
      <w:r/>
      <w:bookmarkStart w:id="211" w:name="_Toc130231930"/>
      <w:r/>
      <w:bookmarkStart w:id="212" w:name="_Toc165540713"/>
      <w:r/>
      <w:bookmarkEnd w:id="210"/>
      <w:r>
        <w:rPr>
          <w:lang w:eastAsia="ru-RU"/>
        </w:rPr>
        <w:t xml:space="preserve">1.7.1 </w:t>
      </w:r>
      <w:r>
        <w:t xml:space="preserve">Описание балансов производительности водоподготовительных уст</w:t>
      </w:r>
      <w:r>
        <w:t xml:space="preserve">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bookmarkEnd w:id="211"/>
      <w:r/>
      <w:bookmarkEnd w:id="212"/>
      <w:r/>
      <w:r/>
    </w:p>
    <w:p>
      <w:pPr>
        <w:pStyle w:val="1247"/>
        <w:ind w:left="118" w:right="149" w:firstLine="707"/>
        <w:jc w:val="both"/>
        <w:spacing w:before="116"/>
      </w:pPr>
      <w:r>
        <w:t xml:space="preserve">На расчётный срок, зоны</w:t>
      </w:r>
      <w:r>
        <w:t xml:space="preserve"> действия систем теплоснабжения и источников тепловой энергии останутся неизменными. Источников тепловой энергии, работающих на единую тепловую сеть, не предвидится. Централизованные системы теплоснабжения в Юргамышском муниципальном округе закрытого типа.</w:t>
      </w:r>
      <w:r/>
    </w:p>
    <w:p>
      <w:pPr>
        <w:pStyle w:val="1247"/>
        <w:ind w:left="119" w:right="147" w:firstLine="709"/>
        <w:jc w:val="both"/>
      </w:pPr>
      <w:r>
        <w:t xml:space="preserve">Утверждённые балансы производительности водоподготовительных установок теплоносителя для тепловых сетей и максимальное потребление теплоносителя в теплоиспользующих установках потребителей приведены в следующей таблице.</w:t>
      </w:r>
      <w:r/>
    </w:p>
    <w:p>
      <w:pPr>
        <w:pStyle w:val="1247"/>
        <w:ind w:left="119" w:right="147" w:firstLine="709"/>
        <w:jc w:val="both"/>
      </w:pPr>
      <w:r/>
      <w:r/>
    </w:p>
    <w:p>
      <w:pPr>
        <w:pStyle w:val="1247"/>
        <w:ind w:left="119" w:right="147" w:firstLine="709"/>
        <w:jc w:val="right"/>
      </w:pPr>
      <w:r>
        <w:t xml:space="preserve">Таблица 1.7.1.1</w:t>
      </w:r>
      <w:r/>
    </w:p>
    <w:p>
      <w:pPr>
        <w:pStyle w:val="1247"/>
        <w:ind w:left="119" w:right="147" w:firstLine="709"/>
        <w:jc w:val="center"/>
      </w:pPr>
      <w:r>
        <w:t xml:space="preserve">Баланс производительности водоподготовительных установок теплоносителя для тепловых сетей и максимальное потребление теплоносителя в теплоиспользующих установках потребителей в зонах действия централизованных котельных</w:t>
      </w:r>
      <w:r/>
    </w:p>
    <w:tbl>
      <w:tblPr>
        <w:tblW w:w="4951" w:type="pct"/>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486"/>
        <w:gridCol w:w="8156"/>
        <w:gridCol w:w="1161"/>
      </w:tblGrid>
      <w:tr>
        <w:tblPrEx/>
        <w:trPr>
          <w:trHeight w:val="130"/>
        </w:trPr>
        <w:tc>
          <w:tcPr>
            <w:tcW w:w="248" w:type="pct"/>
            <w:vAlign w:val="center"/>
            <w:textDirection w:val="lrTb"/>
            <w:noWrap w:val="false"/>
          </w:tcPr>
          <w:p>
            <w:pPr>
              <w:jc w:val="center"/>
              <w:rPr>
                <w:sz w:val="20"/>
                <w:szCs w:val="20"/>
              </w:rPr>
            </w:pPr>
            <w:r>
              <w:rPr>
                <w:sz w:val="20"/>
                <w:szCs w:val="20"/>
              </w:rPr>
              <w:t xml:space="preserve">№ п/п</w:t>
            </w:r>
            <w:r>
              <w:rPr>
                <w:sz w:val="20"/>
                <w:szCs w:val="20"/>
              </w:rPr>
            </w:r>
            <w:r>
              <w:rPr>
                <w:sz w:val="20"/>
                <w:szCs w:val="20"/>
              </w:rPr>
            </w:r>
          </w:p>
        </w:tc>
        <w:tc>
          <w:tcPr>
            <w:shd w:val="clear" w:color="auto" w:fill="auto"/>
            <w:tcW w:w="4160" w:type="pct"/>
            <w:vAlign w:val="center"/>
            <w:textDirection w:val="lrTb"/>
            <w:noWrap w:val="false"/>
          </w:tcPr>
          <w:p>
            <w:pPr>
              <w:jc w:val="center"/>
              <w:rPr>
                <w:sz w:val="20"/>
                <w:szCs w:val="20"/>
              </w:rPr>
            </w:pPr>
            <w:r>
              <w:rPr>
                <w:sz w:val="20"/>
                <w:szCs w:val="20"/>
              </w:rPr>
              <w:t xml:space="preserve">Наименование показателя, размерность</w:t>
            </w:r>
            <w:r>
              <w:rPr>
                <w:sz w:val="20"/>
                <w:szCs w:val="20"/>
              </w:rPr>
            </w:r>
            <w:r>
              <w:rPr>
                <w:sz w:val="20"/>
                <w:szCs w:val="20"/>
              </w:rPr>
            </w:r>
          </w:p>
        </w:tc>
        <w:tc>
          <w:tcPr>
            <w:shd w:val="clear" w:color="auto" w:fill="auto"/>
            <w:tcW w:w="592" w:type="pct"/>
            <w:vAlign w:val="center"/>
            <w:textDirection w:val="lrTb"/>
            <w:noWrap w:val="false"/>
          </w:tcPr>
          <w:p>
            <w:pPr>
              <w:jc w:val="center"/>
              <w:rPr>
                <w:sz w:val="20"/>
                <w:szCs w:val="20"/>
              </w:rPr>
            </w:pPr>
            <w:r>
              <w:rPr>
                <w:sz w:val="20"/>
                <w:szCs w:val="20"/>
              </w:rPr>
              <w:t xml:space="preserve">2023 г.</w:t>
            </w:r>
            <w:r>
              <w:rPr>
                <w:sz w:val="20"/>
                <w:szCs w:val="20"/>
              </w:rPr>
            </w:r>
            <w:r>
              <w:rPr>
                <w:sz w:val="20"/>
                <w:szCs w:val="20"/>
              </w:rPr>
            </w:r>
          </w:p>
        </w:tc>
      </w:tr>
      <w:tr>
        <w:tblPrEx/>
        <w:trPr>
          <w:trHeight w:val="300"/>
        </w:trPr>
        <w:tc>
          <w:tcPr>
            <w:gridSpan w:val="3"/>
            <w:shd w:val="clear" w:color="auto" w:fill="auto"/>
            <w:tcW w:w="5000" w:type="pct"/>
            <w:vAlign w:val="center"/>
            <w:textDirection w:val="lrTb"/>
            <w:noWrap w:val="false"/>
          </w:tcPr>
          <w:p>
            <w:pPr>
              <w:jc w:val="center"/>
              <w:rPr>
                <w:b/>
                <w:sz w:val="20"/>
                <w:szCs w:val="20"/>
              </w:rPr>
            </w:pPr>
            <w:r>
              <w:rPr>
                <w:b/>
                <w:color w:val="000000"/>
                <w:sz w:val="20"/>
                <w:szCs w:val="20"/>
              </w:rPr>
              <w:t xml:space="preserve">Котельная </w:t>
            </w:r>
            <w:r>
              <w:rPr>
                <w:rFonts w:ascii="Liberation Serif" w:hAnsi="Liberation Serif" w:cs="Calibri"/>
                <w:b/>
                <w:color w:val="000000"/>
                <w:sz w:val="20"/>
                <w:szCs w:val="20"/>
              </w:rPr>
              <w:t xml:space="preserve">п. Новый Мир, ЛПДС «Юргамыш»</w:t>
            </w:r>
            <w:r>
              <w:rPr>
                <w:b/>
                <w:sz w:val="20"/>
                <w:szCs w:val="20"/>
              </w:rPr>
            </w:r>
            <w:r>
              <w:rPr>
                <w:b/>
                <w:sz w:val="20"/>
                <w:szCs w:val="20"/>
              </w:rPr>
            </w:r>
          </w:p>
        </w:tc>
      </w:tr>
      <w:tr>
        <w:tblPrEx/>
        <w:trPr>
          <w:trHeight w:val="75"/>
        </w:trPr>
        <w:tc>
          <w:tcPr>
            <w:shd w:val="clear" w:color="auto" w:fill="auto"/>
            <w:tcW w:w="248" w:type="pct"/>
            <w:vAlign w:val="center"/>
            <w:textDirection w:val="lrTb"/>
            <w:noWrap w:val="false"/>
          </w:tcPr>
          <w:p>
            <w:pPr>
              <w:jc w:val="center"/>
              <w:rPr>
                <w:sz w:val="20"/>
                <w:szCs w:val="20"/>
              </w:rPr>
            </w:pPr>
            <w:r>
              <w:rPr>
                <w:sz w:val="20"/>
                <w:szCs w:val="20"/>
              </w:rPr>
              <w:t xml:space="preserve">1</w:t>
            </w:r>
            <w:r>
              <w:rPr>
                <w:sz w:val="20"/>
                <w:szCs w:val="20"/>
              </w:rPr>
            </w:r>
            <w:r>
              <w:rPr>
                <w:sz w:val="20"/>
                <w:szCs w:val="20"/>
              </w:rPr>
            </w:r>
          </w:p>
        </w:tc>
        <w:tc>
          <w:tcPr>
            <w:shd w:val="clear" w:color="auto" w:fill="auto"/>
            <w:tcW w:w="4160" w:type="pct"/>
            <w:vAlign w:val="center"/>
            <w:textDirection w:val="lrTb"/>
            <w:noWrap w:val="false"/>
          </w:tcPr>
          <w:p>
            <w:pPr>
              <w:rPr>
                <w:sz w:val="20"/>
                <w:szCs w:val="20"/>
              </w:rPr>
            </w:pPr>
            <w:r>
              <w:rPr>
                <w:sz w:val="20"/>
                <w:szCs w:val="20"/>
              </w:rPr>
              <w:t xml:space="preserve">Объем воды в системе теплоснабжения V, м3</w:t>
            </w:r>
            <w:r>
              <w:rPr>
                <w:sz w:val="20"/>
                <w:szCs w:val="20"/>
              </w:rPr>
            </w:r>
            <w:r>
              <w:rPr>
                <w:sz w:val="20"/>
                <w:szCs w:val="20"/>
              </w:rPr>
            </w:r>
          </w:p>
        </w:tc>
        <w:tc>
          <w:tcPr>
            <w:shd w:val="clear" w:color="auto" w:fill="auto"/>
            <w:tcW w:w="592" w:type="pct"/>
            <w:vAlign w:val="center"/>
            <w:textDirection w:val="lrTb"/>
            <w:noWrap w:val="false"/>
          </w:tcPr>
          <w:p>
            <w:pPr>
              <w:jc w:val="center"/>
              <w:rPr>
                <w:sz w:val="20"/>
                <w:szCs w:val="20"/>
              </w:rPr>
            </w:pPr>
            <w:r>
              <w:rPr>
                <w:sz w:val="20"/>
                <w:szCs w:val="20"/>
              </w:rPr>
              <w:t xml:space="preserve">318,494</w:t>
            </w:r>
            <w:r>
              <w:rPr>
                <w:sz w:val="20"/>
                <w:szCs w:val="20"/>
              </w:rPr>
            </w:r>
            <w:r>
              <w:rPr>
                <w:sz w:val="20"/>
                <w:szCs w:val="20"/>
              </w:rPr>
            </w:r>
          </w:p>
        </w:tc>
      </w:tr>
      <w:tr>
        <w:tblPrEx/>
        <w:trPr>
          <w:trHeight w:val="112"/>
        </w:trPr>
        <w:tc>
          <w:tcPr>
            <w:shd w:val="clear" w:color="auto" w:fill="auto"/>
            <w:tcW w:w="248" w:type="pct"/>
            <w:vAlign w:val="center"/>
            <w:textDirection w:val="lrTb"/>
            <w:noWrap w:val="false"/>
          </w:tcPr>
          <w:p>
            <w:pPr>
              <w:jc w:val="center"/>
              <w:rPr>
                <w:sz w:val="20"/>
                <w:szCs w:val="20"/>
              </w:rPr>
            </w:pPr>
            <w:r>
              <w:rPr>
                <w:sz w:val="20"/>
                <w:szCs w:val="20"/>
              </w:rPr>
              <w:t xml:space="preserve">2</w:t>
            </w:r>
            <w:r>
              <w:rPr>
                <w:sz w:val="20"/>
                <w:szCs w:val="20"/>
              </w:rPr>
            </w:r>
            <w:r>
              <w:rPr>
                <w:sz w:val="20"/>
                <w:szCs w:val="20"/>
              </w:rPr>
            </w:r>
          </w:p>
        </w:tc>
        <w:tc>
          <w:tcPr>
            <w:shd w:val="clear" w:color="auto" w:fill="auto"/>
            <w:tcW w:w="4160" w:type="pct"/>
            <w:vAlign w:val="center"/>
            <w:textDirection w:val="lrTb"/>
            <w:noWrap w:val="false"/>
          </w:tcPr>
          <w:p>
            <w:pPr>
              <w:rPr>
                <w:sz w:val="20"/>
                <w:szCs w:val="20"/>
              </w:rPr>
            </w:pPr>
            <w:r>
              <w:rPr>
                <w:sz w:val="20"/>
                <w:szCs w:val="20"/>
              </w:rPr>
              <w:t xml:space="preserve">Установленная производительность водоподготовительной установки, м3/ч</w:t>
            </w:r>
            <w:r>
              <w:rPr>
                <w:sz w:val="20"/>
                <w:szCs w:val="20"/>
              </w:rPr>
            </w:r>
            <w:r>
              <w:rPr>
                <w:sz w:val="20"/>
                <w:szCs w:val="20"/>
              </w:rPr>
            </w:r>
          </w:p>
        </w:tc>
        <w:tc>
          <w:tcPr>
            <w:shd w:val="clear" w:color="auto" w:fill="auto"/>
            <w:tcW w:w="592"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r>
      <w:tr>
        <w:tblPrEx/>
        <w:trPr>
          <w:trHeight w:val="84"/>
        </w:trPr>
        <w:tc>
          <w:tcPr>
            <w:shd w:val="clear" w:color="auto" w:fill="auto"/>
            <w:tcW w:w="248" w:type="pct"/>
            <w:vAlign w:val="center"/>
            <w:textDirection w:val="lrTb"/>
            <w:noWrap w:val="false"/>
          </w:tcPr>
          <w:p>
            <w:pPr>
              <w:jc w:val="center"/>
              <w:rPr>
                <w:sz w:val="20"/>
                <w:szCs w:val="20"/>
              </w:rPr>
            </w:pPr>
            <w:r>
              <w:rPr>
                <w:sz w:val="20"/>
                <w:szCs w:val="20"/>
              </w:rPr>
              <w:t xml:space="preserve">3</w:t>
            </w:r>
            <w:r>
              <w:rPr>
                <w:sz w:val="20"/>
                <w:szCs w:val="20"/>
              </w:rPr>
            </w:r>
            <w:r>
              <w:rPr>
                <w:sz w:val="20"/>
                <w:szCs w:val="20"/>
              </w:rPr>
            </w:r>
          </w:p>
        </w:tc>
        <w:tc>
          <w:tcPr>
            <w:shd w:val="clear" w:color="auto" w:fill="auto"/>
            <w:tcW w:w="4160" w:type="pct"/>
            <w:vAlign w:val="center"/>
            <w:textDirection w:val="lrTb"/>
            <w:noWrap w:val="false"/>
          </w:tcPr>
          <w:p>
            <w:pPr>
              <w:rPr>
                <w:sz w:val="20"/>
                <w:szCs w:val="20"/>
              </w:rPr>
            </w:pPr>
            <w:r>
              <w:rPr>
                <w:sz w:val="20"/>
                <w:szCs w:val="20"/>
              </w:rPr>
              <w:t xml:space="preserve">Располагаемая производительность водоподготовительной установки, м3/ч</w:t>
            </w:r>
            <w:r>
              <w:rPr>
                <w:sz w:val="20"/>
                <w:szCs w:val="20"/>
              </w:rPr>
            </w:r>
            <w:r>
              <w:rPr>
                <w:sz w:val="20"/>
                <w:szCs w:val="20"/>
              </w:rPr>
            </w:r>
          </w:p>
        </w:tc>
        <w:tc>
          <w:tcPr>
            <w:shd w:val="clear" w:color="auto" w:fill="auto"/>
            <w:tcW w:w="592"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r>
      <w:tr>
        <w:tblPrEx/>
        <w:trPr>
          <w:trHeight w:val="75"/>
        </w:trPr>
        <w:tc>
          <w:tcPr>
            <w:shd w:val="clear" w:color="auto" w:fill="auto"/>
            <w:tcW w:w="248" w:type="pct"/>
            <w:vAlign w:val="center"/>
            <w:textDirection w:val="lrTb"/>
            <w:noWrap w:val="false"/>
          </w:tcPr>
          <w:p>
            <w:pPr>
              <w:jc w:val="center"/>
              <w:rPr>
                <w:sz w:val="20"/>
                <w:szCs w:val="20"/>
              </w:rPr>
            </w:pPr>
            <w:r>
              <w:rPr>
                <w:sz w:val="20"/>
                <w:szCs w:val="20"/>
              </w:rPr>
              <w:t xml:space="preserve">4</w:t>
            </w:r>
            <w:r>
              <w:rPr>
                <w:sz w:val="20"/>
                <w:szCs w:val="20"/>
              </w:rPr>
            </w:r>
            <w:r>
              <w:rPr>
                <w:sz w:val="20"/>
                <w:szCs w:val="20"/>
              </w:rPr>
            </w:r>
          </w:p>
        </w:tc>
        <w:tc>
          <w:tcPr>
            <w:shd w:val="clear" w:color="auto" w:fill="auto"/>
            <w:tcW w:w="4160" w:type="pct"/>
            <w:vAlign w:val="center"/>
            <w:textDirection w:val="lrTb"/>
            <w:noWrap w:val="false"/>
          </w:tcPr>
          <w:p>
            <w:pPr>
              <w:rPr>
                <w:sz w:val="20"/>
                <w:szCs w:val="20"/>
              </w:rPr>
            </w:pPr>
            <w:r>
              <w:rPr>
                <w:sz w:val="20"/>
                <w:szCs w:val="20"/>
              </w:rPr>
              <w:t xml:space="preserve">Потери располагаемой производительности, %</w:t>
            </w:r>
            <w:r>
              <w:rPr>
                <w:sz w:val="20"/>
                <w:szCs w:val="20"/>
              </w:rPr>
            </w:r>
            <w:r>
              <w:rPr>
                <w:sz w:val="20"/>
                <w:szCs w:val="20"/>
              </w:rPr>
            </w:r>
          </w:p>
        </w:tc>
        <w:tc>
          <w:tcPr>
            <w:shd w:val="clear" w:color="auto" w:fill="auto"/>
            <w:tcW w:w="592"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r>
      <w:tr>
        <w:tblPrEx/>
        <w:trPr>
          <w:trHeight w:val="75"/>
        </w:trPr>
        <w:tc>
          <w:tcPr>
            <w:shd w:val="clear" w:color="auto" w:fill="auto"/>
            <w:tcW w:w="248" w:type="pct"/>
            <w:vAlign w:val="center"/>
            <w:textDirection w:val="lrTb"/>
            <w:noWrap w:val="false"/>
          </w:tcPr>
          <w:p>
            <w:pPr>
              <w:jc w:val="center"/>
              <w:rPr>
                <w:sz w:val="20"/>
                <w:szCs w:val="20"/>
              </w:rPr>
            </w:pPr>
            <w:r>
              <w:rPr>
                <w:sz w:val="20"/>
                <w:szCs w:val="20"/>
              </w:rPr>
              <w:t xml:space="preserve">5</w:t>
            </w:r>
            <w:r>
              <w:rPr>
                <w:sz w:val="20"/>
                <w:szCs w:val="20"/>
              </w:rPr>
            </w:r>
            <w:r>
              <w:rPr>
                <w:sz w:val="20"/>
                <w:szCs w:val="20"/>
              </w:rPr>
            </w:r>
          </w:p>
        </w:tc>
        <w:tc>
          <w:tcPr>
            <w:shd w:val="clear" w:color="auto" w:fill="auto"/>
            <w:tcW w:w="4160" w:type="pct"/>
            <w:vAlign w:val="center"/>
            <w:textDirection w:val="lrTb"/>
            <w:noWrap w:val="false"/>
          </w:tcPr>
          <w:p>
            <w:pPr>
              <w:rPr>
                <w:sz w:val="20"/>
                <w:szCs w:val="20"/>
              </w:rPr>
            </w:pPr>
            <w:r>
              <w:rPr>
                <w:sz w:val="20"/>
                <w:szCs w:val="20"/>
              </w:rPr>
              <w:t xml:space="preserve">Собственные нужды водоподготовительной установки, м3/ч</w:t>
            </w:r>
            <w:r>
              <w:rPr>
                <w:sz w:val="20"/>
                <w:szCs w:val="20"/>
              </w:rPr>
            </w:r>
            <w:r>
              <w:rPr>
                <w:sz w:val="20"/>
                <w:szCs w:val="20"/>
              </w:rPr>
            </w:r>
          </w:p>
        </w:tc>
        <w:tc>
          <w:tcPr>
            <w:shd w:val="clear" w:color="auto" w:fill="auto"/>
            <w:tcW w:w="592"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r>
      <w:tr>
        <w:tblPrEx/>
        <w:trPr>
          <w:trHeight w:val="75"/>
        </w:trPr>
        <w:tc>
          <w:tcPr>
            <w:shd w:val="clear" w:color="auto" w:fill="auto"/>
            <w:tcW w:w="248" w:type="pct"/>
            <w:vAlign w:val="center"/>
            <w:textDirection w:val="lrTb"/>
            <w:noWrap w:val="false"/>
          </w:tcPr>
          <w:p>
            <w:pPr>
              <w:jc w:val="center"/>
              <w:rPr>
                <w:sz w:val="20"/>
                <w:szCs w:val="20"/>
              </w:rPr>
            </w:pPr>
            <w:r>
              <w:rPr>
                <w:sz w:val="20"/>
                <w:szCs w:val="20"/>
              </w:rPr>
              <w:t xml:space="preserve">6</w:t>
            </w:r>
            <w:r>
              <w:rPr>
                <w:sz w:val="20"/>
                <w:szCs w:val="20"/>
              </w:rPr>
            </w:r>
            <w:r>
              <w:rPr>
                <w:sz w:val="20"/>
                <w:szCs w:val="20"/>
              </w:rPr>
            </w:r>
          </w:p>
        </w:tc>
        <w:tc>
          <w:tcPr>
            <w:shd w:val="clear" w:color="auto" w:fill="auto"/>
            <w:tcW w:w="4160" w:type="pct"/>
            <w:vAlign w:val="center"/>
            <w:textDirection w:val="lrTb"/>
            <w:noWrap w:val="false"/>
          </w:tcPr>
          <w:p>
            <w:pPr>
              <w:rPr>
                <w:sz w:val="20"/>
                <w:szCs w:val="20"/>
              </w:rPr>
            </w:pPr>
            <w:r>
              <w:rPr>
                <w:sz w:val="20"/>
                <w:szCs w:val="20"/>
              </w:rPr>
              <w:t xml:space="preserve">Количество баков-аккумуляторов теплоносителя, шт.</w:t>
            </w:r>
            <w:r>
              <w:rPr>
                <w:sz w:val="20"/>
                <w:szCs w:val="20"/>
              </w:rPr>
            </w:r>
            <w:r>
              <w:rPr>
                <w:sz w:val="20"/>
                <w:szCs w:val="20"/>
              </w:rPr>
            </w:r>
          </w:p>
        </w:tc>
        <w:tc>
          <w:tcPr>
            <w:shd w:val="clear" w:color="auto" w:fill="auto"/>
            <w:tcW w:w="592"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r>
      <w:tr>
        <w:tblPrEx/>
        <w:trPr>
          <w:trHeight w:val="75"/>
        </w:trPr>
        <w:tc>
          <w:tcPr>
            <w:shd w:val="clear" w:color="auto" w:fill="auto"/>
            <w:tcW w:w="248" w:type="pct"/>
            <w:vAlign w:val="center"/>
            <w:textDirection w:val="lrTb"/>
            <w:noWrap w:val="false"/>
          </w:tcPr>
          <w:p>
            <w:pPr>
              <w:jc w:val="center"/>
              <w:rPr>
                <w:sz w:val="20"/>
                <w:szCs w:val="20"/>
              </w:rPr>
            </w:pPr>
            <w:r>
              <w:rPr>
                <w:sz w:val="20"/>
                <w:szCs w:val="20"/>
              </w:rPr>
              <w:t xml:space="preserve">7</w:t>
            </w:r>
            <w:r>
              <w:rPr>
                <w:sz w:val="20"/>
                <w:szCs w:val="20"/>
              </w:rPr>
            </w:r>
            <w:r>
              <w:rPr>
                <w:sz w:val="20"/>
                <w:szCs w:val="20"/>
              </w:rPr>
            </w:r>
          </w:p>
        </w:tc>
        <w:tc>
          <w:tcPr>
            <w:shd w:val="clear" w:color="auto" w:fill="auto"/>
            <w:tcW w:w="4160" w:type="pct"/>
            <w:vAlign w:val="center"/>
            <w:textDirection w:val="lrTb"/>
            <w:noWrap w:val="false"/>
          </w:tcPr>
          <w:p>
            <w:pPr>
              <w:rPr>
                <w:sz w:val="20"/>
                <w:szCs w:val="20"/>
              </w:rPr>
            </w:pPr>
            <w:r>
              <w:rPr>
                <w:sz w:val="20"/>
                <w:szCs w:val="20"/>
              </w:rPr>
              <w:t xml:space="preserve">Емкость баков аккумуляторов, тыс. м3</w:t>
            </w:r>
            <w:r>
              <w:rPr>
                <w:sz w:val="20"/>
                <w:szCs w:val="20"/>
              </w:rPr>
            </w:r>
            <w:r>
              <w:rPr>
                <w:sz w:val="20"/>
                <w:szCs w:val="20"/>
              </w:rPr>
            </w:r>
          </w:p>
        </w:tc>
        <w:tc>
          <w:tcPr>
            <w:shd w:val="clear" w:color="auto" w:fill="auto"/>
            <w:tcW w:w="592"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r>
      <w:tr>
        <w:tblPrEx/>
        <w:trPr>
          <w:trHeight w:val="75"/>
        </w:trPr>
        <w:tc>
          <w:tcPr>
            <w:shd w:val="clear" w:color="auto" w:fill="auto"/>
            <w:tcW w:w="248" w:type="pct"/>
            <w:vAlign w:val="center"/>
            <w:textDirection w:val="lrTb"/>
            <w:noWrap w:val="false"/>
          </w:tcPr>
          <w:p>
            <w:pPr>
              <w:jc w:val="center"/>
              <w:rPr>
                <w:sz w:val="20"/>
                <w:szCs w:val="20"/>
              </w:rPr>
            </w:pPr>
            <w:r>
              <w:rPr>
                <w:sz w:val="20"/>
                <w:szCs w:val="20"/>
              </w:rPr>
              <w:t xml:space="preserve">8</w:t>
            </w:r>
            <w:r>
              <w:rPr>
                <w:sz w:val="20"/>
                <w:szCs w:val="20"/>
              </w:rPr>
            </w:r>
            <w:r>
              <w:rPr>
                <w:sz w:val="20"/>
                <w:szCs w:val="20"/>
              </w:rPr>
            </w:r>
          </w:p>
        </w:tc>
        <w:tc>
          <w:tcPr>
            <w:shd w:val="clear" w:color="auto" w:fill="auto"/>
            <w:tcW w:w="4160" w:type="pct"/>
            <w:vAlign w:val="center"/>
            <w:textDirection w:val="lrTb"/>
            <w:noWrap w:val="false"/>
          </w:tcPr>
          <w:p>
            <w:pPr>
              <w:rPr>
                <w:sz w:val="20"/>
                <w:szCs w:val="20"/>
              </w:rPr>
            </w:pPr>
            <w:r>
              <w:rPr>
                <w:sz w:val="20"/>
                <w:szCs w:val="20"/>
              </w:rPr>
              <w:t xml:space="preserve">Требуемая расчетная производительность водоподготовительной установки (0,75% V), м3/ч</w:t>
            </w:r>
            <w:r>
              <w:rPr>
                <w:sz w:val="20"/>
                <w:szCs w:val="20"/>
              </w:rPr>
            </w:r>
            <w:r>
              <w:rPr>
                <w:sz w:val="20"/>
                <w:szCs w:val="20"/>
              </w:rPr>
            </w:r>
          </w:p>
        </w:tc>
        <w:tc>
          <w:tcPr>
            <w:shd w:val="clear" w:color="auto" w:fill="auto"/>
            <w:tcW w:w="592" w:type="pct"/>
            <w:vAlign w:val="center"/>
            <w:textDirection w:val="lrTb"/>
            <w:noWrap w:val="false"/>
          </w:tcPr>
          <w:p>
            <w:pPr>
              <w:jc w:val="center"/>
              <w:rPr>
                <w:sz w:val="20"/>
                <w:szCs w:val="20"/>
              </w:rPr>
            </w:pPr>
            <w:r>
              <w:rPr>
                <w:sz w:val="20"/>
                <w:szCs w:val="20"/>
              </w:rPr>
              <w:t xml:space="preserve">2,389</w:t>
            </w:r>
            <w:r>
              <w:rPr>
                <w:sz w:val="20"/>
                <w:szCs w:val="20"/>
              </w:rPr>
            </w:r>
            <w:r>
              <w:rPr>
                <w:sz w:val="20"/>
                <w:szCs w:val="20"/>
              </w:rPr>
            </w:r>
          </w:p>
        </w:tc>
      </w:tr>
      <w:tr>
        <w:tblPrEx/>
        <w:trPr>
          <w:trHeight w:val="75"/>
        </w:trPr>
        <w:tc>
          <w:tcPr>
            <w:shd w:val="clear" w:color="auto" w:fill="auto"/>
            <w:tcW w:w="248" w:type="pct"/>
            <w:vAlign w:val="center"/>
            <w:textDirection w:val="lrTb"/>
            <w:noWrap w:val="false"/>
          </w:tcPr>
          <w:p>
            <w:pPr>
              <w:jc w:val="center"/>
              <w:rPr>
                <w:sz w:val="20"/>
                <w:szCs w:val="20"/>
              </w:rPr>
            </w:pPr>
            <w:r>
              <w:rPr>
                <w:sz w:val="20"/>
                <w:szCs w:val="20"/>
              </w:rPr>
              <w:t xml:space="preserve">9</w:t>
            </w:r>
            <w:r>
              <w:rPr>
                <w:sz w:val="20"/>
                <w:szCs w:val="20"/>
              </w:rPr>
            </w:r>
            <w:r>
              <w:rPr>
                <w:sz w:val="20"/>
                <w:szCs w:val="20"/>
              </w:rPr>
            </w:r>
          </w:p>
        </w:tc>
        <w:tc>
          <w:tcPr>
            <w:shd w:val="clear" w:color="auto" w:fill="auto"/>
            <w:tcW w:w="4160" w:type="pct"/>
            <w:vAlign w:val="center"/>
            <w:textDirection w:val="lrTb"/>
            <w:noWrap w:val="false"/>
          </w:tcPr>
          <w:p>
            <w:pPr>
              <w:rPr>
                <w:sz w:val="20"/>
                <w:szCs w:val="20"/>
              </w:rPr>
            </w:pPr>
            <w:r>
              <w:rPr>
                <w:sz w:val="20"/>
                <w:szCs w:val="20"/>
              </w:rPr>
              <w:t xml:space="preserve">Всего подпитка тепловой сети, м3/ч, в том числе:</w:t>
            </w:r>
            <w:r>
              <w:rPr>
                <w:sz w:val="20"/>
                <w:szCs w:val="20"/>
              </w:rPr>
            </w:r>
            <w:r>
              <w:rPr>
                <w:sz w:val="20"/>
                <w:szCs w:val="20"/>
              </w:rPr>
            </w:r>
          </w:p>
        </w:tc>
        <w:tc>
          <w:tcPr>
            <w:shd w:val="clear" w:color="auto" w:fill="auto"/>
            <w:tcW w:w="592" w:type="pct"/>
            <w:vAlign w:val="center"/>
            <w:textDirection w:val="lrTb"/>
            <w:noWrap w:val="false"/>
          </w:tcPr>
          <w:p>
            <w:pPr>
              <w:jc w:val="center"/>
              <w:rPr>
                <w:sz w:val="20"/>
                <w:szCs w:val="20"/>
              </w:rPr>
            </w:pPr>
            <w:r>
              <w:rPr>
                <w:sz w:val="20"/>
                <w:szCs w:val="20"/>
              </w:rPr>
              <w:t xml:space="preserve">0,796</w:t>
            </w:r>
            <w:r>
              <w:rPr>
                <w:sz w:val="20"/>
                <w:szCs w:val="20"/>
              </w:rPr>
            </w:r>
            <w:r>
              <w:rPr>
                <w:sz w:val="20"/>
                <w:szCs w:val="20"/>
              </w:rPr>
            </w:r>
          </w:p>
        </w:tc>
      </w:tr>
      <w:tr>
        <w:tblPrEx/>
        <w:trPr>
          <w:trHeight w:val="75"/>
        </w:trPr>
        <w:tc>
          <w:tcPr>
            <w:shd w:val="clear" w:color="auto" w:fill="auto"/>
            <w:tcW w:w="248" w:type="pct"/>
            <w:vAlign w:val="center"/>
            <w:textDirection w:val="lrTb"/>
            <w:noWrap w:val="false"/>
          </w:tcPr>
          <w:p>
            <w:pPr>
              <w:jc w:val="center"/>
              <w:rPr>
                <w:sz w:val="20"/>
                <w:szCs w:val="20"/>
              </w:rPr>
            </w:pPr>
            <w:r>
              <w:rPr>
                <w:sz w:val="20"/>
                <w:szCs w:val="20"/>
              </w:rPr>
              <w:t xml:space="preserve">9.1</w:t>
            </w:r>
            <w:r>
              <w:rPr>
                <w:sz w:val="20"/>
                <w:szCs w:val="20"/>
              </w:rPr>
            </w:r>
            <w:r>
              <w:rPr>
                <w:sz w:val="20"/>
                <w:szCs w:val="20"/>
              </w:rPr>
            </w:r>
          </w:p>
        </w:tc>
        <w:tc>
          <w:tcPr>
            <w:shd w:val="clear" w:color="auto" w:fill="auto"/>
            <w:tcW w:w="4160" w:type="pct"/>
            <w:vAlign w:val="center"/>
            <w:textDirection w:val="lrTb"/>
            <w:noWrap w:val="false"/>
          </w:tcPr>
          <w:p>
            <w:pPr>
              <w:rPr>
                <w:sz w:val="20"/>
                <w:szCs w:val="20"/>
              </w:rPr>
            </w:pPr>
            <w:r>
              <w:rPr>
                <w:sz w:val="20"/>
                <w:szCs w:val="20"/>
              </w:rPr>
              <w:t xml:space="preserve">- нормативные утечки теплоносителя (0,25% V), м3/ч</w:t>
            </w:r>
            <w:r>
              <w:rPr>
                <w:sz w:val="20"/>
                <w:szCs w:val="20"/>
              </w:rPr>
            </w:r>
            <w:r>
              <w:rPr>
                <w:sz w:val="20"/>
                <w:szCs w:val="20"/>
              </w:rPr>
            </w:r>
          </w:p>
        </w:tc>
        <w:tc>
          <w:tcPr>
            <w:shd w:val="clear" w:color="auto" w:fill="auto"/>
            <w:tcW w:w="592" w:type="pct"/>
            <w:vAlign w:val="center"/>
            <w:textDirection w:val="lrTb"/>
            <w:noWrap w:val="false"/>
          </w:tcPr>
          <w:p>
            <w:pPr>
              <w:jc w:val="center"/>
              <w:rPr>
                <w:sz w:val="20"/>
                <w:szCs w:val="20"/>
              </w:rPr>
            </w:pPr>
            <w:r>
              <w:rPr>
                <w:sz w:val="20"/>
                <w:szCs w:val="20"/>
              </w:rPr>
              <w:t xml:space="preserve">0,796</w:t>
            </w:r>
            <w:r>
              <w:rPr>
                <w:sz w:val="20"/>
                <w:szCs w:val="20"/>
              </w:rPr>
            </w:r>
            <w:r>
              <w:rPr>
                <w:sz w:val="20"/>
                <w:szCs w:val="20"/>
              </w:rPr>
            </w:r>
          </w:p>
        </w:tc>
      </w:tr>
      <w:tr>
        <w:tblPrEx/>
        <w:trPr>
          <w:trHeight w:val="75"/>
        </w:trPr>
        <w:tc>
          <w:tcPr>
            <w:shd w:val="clear" w:color="auto" w:fill="auto"/>
            <w:tcW w:w="248" w:type="pct"/>
            <w:vAlign w:val="center"/>
            <w:textDirection w:val="lrTb"/>
            <w:noWrap w:val="false"/>
          </w:tcPr>
          <w:p>
            <w:pPr>
              <w:jc w:val="center"/>
              <w:rPr>
                <w:sz w:val="20"/>
                <w:szCs w:val="20"/>
              </w:rPr>
            </w:pPr>
            <w:r>
              <w:rPr>
                <w:sz w:val="20"/>
                <w:szCs w:val="20"/>
              </w:rPr>
              <w:t xml:space="preserve">9.2</w:t>
            </w:r>
            <w:r>
              <w:rPr>
                <w:sz w:val="20"/>
                <w:szCs w:val="20"/>
              </w:rPr>
            </w:r>
            <w:r>
              <w:rPr>
                <w:sz w:val="20"/>
                <w:szCs w:val="20"/>
              </w:rPr>
            </w:r>
          </w:p>
        </w:tc>
        <w:tc>
          <w:tcPr>
            <w:shd w:val="clear" w:color="auto" w:fill="auto"/>
            <w:tcW w:w="4160" w:type="pct"/>
            <w:vAlign w:val="center"/>
            <w:textDirection w:val="lrTb"/>
            <w:noWrap w:val="false"/>
          </w:tcPr>
          <w:p>
            <w:pPr>
              <w:rPr>
                <w:sz w:val="20"/>
                <w:szCs w:val="20"/>
              </w:rPr>
            </w:pPr>
            <w:r>
              <w:rPr>
                <w:sz w:val="20"/>
                <w:szCs w:val="20"/>
              </w:rPr>
              <w:t xml:space="preserve">- сверхнормативные утечки теплоносителя, м3/ч</w:t>
            </w:r>
            <w:r>
              <w:rPr>
                <w:sz w:val="20"/>
                <w:szCs w:val="20"/>
              </w:rPr>
            </w:r>
            <w:r>
              <w:rPr>
                <w:sz w:val="20"/>
                <w:szCs w:val="20"/>
              </w:rPr>
            </w:r>
          </w:p>
        </w:tc>
        <w:tc>
          <w:tcPr>
            <w:shd w:val="clear" w:color="auto" w:fill="auto"/>
            <w:tcW w:w="592" w:type="pct"/>
            <w:vAlign w:val="center"/>
            <w:textDirection w:val="lrTb"/>
            <w:noWrap w:val="false"/>
          </w:tcPr>
          <w:p>
            <w:pPr>
              <w:jc w:val="center"/>
              <w:rPr>
                <w:sz w:val="20"/>
                <w:szCs w:val="20"/>
              </w:rPr>
            </w:pPr>
            <w:r>
              <w:rPr>
                <w:sz w:val="20"/>
                <w:szCs w:val="20"/>
              </w:rPr>
              <w:t xml:space="preserve">0</w:t>
            </w:r>
            <w:r>
              <w:rPr>
                <w:sz w:val="20"/>
                <w:szCs w:val="20"/>
              </w:rPr>
            </w:r>
            <w:r>
              <w:rPr>
                <w:sz w:val="20"/>
                <w:szCs w:val="20"/>
              </w:rPr>
            </w:r>
          </w:p>
        </w:tc>
      </w:tr>
      <w:tr>
        <w:tblPrEx/>
        <w:trPr>
          <w:trHeight w:val="75"/>
        </w:trPr>
        <w:tc>
          <w:tcPr>
            <w:shd w:val="clear" w:color="auto" w:fill="auto"/>
            <w:tcW w:w="248" w:type="pct"/>
            <w:vAlign w:val="center"/>
            <w:textDirection w:val="lrTb"/>
            <w:noWrap w:val="false"/>
          </w:tcPr>
          <w:p>
            <w:pPr>
              <w:jc w:val="center"/>
              <w:rPr>
                <w:sz w:val="20"/>
                <w:szCs w:val="20"/>
              </w:rPr>
            </w:pPr>
            <w:r>
              <w:rPr>
                <w:sz w:val="20"/>
                <w:szCs w:val="20"/>
              </w:rPr>
              <w:t xml:space="preserve">9.3</w:t>
            </w:r>
            <w:r>
              <w:rPr>
                <w:sz w:val="20"/>
                <w:szCs w:val="20"/>
              </w:rPr>
            </w:r>
            <w:r>
              <w:rPr>
                <w:sz w:val="20"/>
                <w:szCs w:val="20"/>
              </w:rPr>
            </w:r>
          </w:p>
        </w:tc>
        <w:tc>
          <w:tcPr>
            <w:shd w:val="clear" w:color="auto" w:fill="auto"/>
            <w:tcW w:w="4160" w:type="pct"/>
            <w:vAlign w:val="center"/>
            <w:textDirection w:val="lrTb"/>
            <w:noWrap w:val="false"/>
          </w:tcPr>
          <w:p>
            <w:pPr>
              <w:rPr>
                <w:sz w:val="20"/>
                <w:szCs w:val="20"/>
              </w:rPr>
            </w:pPr>
            <w:r>
              <w:rPr>
                <w:sz w:val="20"/>
                <w:szCs w:val="20"/>
              </w:rPr>
              <w:t xml:space="preserve">- отпуск теплоносителя из тепловых сетей на цели горячего водоснабжения (для открытых систем теплоснабжения), т/ч</w:t>
            </w:r>
            <w:r>
              <w:rPr>
                <w:sz w:val="20"/>
                <w:szCs w:val="20"/>
              </w:rPr>
            </w:r>
            <w:r>
              <w:rPr>
                <w:sz w:val="20"/>
                <w:szCs w:val="20"/>
              </w:rPr>
            </w:r>
          </w:p>
        </w:tc>
        <w:tc>
          <w:tcPr>
            <w:shd w:val="clear" w:color="auto" w:fill="auto"/>
            <w:tcW w:w="592" w:type="pct"/>
            <w:vAlign w:val="center"/>
            <w:textDirection w:val="lrTb"/>
            <w:noWrap w:val="false"/>
          </w:tcPr>
          <w:p>
            <w:pPr>
              <w:jc w:val="center"/>
              <w:rPr>
                <w:sz w:val="20"/>
                <w:szCs w:val="20"/>
              </w:rPr>
            </w:pPr>
            <w:r>
              <w:rPr>
                <w:sz w:val="20"/>
                <w:szCs w:val="20"/>
              </w:rPr>
              <w:t xml:space="preserve">0</w:t>
            </w:r>
            <w:r>
              <w:rPr>
                <w:sz w:val="20"/>
                <w:szCs w:val="20"/>
              </w:rPr>
            </w:r>
            <w:r>
              <w:rPr>
                <w:sz w:val="20"/>
                <w:szCs w:val="20"/>
              </w:rPr>
            </w:r>
          </w:p>
        </w:tc>
      </w:tr>
      <w:tr>
        <w:tblPrEx/>
        <w:trPr>
          <w:trHeight w:val="75"/>
        </w:trPr>
        <w:tc>
          <w:tcPr>
            <w:shd w:val="clear" w:color="auto" w:fill="auto"/>
            <w:tcW w:w="248" w:type="pct"/>
            <w:vAlign w:val="center"/>
            <w:textDirection w:val="lrTb"/>
            <w:noWrap w:val="false"/>
          </w:tcPr>
          <w:p>
            <w:pPr>
              <w:jc w:val="center"/>
              <w:rPr>
                <w:sz w:val="20"/>
                <w:szCs w:val="20"/>
              </w:rPr>
            </w:pPr>
            <w:r>
              <w:rPr>
                <w:sz w:val="20"/>
                <w:szCs w:val="20"/>
              </w:rPr>
              <w:t xml:space="preserve">10</w:t>
            </w:r>
            <w:r>
              <w:rPr>
                <w:sz w:val="20"/>
                <w:szCs w:val="20"/>
              </w:rPr>
            </w:r>
            <w:r>
              <w:rPr>
                <w:sz w:val="20"/>
                <w:szCs w:val="20"/>
              </w:rPr>
            </w:r>
          </w:p>
        </w:tc>
        <w:tc>
          <w:tcPr>
            <w:shd w:val="clear" w:color="auto" w:fill="auto"/>
            <w:tcW w:w="4160" w:type="pct"/>
            <w:vAlign w:val="center"/>
            <w:textDirection w:val="lrTb"/>
            <w:noWrap w:val="false"/>
          </w:tcPr>
          <w:p>
            <w:pPr>
              <w:rPr>
                <w:sz w:val="20"/>
                <w:szCs w:val="20"/>
              </w:rPr>
            </w:pPr>
            <w:r>
              <w:rPr>
                <w:sz w:val="20"/>
                <w:szCs w:val="20"/>
              </w:rPr>
              <w:t xml:space="preserve">Максимальная подпитка тепловой сети в период повреждения участка (2% V), м3/ч</w:t>
            </w:r>
            <w:r>
              <w:rPr>
                <w:sz w:val="20"/>
                <w:szCs w:val="20"/>
              </w:rPr>
            </w:r>
            <w:r>
              <w:rPr>
                <w:sz w:val="20"/>
                <w:szCs w:val="20"/>
              </w:rPr>
            </w:r>
          </w:p>
        </w:tc>
        <w:tc>
          <w:tcPr>
            <w:shd w:val="clear" w:color="auto" w:fill="auto"/>
            <w:tcW w:w="592" w:type="pct"/>
            <w:vAlign w:val="center"/>
            <w:textDirection w:val="lrTb"/>
            <w:noWrap w:val="false"/>
          </w:tcPr>
          <w:p>
            <w:pPr>
              <w:jc w:val="center"/>
              <w:rPr>
                <w:sz w:val="20"/>
                <w:szCs w:val="20"/>
              </w:rPr>
            </w:pPr>
            <w:r>
              <w:rPr>
                <w:sz w:val="20"/>
                <w:szCs w:val="20"/>
              </w:rPr>
              <w:t xml:space="preserve">6,370</w:t>
            </w:r>
            <w:r>
              <w:rPr>
                <w:sz w:val="20"/>
                <w:szCs w:val="20"/>
              </w:rPr>
            </w:r>
            <w:r>
              <w:rPr>
                <w:sz w:val="20"/>
                <w:szCs w:val="20"/>
              </w:rPr>
            </w:r>
          </w:p>
        </w:tc>
      </w:tr>
      <w:tr>
        <w:tblPrEx/>
        <w:trPr>
          <w:trHeight w:val="75"/>
        </w:trPr>
        <w:tc>
          <w:tcPr>
            <w:shd w:val="clear" w:color="auto" w:fill="auto"/>
            <w:tcW w:w="248" w:type="pct"/>
            <w:vAlign w:val="center"/>
            <w:textDirection w:val="lrTb"/>
            <w:noWrap w:val="false"/>
          </w:tcPr>
          <w:p>
            <w:pPr>
              <w:jc w:val="center"/>
              <w:rPr>
                <w:sz w:val="20"/>
                <w:szCs w:val="20"/>
              </w:rPr>
            </w:pPr>
            <w:r>
              <w:rPr>
                <w:sz w:val="20"/>
                <w:szCs w:val="20"/>
              </w:rPr>
              <w:t xml:space="preserve">11</w:t>
            </w:r>
            <w:r>
              <w:rPr>
                <w:sz w:val="20"/>
                <w:szCs w:val="20"/>
              </w:rPr>
            </w:r>
            <w:r>
              <w:rPr>
                <w:sz w:val="20"/>
                <w:szCs w:val="20"/>
              </w:rPr>
            </w:r>
          </w:p>
        </w:tc>
        <w:tc>
          <w:tcPr>
            <w:shd w:val="clear" w:color="auto" w:fill="auto"/>
            <w:tcW w:w="4160" w:type="pct"/>
            <w:vAlign w:val="center"/>
            <w:textDirection w:val="lrTb"/>
            <w:noWrap w:val="false"/>
          </w:tcPr>
          <w:p>
            <w:pPr>
              <w:rPr>
                <w:sz w:val="20"/>
                <w:szCs w:val="20"/>
              </w:rPr>
            </w:pPr>
            <w:r>
              <w:rPr>
                <w:sz w:val="20"/>
                <w:szCs w:val="20"/>
              </w:rPr>
              <w:t xml:space="preserve">Резерв (+)/дефицит (-), ВПУ,м3/ч</w:t>
            </w:r>
            <w:r>
              <w:rPr>
                <w:sz w:val="20"/>
                <w:szCs w:val="20"/>
              </w:rPr>
            </w:r>
            <w:r>
              <w:rPr>
                <w:sz w:val="20"/>
                <w:szCs w:val="20"/>
              </w:rPr>
            </w:r>
          </w:p>
        </w:tc>
        <w:tc>
          <w:tcPr>
            <w:shd w:val="clear" w:color="auto" w:fill="auto"/>
            <w:tcW w:w="592"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r>
      <w:tr>
        <w:tblPrEx/>
        <w:trPr>
          <w:trHeight w:val="300"/>
        </w:trPr>
        <w:tc>
          <w:tcPr>
            <w:gridSpan w:val="3"/>
            <w:shd w:val="clear" w:color="auto" w:fill="auto"/>
            <w:tcW w:w="5000" w:type="pct"/>
            <w:vAlign w:val="center"/>
            <w:textDirection w:val="lrTb"/>
            <w:noWrap w:val="false"/>
          </w:tcPr>
          <w:p>
            <w:pPr>
              <w:jc w:val="center"/>
              <w:rPr>
                <w:b/>
                <w:sz w:val="20"/>
                <w:szCs w:val="20"/>
              </w:rPr>
            </w:pPr>
            <w:r>
              <w:rPr>
                <w:b/>
                <w:color w:val="000000"/>
                <w:sz w:val="20"/>
                <w:szCs w:val="20"/>
              </w:rPr>
              <w:t xml:space="preserve">Котельная </w:t>
            </w:r>
            <w:r>
              <w:rPr>
                <w:rFonts w:ascii="Liberation Serif" w:hAnsi="Liberation Serif" w:cs="Calibri"/>
                <w:b/>
                <w:color w:val="000000"/>
                <w:sz w:val="20"/>
                <w:szCs w:val="20"/>
              </w:rPr>
              <w:t xml:space="preserve">р.п.  Юргамыш, ул. Железнодорожная, территория тягловой подстанции ОАО «РЖД»</w:t>
            </w:r>
            <w:r>
              <w:rPr>
                <w:b/>
                <w:sz w:val="20"/>
                <w:szCs w:val="20"/>
              </w:rPr>
            </w:r>
            <w:r>
              <w:rPr>
                <w:b/>
                <w:sz w:val="20"/>
                <w:szCs w:val="20"/>
              </w:rPr>
            </w:r>
          </w:p>
        </w:tc>
      </w:tr>
      <w:tr>
        <w:tblPrEx/>
        <w:trPr>
          <w:trHeight w:val="75"/>
        </w:trPr>
        <w:tc>
          <w:tcPr>
            <w:shd w:val="clear" w:color="auto" w:fill="auto"/>
            <w:tcW w:w="248" w:type="pct"/>
            <w:vAlign w:val="center"/>
            <w:textDirection w:val="lrTb"/>
            <w:noWrap w:val="false"/>
          </w:tcPr>
          <w:p>
            <w:pPr>
              <w:jc w:val="center"/>
              <w:rPr>
                <w:sz w:val="20"/>
                <w:szCs w:val="20"/>
              </w:rPr>
            </w:pPr>
            <w:r>
              <w:rPr>
                <w:sz w:val="20"/>
                <w:szCs w:val="20"/>
              </w:rPr>
              <w:t xml:space="preserve">1</w:t>
            </w:r>
            <w:r>
              <w:rPr>
                <w:sz w:val="20"/>
                <w:szCs w:val="20"/>
              </w:rPr>
            </w:r>
            <w:r>
              <w:rPr>
                <w:sz w:val="20"/>
                <w:szCs w:val="20"/>
              </w:rPr>
            </w:r>
          </w:p>
        </w:tc>
        <w:tc>
          <w:tcPr>
            <w:shd w:val="clear" w:color="auto" w:fill="auto"/>
            <w:tcW w:w="4160" w:type="pct"/>
            <w:vAlign w:val="center"/>
            <w:textDirection w:val="lrTb"/>
            <w:noWrap w:val="false"/>
          </w:tcPr>
          <w:p>
            <w:pPr>
              <w:rPr>
                <w:sz w:val="20"/>
                <w:szCs w:val="20"/>
              </w:rPr>
            </w:pPr>
            <w:r>
              <w:rPr>
                <w:sz w:val="20"/>
                <w:szCs w:val="20"/>
              </w:rPr>
              <w:t xml:space="preserve">Объем воды в системе теплоснабжения V, м3</w:t>
            </w:r>
            <w:r>
              <w:rPr>
                <w:sz w:val="20"/>
                <w:szCs w:val="20"/>
              </w:rPr>
            </w:r>
            <w:r>
              <w:rPr>
                <w:sz w:val="20"/>
                <w:szCs w:val="20"/>
              </w:rPr>
            </w:r>
          </w:p>
        </w:tc>
        <w:tc>
          <w:tcPr>
            <w:shd w:val="clear" w:color="auto" w:fill="auto"/>
            <w:tcW w:w="592" w:type="pct"/>
            <w:textDirection w:val="lrTb"/>
            <w:noWrap w:val="false"/>
          </w:tcPr>
          <w:p>
            <w:pPr>
              <w:jc w:val="center"/>
              <w:rPr>
                <w:sz w:val="20"/>
                <w:szCs w:val="20"/>
              </w:rPr>
            </w:pPr>
            <w:r>
              <w:rPr>
                <w:sz w:val="20"/>
                <w:szCs w:val="20"/>
              </w:rPr>
              <w:t xml:space="preserve">2,77</w:t>
            </w:r>
            <w:r>
              <w:rPr>
                <w:sz w:val="20"/>
                <w:szCs w:val="20"/>
              </w:rPr>
            </w:r>
            <w:r>
              <w:rPr>
                <w:sz w:val="20"/>
                <w:szCs w:val="20"/>
              </w:rPr>
            </w:r>
          </w:p>
        </w:tc>
      </w:tr>
      <w:tr>
        <w:tblPrEx/>
        <w:trPr>
          <w:trHeight w:val="75"/>
        </w:trPr>
        <w:tc>
          <w:tcPr>
            <w:shd w:val="clear" w:color="auto" w:fill="auto"/>
            <w:tcW w:w="248" w:type="pct"/>
            <w:vAlign w:val="center"/>
            <w:textDirection w:val="lrTb"/>
            <w:noWrap w:val="false"/>
          </w:tcPr>
          <w:p>
            <w:pPr>
              <w:jc w:val="center"/>
              <w:rPr>
                <w:sz w:val="20"/>
                <w:szCs w:val="20"/>
              </w:rPr>
            </w:pPr>
            <w:r>
              <w:rPr>
                <w:sz w:val="20"/>
                <w:szCs w:val="20"/>
              </w:rPr>
              <w:t xml:space="preserve">2</w:t>
            </w:r>
            <w:r>
              <w:rPr>
                <w:sz w:val="20"/>
                <w:szCs w:val="20"/>
              </w:rPr>
            </w:r>
            <w:r>
              <w:rPr>
                <w:sz w:val="20"/>
                <w:szCs w:val="20"/>
              </w:rPr>
            </w:r>
          </w:p>
        </w:tc>
        <w:tc>
          <w:tcPr>
            <w:shd w:val="clear" w:color="auto" w:fill="auto"/>
            <w:tcW w:w="4160" w:type="pct"/>
            <w:vAlign w:val="center"/>
            <w:textDirection w:val="lrTb"/>
            <w:noWrap w:val="false"/>
          </w:tcPr>
          <w:p>
            <w:pPr>
              <w:rPr>
                <w:sz w:val="20"/>
                <w:szCs w:val="20"/>
              </w:rPr>
            </w:pPr>
            <w:r>
              <w:rPr>
                <w:sz w:val="20"/>
                <w:szCs w:val="20"/>
              </w:rPr>
              <w:t xml:space="preserve">Установленная производительность водоподготовительной установки, м3/ч</w:t>
            </w:r>
            <w:r>
              <w:rPr>
                <w:sz w:val="20"/>
                <w:szCs w:val="20"/>
              </w:rPr>
            </w:r>
            <w:r>
              <w:rPr>
                <w:sz w:val="20"/>
                <w:szCs w:val="20"/>
              </w:rPr>
            </w:r>
          </w:p>
        </w:tc>
        <w:tc>
          <w:tcPr>
            <w:shd w:val="clear" w:color="auto" w:fill="auto"/>
            <w:tcW w:w="592" w:type="pct"/>
            <w:textDirection w:val="lrTb"/>
            <w:noWrap w:val="false"/>
          </w:tcPr>
          <w:p>
            <w:pPr>
              <w:jc w:val="center"/>
              <w:rPr>
                <w:sz w:val="20"/>
                <w:szCs w:val="20"/>
              </w:rPr>
            </w:pPr>
            <w:r>
              <w:rPr>
                <w:sz w:val="20"/>
                <w:szCs w:val="20"/>
              </w:rPr>
              <w:t xml:space="preserve">-</w:t>
            </w:r>
            <w:r>
              <w:rPr>
                <w:sz w:val="20"/>
                <w:szCs w:val="20"/>
              </w:rPr>
            </w:r>
            <w:r>
              <w:rPr>
                <w:sz w:val="20"/>
                <w:szCs w:val="20"/>
              </w:rPr>
            </w:r>
          </w:p>
        </w:tc>
      </w:tr>
      <w:tr>
        <w:tblPrEx/>
        <w:trPr>
          <w:trHeight w:val="75"/>
        </w:trPr>
        <w:tc>
          <w:tcPr>
            <w:shd w:val="clear" w:color="auto" w:fill="auto"/>
            <w:tcW w:w="248" w:type="pct"/>
            <w:vAlign w:val="center"/>
            <w:textDirection w:val="lrTb"/>
            <w:noWrap w:val="false"/>
          </w:tcPr>
          <w:p>
            <w:pPr>
              <w:jc w:val="center"/>
              <w:rPr>
                <w:sz w:val="20"/>
                <w:szCs w:val="20"/>
              </w:rPr>
            </w:pPr>
            <w:r>
              <w:rPr>
                <w:sz w:val="20"/>
                <w:szCs w:val="20"/>
              </w:rPr>
              <w:t xml:space="preserve">3</w:t>
            </w:r>
            <w:r>
              <w:rPr>
                <w:sz w:val="20"/>
                <w:szCs w:val="20"/>
              </w:rPr>
            </w:r>
            <w:r>
              <w:rPr>
                <w:sz w:val="20"/>
                <w:szCs w:val="20"/>
              </w:rPr>
            </w:r>
          </w:p>
        </w:tc>
        <w:tc>
          <w:tcPr>
            <w:shd w:val="clear" w:color="auto" w:fill="auto"/>
            <w:tcW w:w="4160" w:type="pct"/>
            <w:vAlign w:val="center"/>
            <w:textDirection w:val="lrTb"/>
            <w:noWrap w:val="false"/>
          </w:tcPr>
          <w:p>
            <w:pPr>
              <w:rPr>
                <w:sz w:val="20"/>
                <w:szCs w:val="20"/>
              </w:rPr>
            </w:pPr>
            <w:r>
              <w:rPr>
                <w:sz w:val="20"/>
                <w:szCs w:val="20"/>
              </w:rPr>
              <w:t xml:space="preserve">Располагаемая производительность водоподготовительной установки, м3/ч</w:t>
            </w:r>
            <w:r>
              <w:rPr>
                <w:sz w:val="20"/>
                <w:szCs w:val="20"/>
              </w:rPr>
            </w:r>
            <w:r>
              <w:rPr>
                <w:sz w:val="20"/>
                <w:szCs w:val="20"/>
              </w:rPr>
            </w:r>
          </w:p>
        </w:tc>
        <w:tc>
          <w:tcPr>
            <w:shd w:val="clear" w:color="auto" w:fill="auto"/>
            <w:tcW w:w="592" w:type="pct"/>
            <w:textDirection w:val="lrTb"/>
            <w:noWrap w:val="false"/>
          </w:tcPr>
          <w:p>
            <w:pPr>
              <w:jc w:val="center"/>
              <w:rPr>
                <w:sz w:val="20"/>
                <w:szCs w:val="20"/>
              </w:rPr>
            </w:pPr>
            <w:r>
              <w:rPr>
                <w:sz w:val="20"/>
                <w:szCs w:val="20"/>
              </w:rPr>
              <w:t xml:space="preserve">-</w:t>
            </w:r>
            <w:r>
              <w:rPr>
                <w:sz w:val="20"/>
                <w:szCs w:val="20"/>
              </w:rPr>
            </w:r>
            <w:r>
              <w:rPr>
                <w:sz w:val="20"/>
                <w:szCs w:val="20"/>
              </w:rPr>
            </w:r>
          </w:p>
        </w:tc>
      </w:tr>
      <w:tr>
        <w:tblPrEx/>
        <w:trPr>
          <w:trHeight w:val="75"/>
        </w:trPr>
        <w:tc>
          <w:tcPr>
            <w:shd w:val="clear" w:color="auto" w:fill="auto"/>
            <w:tcW w:w="248" w:type="pct"/>
            <w:vAlign w:val="center"/>
            <w:textDirection w:val="lrTb"/>
            <w:noWrap w:val="false"/>
          </w:tcPr>
          <w:p>
            <w:pPr>
              <w:jc w:val="center"/>
              <w:rPr>
                <w:sz w:val="20"/>
                <w:szCs w:val="20"/>
              </w:rPr>
            </w:pPr>
            <w:r>
              <w:rPr>
                <w:sz w:val="20"/>
                <w:szCs w:val="20"/>
              </w:rPr>
              <w:t xml:space="preserve">4</w:t>
            </w:r>
            <w:r>
              <w:rPr>
                <w:sz w:val="20"/>
                <w:szCs w:val="20"/>
              </w:rPr>
            </w:r>
            <w:r>
              <w:rPr>
                <w:sz w:val="20"/>
                <w:szCs w:val="20"/>
              </w:rPr>
            </w:r>
          </w:p>
        </w:tc>
        <w:tc>
          <w:tcPr>
            <w:shd w:val="clear" w:color="auto" w:fill="auto"/>
            <w:tcW w:w="4160" w:type="pct"/>
            <w:vAlign w:val="center"/>
            <w:textDirection w:val="lrTb"/>
            <w:noWrap w:val="false"/>
          </w:tcPr>
          <w:p>
            <w:pPr>
              <w:rPr>
                <w:sz w:val="20"/>
                <w:szCs w:val="20"/>
              </w:rPr>
            </w:pPr>
            <w:r>
              <w:rPr>
                <w:sz w:val="20"/>
                <w:szCs w:val="20"/>
              </w:rPr>
              <w:t xml:space="preserve">Потери располагаемой производительности, %</w:t>
            </w:r>
            <w:r>
              <w:rPr>
                <w:sz w:val="20"/>
                <w:szCs w:val="20"/>
              </w:rPr>
            </w:r>
            <w:r>
              <w:rPr>
                <w:sz w:val="20"/>
                <w:szCs w:val="20"/>
              </w:rPr>
            </w:r>
          </w:p>
        </w:tc>
        <w:tc>
          <w:tcPr>
            <w:shd w:val="clear" w:color="auto" w:fill="auto"/>
            <w:tcW w:w="592" w:type="pct"/>
            <w:textDirection w:val="lrTb"/>
            <w:noWrap w:val="false"/>
          </w:tcPr>
          <w:p>
            <w:pPr>
              <w:jc w:val="center"/>
              <w:rPr>
                <w:sz w:val="20"/>
                <w:szCs w:val="20"/>
              </w:rPr>
            </w:pPr>
            <w:r>
              <w:rPr>
                <w:sz w:val="20"/>
                <w:szCs w:val="20"/>
              </w:rPr>
              <w:t xml:space="preserve">-</w:t>
            </w:r>
            <w:r>
              <w:rPr>
                <w:sz w:val="20"/>
                <w:szCs w:val="20"/>
              </w:rPr>
            </w:r>
            <w:r>
              <w:rPr>
                <w:sz w:val="20"/>
                <w:szCs w:val="20"/>
              </w:rPr>
            </w:r>
          </w:p>
        </w:tc>
      </w:tr>
      <w:tr>
        <w:tblPrEx/>
        <w:trPr>
          <w:trHeight w:val="75"/>
        </w:trPr>
        <w:tc>
          <w:tcPr>
            <w:shd w:val="clear" w:color="auto" w:fill="auto"/>
            <w:tcW w:w="248" w:type="pct"/>
            <w:vAlign w:val="center"/>
            <w:textDirection w:val="lrTb"/>
            <w:noWrap w:val="false"/>
          </w:tcPr>
          <w:p>
            <w:pPr>
              <w:jc w:val="center"/>
              <w:rPr>
                <w:sz w:val="20"/>
                <w:szCs w:val="20"/>
              </w:rPr>
            </w:pPr>
            <w:r>
              <w:rPr>
                <w:sz w:val="20"/>
                <w:szCs w:val="20"/>
              </w:rPr>
              <w:t xml:space="preserve">5</w:t>
            </w:r>
            <w:r>
              <w:rPr>
                <w:sz w:val="20"/>
                <w:szCs w:val="20"/>
              </w:rPr>
            </w:r>
            <w:r>
              <w:rPr>
                <w:sz w:val="20"/>
                <w:szCs w:val="20"/>
              </w:rPr>
            </w:r>
          </w:p>
        </w:tc>
        <w:tc>
          <w:tcPr>
            <w:shd w:val="clear" w:color="auto" w:fill="auto"/>
            <w:tcW w:w="4160" w:type="pct"/>
            <w:vAlign w:val="center"/>
            <w:textDirection w:val="lrTb"/>
            <w:noWrap w:val="false"/>
          </w:tcPr>
          <w:p>
            <w:pPr>
              <w:rPr>
                <w:sz w:val="20"/>
                <w:szCs w:val="20"/>
              </w:rPr>
            </w:pPr>
            <w:r>
              <w:rPr>
                <w:sz w:val="20"/>
                <w:szCs w:val="20"/>
              </w:rPr>
              <w:t xml:space="preserve">Собственные нужды водоподготовительной установки, м3/ч</w:t>
            </w:r>
            <w:r>
              <w:rPr>
                <w:sz w:val="20"/>
                <w:szCs w:val="20"/>
              </w:rPr>
            </w:r>
            <w:r>
              <w:rPr>
                <w:sz w:val="20"/>
                <w:szCs w:val="20"/>
              </w:rPr>
            </w:r>
          </w:p>
        </w:tc>
        <w:tc>
          <w:tcPr>
            <w:shd w:val="clear" w:color="auto" w:fill="auto"/>
            <w:tcW w:w="592" w:type="pct"/>
            <w:textDirection w:val="lrTb"/>
            <w:noWrap w:val="false"/>
          </w:tcPr>
          <w:p>
            <w:pPr>
              <w:jc w:val="center"/>
              <w:rPr>
                <w:sz w:val="20"/>
                <w:szCs w:val="20"/>
              </w:rPr>
            </w:pPr>
            <w:r>
              <w:rPr>
                <w:sz w:val="20"/>
                <w:szCs w:val="20"/>
              </w:rPr>
              <w:t xml:space="preserve">-</w:t>
            </w:r>
            <w:r>
              <w:rPr>
                <w:sz w:val="20"/>
                <w:szCs w:val="20"/>
              </w:rPr>
            </w:r>
            <w:r>
              <w:rPr>
                <w:sz w:val="20"/>
                <w:szCs w:val="20"/>
              </w:rPr>
            </w:r>
          </w:p>
        </w:tc>
      </w:tr>
      <w:tr>
        <w:tblPrEx/>
        <w:trPr>
          <w:trHeight w:val="75"/>
        </w:trPr>
        <w:tc>
          <w:tcPr>
            <w:shd w:val="clear" w:color="auto" w:fill="auto"/>
            <w:tcW w:w="248" w:type="pct"/>
            <w:vAlign w:val="center"/>
            <w:textDirection w:val="lrTb"/>
            <w:noWrap w:val="false"/>
          </w:tcPr>
          <w:p>
            <w:pPr>
              <w:jc w:val="center"/>
              <w:rPr>
                <w:sz w:val="20"/>
                <w:szCs w:val="20"/>
              </w:rPr>
            </w:pPr>
            <w:r>
              <w:rPr>
                <w:sz w:val="20"/>
                <w:szCs w:val="20"/>
              </w:rPr>
              <w:t xml:space="preserve">6</w:t>
            </w:r>
            <w:r>
              <w:rPr>
                <w:sz w:val="20"/>
                <w:szCs w:val="20"/>
              </w:rPr>
            </w:r>
            <w:r>
              <w:rPr>
                <w:sz w:val="20"/>
                <w:szCs w:val="20"/>
              </w:rPr>
            </w:r>
          </w:p>
        </w:tc>
        <w:tc>
          <w:tcPr>
            <w:shd w:val="clear" w:color="auto" w:fill="auto"/>
            <w:tcW w:w="4160" w:type="pct"/>
            <w:vAlign w:val="center"/>
            <w:textDirection w:val="lrTb"/>
            <w:noWrap w:val="false"/>
          </w:tcPr>
          <w:p>
            <w:pPr>
              <w:rPr>
                <w:sz w:val="20"/>
                <w:szCs w:val="20"/>
              </w:rPr>
            </w:pPr>
            <w:r>
              <w:rPr>
                <w:sz w:val="20"/>
                <w:szCs w:val="20"/>
              </w:rPr>
              <w:t xml:space="preserve">Количество баков-аккумуляторов теплоносителя, шт.</w:t>
            </w:r>
            <w:r>
              <w:rPr>
                <w:sz w:val="20"/>
                <w:szCs w:val="20"/>
              </w:rPr>
            </w:r>
            <w:r>
              <w:rPr>
                <w:sz w:val="20"/>
                <w:szCs w:val="20"/>
              </w:rPr>
            </w:r>
          </w:p>
        </w:tc>
        <w:tc>
          <w:tcPr>
            <w:shd w:val="clear" w:color="auto" w:fill="auto"/>
            <w:tcW w:w="592" w:type="pct"/>
            <w:textDirection w:val="lrTb"/>
            <w:noWrap w:val="false"/>
          </w:tcPr>
          <w:p>
            <w:pPr>
              <w:jc w:val="center"/>
              <w:rPr>
                <w:sz w:val="20"/>
                <w:szCs w:val="20"/>
              </w:rPr>
            </w:pPr>
            <w:r>
              <w:rPr>
                <w:sz w:val="20"/>
                <w:szCs w:val="20"/>
              </w:rPr>
              <w:t xml:space="preserve">-</w:t>
            </w:r>
            <w:r>
              <w:rPr>
                <w:sz w:val="20"/>
                <w:szCs w:val="20"/>
              </w:rPr>
            </w:r>
            <w:r>
              <w:rPr>
                <w:sz w:val="20"/>
                <w:szCs w:val="20"/>
              </w:rPr>
            </w:r>
          </w:p>
        </w:tc>
      </w:tr>
      <w:tr>
        <w:tblPrEx/>
        <w:trPr>
          <w:trHeight w:val="75"/>
        </w:trPr>
        <w:tc>
          <w:tcPr>
            <w:shd w:val="clear" w:color="auto" w:fill="auto"/>
            <w:tcW w:w="248" w:type="pct"/>
            <w:vAlign w:val="center"/>
            <w:textDirection w:val="lrTb"/>
            <w:noWrap w:val="false"/>
          </w:tcPr>
          <w:p>
            <w:pPr>
              <w:jc w:val="center"/>
              <w:rPr>
                <w:sz w:val="20"/>
                <w:szCs w:val="20"/>
              </w:rPr>
            </w:pPr>
            <w:r>
              <w:rPr>
                <w:sz w:val="20"/>
                <w:szCs w:val="20"/>
              </w:rPr>
              <w:t xml:space="preserve">7</w:t>
            </w:r>
            <w:r>
              <w:rPr>
                <w:sz w:val="20"/>
                <w:szCs w:val="20"/>
              </w:rPr>
            </w:r>
            <w:r>
              <w:rPr>
                <w:sz w:val="20"/>
                <w:szCs w:val="20"/>
              </w:rPr>
            </w:r>
          </w:p>
        </w:tc>
        <w:tc>
          <w:tcPr>
            <w:shd w:val="clear" w:color="auto" w:fill="auto"/>
            <w:tcW w:w="4160" w:type="pct"/>
            <w:vAlign w:val="center"/>
            <w:textDirection w:val="lrTb"/>
            <w:noWrap w:val="false"/>
          </w:tcPr>
          <w:p>
            <w:pPr>
              <w:rPr>
                <w:sz w:val="20"/>
                <w:szCs w:val="20"/>
              </w:rPr>
            </w:pPr>
            <w:r>
              <w:rPr>
                <w:sz w:val="20"/>
                <w:szCs w:val="20"/>
              </w:rPr>
              <w:t xml:space="preserve">Емкость баков аккумуляторов, тыс. м3</w:t>
            </w:r>
            <w:r>
              <w:rPr>
                <w:sz w:val="20"/>
                <w:szCs w:val="20"/>
              </w:rPr>
            </w:r>
            <w:r>
              <w:rPr>
                <w:sz w:val="20"/>
                <w:szCs w:val="20"/>
              </w:rPr>
            </w:r>
          </w:p>
        </w:tc>
        <w:tc>
          <w:tcPr>
            <w:shd w:val="clear" w:color="auto" w:fill="auto"/>
            <w:tcW w:w="592" w:type="pct"/>
            <w:textDirection w:val="lrTb"/>
            <w:noWrap w:val="false"/>
          </w:tcPr>
          <w:p>
            <w:pPr>
              <w:jc w:val="center"/>
              <w:rPr>
                <w:sz w:val="20"/>
                <w:szCs w:val="20"/>
              </w:rPr>
            </w:pPr>
            <w:r>
              <w:rPr>
                <w:sz w:val="20"/>
                <w:szCs w:val="20"/>
              </w:rPr>
              <w:t xml:space="preserve">-</w:t>
            </w:r>
            <w:r>
              <w:rPr>
                <w:sz w:val="20"/>
                <w:szCs w:val="20"/>
              </w:rPr>
            </w:r>
            <w:r>
              <w:rPr>
                <w:sz w:val="20"/>
                <w:szCs w:val="20"/>
              </w:rPr>
            </w:r>
          </w:p>
        </w:tc>
      </w:tr>
      <w:tr>
        <w:tblPrEx/>
        <w:trPr>
          <w:trHeight w:val="85"/>
        </w:trPr>
        <w:tc>
          <w:tcPr>
            <w:shd w:val="clear" w:color="auto" w:fill="auto"/>
            <w:tcW w:w="248" w:type="pct"/>
            <w:vAlign w:val="center"/>
            <w:textDirection w:val="lrTb"/>
            <w:noWrap w:val="false"/>
          </w:tcPr>
          <w:p>
            <w:pPr>
              <w:jc w:val="center"/>
              <w:rPr>
                <w:sz w:val="20"/>
                <w:szCs w:val="20"/>
              </w:rPr>
            </w:pPr>
            <w:r>
              <w:rPr>
                <w:sz w:val="20"/>
                <w:szCs w:val="20"/>
              </w:rPr>
              <w:t xml:space="preserve">8</w:t>
            </w:r>
            <w:r>
              <w:rPr>
                <w:sz w:val="20"/>
                <w:szCs w:val="20"/>
              </w:rPr>
            </w:r>
            <w:r>
              <w:rPr>
                <w:sz w:val="20"/>
                <w:szCs w:val="20"/>
              </w:rPr>
            </w:r>
          </w:p>
        </w:tc>
        <w:tc>
          <w:tcPr>
            <w:shd w:val="clear" w:color="auto" w:fill="auto"/>
            <w:tcW w:w="4160" w:type="pct"/>
            <w:vAlign w:val="center"/>
            <w:textDirection w:val="lrTb"/>
            <w:noWrap w:val="false"/>
          </w:tcPr>
          <w:p>
            <w:pPr>
              <w:rPr>
                <w:sz w:val="20"/>
                <w:szCs w:val="20"/>
              </w:rPr>
            </w:pPr>
            <w:r>
              <w:rPr>
                <w:sz w:val="20"/>
                <w:szCs w:val="20"/>
              </w:rPr>
              <w:t xml:space="preserve">Требуемая расчетная производительность водоподготовительной установки (0,75% V), м3/ч</w:t>
            </w:r>
            <w:r>
              <w:rPr>
                <w:sz w:val="20"/>
                <w:szCs w:val="20"/>
              </w:rPr>
            </w:r>
            <w:r>
              <w:rPr>
                <w:sz w:val="20"/>
                <w:szCs w:val="20"/>
              </w:rPr>
            </w:r>
          </w:p>
        </w:tc>
        <w:tc>
          <w:tcPr>
            <w:shd w:val="clear" w:color="auto" w:fill="auto"/>
            <w:tcW w:w="592" w:type="pct"/>
            <w:vAlign w:val="center"/>
            <w:textDirection w:val="lrTb"/>
            <w:noWrap w:val="false"/>
          </w:tcPr>
          <w:p>
            <w:pPr>
              <w:jc w:val="center"/>
              <w:rPr>
                <w:sz w:val="20"/>
                <w:szCs w:val="20"/>
              </w:rPr>
            </w:pPr>
            <w:r>
              <w:rPr>
                <w:sz w:val="20"/>
                <w:szCs w:val="20"/>
              </w:rPr>
              <w:t xml:space="preserve">0,021</w:t>
            </w:r>
            <w:r>
              <w:rPr>
                <w:sz w:val="20"/>
                <w:szCs w:val="20"/>
              </w:rPr>
            </w:r>
            <w:r>
              <w:rPr>
                <w:sz w:val="20"/>
                <w:szCs w:val="20"/>
              </w:rPr>
            </w:r>
          </w:p>
        </w:tc>
      </w:tr>
      <w:tr>
        <w:tblPrEx/>
        <w:trPr>
          <w:trHeight w:val="85"/>
        </w:trPr>
        <w:tc>
          <w:tcPr>
            <w:shd w:val="clear" w:color="auto" w:fill="auto"/>
            <w:tcW w:w="248" w:type="pct"/>
            <w:vAlign w:val="center"/>
            <w:textDirection w:val="lrTb"/>
            <w:noWrap w:val="false"/>
          </w:tcPr>
          <w:p>
            <w:pPr>
              <w:jc w:val="center"/>
              <w:rPr>
                <w:sz w:val="20"/>
                <w:szCs w:val="20"/>
              </w:rPr>
            </w:pPr>
            <w:r>
              <w:rPr>
                <w:sz w:val="20"/>
                <w:szCs w:val="20"/>
              </w:rPr>
              <w:t xml:space="preserve">9</w:t>
            </w:r>
            <w:r>
              <w:rPr>
                <w:sz w:val="20"/>
                <w:szCs w:val="20"/>
              </w:rPr>
            </w:r>
            <w:r>
              <w:rPr>
                <w:sz w:val="20"/>
                <w:szCs w:val="20"/>
              </w:rPr>
            </w:r>
          </w:p>
        </w:tc>
        <w:tc>
          <w:tcPr>
            <w:shd w:val="clear" w:color="auto" w:fill="auto"/>
            <w:tcW w:w="4160" w:type="pct"/>
            <w:vAlign w:val="center"/>
            <w:textDirection w:val="lrTb"/>
            <w:noWrap w:val="false"/>
          </w:tcPr>
          <w:p>
            <w:pPr>
              <w:rPr>
                <w:sz w:val="20"/>
                <w:szCs w:val="20"/>
              </w:rPr>
            </w:pPr>
            <w:r>
              <w:rPr>
                <w:sz w:val="20"/>
                <w:szCs w:val="20"/>
              </w:rPr>
              <w:t xml:space="preserve">Всего подпитка тепловой сети, м3/ч, в том числе:</w:t>
            </w:r>
            <w:r>
              <w:rPr>
                <w:sz w:val="20"/>
                <w:szCs w:val="20"/>
              </w:rPr>
            </w:r>
            <w:r>
              <w:rPr>
                <w:sz w:val="20"/>
                <w:szCs w:val="20"/>
              </w:rPr>
            </w:r>
          </w:p>
        </w:tc>
        <w:tc>
          <w:tcPr>
            <w:shd w:val="clear" w:color="auto" w:fill="auto"/>
            <w:tcW w:w="592" w:type="pct"/>
            <w:vAlign w:val="center"/>
            <w:textDirection w:val="lrTb"/>
            <w:noWrap w:val="false"/>
          </w:tcPr>
          <w:p>
            <w:pPr>
              <w:jc w:val="center"/>
              <w:rPr>
                <w:sz w:val="20"/>
                <w:szCs w:val="20"/>
              </w:rPr>
            </w:pPr>
            <w:r>
              <w:rPr>
                <w:sz w:val="20"/>
                <w:szCs w:val="20"/>
              </w:rPr>
              <w:t xml:space="preserve">0,007</w:t>
            </w:r>
            <w:r>
              <w:rPr>
                <w:sz w:val="20"/>
                <w:szCs w:val="20"/>
              </w:rPr>
            </w:r>
            <w:r>
              <w:rPr>
                <w:sz w:val="20"/>
                <w:szCs w:val="20"/>
              </w:rPr>
            </w:r>
          </w:p>
        </w:tc>
      </w:tr>
      <w:tr>
        <w:tblPrEx/>
        <w:trPr>
          <w:trHeight w:val="85"/>
        </w:trPr>
        <w:tc>
          <w:tcPr>
            <w:shd w:val="clear" w:color="auto" w:fill="auto"/>
            <w:tcW w:w="248" w:type="pct"/>
            <w:vAlign w:val="center"/>
            <w:textDirection w:val="lrTb"/>
            <w:noWrap w:val="false"/>
          </w:tcPr>
          <w:p>
            <w:pPr>
              <w:jc w:val="center"/>
              <w:rPr>
                <w:sz w:val="20"/>
                <w:szCs w:val="20"/>
              </w:rPr>
            </w:pPr>
            <w:r>
              <w:rPr>
                <w:sz w:val="20"/>
                <w:szCs w:val="20"/>
              </w:rPr>
              <w:t xml:space="preserve">9.1</w:t>
            </w:r>
            <w:r>
              <w:rPr>
                <w:sz w:val="20"/>
                <w:szCs w:val="20"/>
              </w:rPr>
            </w:r>
            <w:r>
              <w:rPr>
                <w:sz w:val="20"/>
                <w:szCs w:val="20"/>
              </w:rPr>
            </w:r>
          </w:p>
        </w:tc>
        <w:tc>
          <w:tcPr>
            <w:shd w:val="clear" w:color="auto" w:fill="auto"/>
            <w:tcW w:w="4160" w:type="pct"/>
            <w:vAlign w:val="center"/>
            <w:textDirection w:val="lrTb"/>
            <w:noWrap w:val="false"/>
          </w:tcPr>
          <w:p>
            <w:pPr>
              <w:rPr>
                <w:sz w:val="20"/>
                <w:szCs w:val="20"/>
              </w:rPr>
            </w:pPr>
            <w:r>
              <w:rPr>
                <w:sz w:val="20"/>
                <w:szCs w:val="20"/>
              </w:rPr>
              <w:t xml:space="preserve">- нормативные утечки теплоносителя (0,25% V), м3/ч</w:t>
            </w:r>
            <w:r>
              <w:rPr>
                <w:sz w:val="20"/>
                <w:szCs w:val="20"/>
              </w:rPr>
            </w:r>
            <w:r>
              <w:rPr>
                <w:sz w:val="20"/>
                <w:szCs w:val="20"/>
              </w:rPr>
            </w:r>
          </w:p>
        </w:tc>
        <w:tc>
          <w:tcPr>
            <w:shd w:val="clear" w:color="auto" w:fill="auto"/>
            <w:tcW w:w="592" w:type="pct"/>
            <w:vAlign w:val="center"/>
            <w:textDirection w:val="lrTb"/>
            <w:noWrap w:val="false"/>
          </w:tcPr>
          <w:p>
            <w:pPr>
              <w:jc w:val="center"/>
              <w:rPr>
                <w:sz w:val="20"/>
                <w:szCs w:val="20"/>
              </w:rPr>
            </w:pPr>
            <w:r>
              <w:rPr>
                <w:sz w:val="20"/>
                <w:szCs w:val="20"/>
              </w:rPr>
              <w:t xml:space="preserve">0,007</w:t>
            </w:r>
            <w:r>
              <w:rPr>
                <w:sz w:val="20"/>
                <w:szCs w:val="20"/>
              </w:rPr>
            </w:r>
            <w:r>
              <w:rPr>
                <w:sz w:val="20"/>
                <w:szCs w:val="20"/>
              </w:rPr>
            </w:r>
          </w:p>
        </w:tc>
      </w:tr>
      <w:tr>
        <w:tblPrEx/>
        <w:trPr>
          <w:trHeight w:val="85"/>
        </w:trPr>
        <w:tc>
          <w:tcPr>
            <w:shd w:val="clear" w:color="auto" w:fill="auto"/>
            <w:tcW w:w="248" w:type="pct"/>
            <w:vAlign w:val="center"/>
            <w:textDirection w:val="lrTb"/>
            <w:noWrap w:val="false"/>
          </w:tcPr>
          <w:p>
            <w:pPr>
              <w:jc w:val="center"/>
              <w:rPr>
                <w:sz w:val="20"/>
                <w:szCs w:val="20"/>
              </w:rPr>
            </w:pPr>
            <w:r>
              <w:rPr>
                <w:sz w:val="20"/>
                <w:szCs w:val="20"/>
              </w:rPr>
              <w:t xml:space="preserve">9.2</w:t>
            </w:r>
            <w:r>
              <w:rPr>
                <w:sz w:val="20"/>
                <w:szCs w:val="20"/>
              </w:rPr>
            </w:r>
            <w:r>
              <w:rPr>
                <w:sz w:val="20"/>
                <w:szCs w:val="20"/>
              </w:rPr>
            </w:r>
          </w:p>
        </w:tc>
        <w:tc>
          <w:tcPr>
            <w:shd w:val="clear" w:color="auto" w:fill="auto"/>
            <w:tcW w:w="4160" w:type="pct"/>
            <w:vAlign w:val="center"/>
            <w:textDirection w:val="lrTb"/>
            <w:noWrap w:val="false"/>
          </w:tcPr>
          <w:p>
            <w:pPr>
              <w:rPr>
                <w:sz w:val="20"/>
                <w:szCs w:val="20"/>
              </w:rPr>
            </w:pPr>
            <w:r>
              <w:rPr>
                <w:sz w:val="20"/>
                <w:szCs w:val="20"/>
              </w:rPr>
              <w:t xml:space="preserve">- сверхнормативные утечки теплоносителя, м3/ч</w:t>
            </w:r>
            <w:r>
              <w:rPr>
                <w:sz w:val="20"/>
                <w:szCs w:val="20"/>
              </w:rPr>
            </w:r>
            <w:r>
              <w:rPr>
                <w:sz w:val="20"/>
                <w:szCs w:val="20"/>
              </w:rPr>
            </w:r>
          </w:p>
        </w:tc>
        <w:tc>
          <w:tcPr>
            <w:shd w:val="clear" w:color="auto" w:fill="auto"/>
            <w:tcW w:w="592" w:type="pct"/>
            <w:vAlign w:val="center"/>
            <w:textDirection w:val="lrTb"/>
            <w:noWrap w:val="false"/>
          </w:tcPr>
          <w:p>
            <w:pPr>
              <w:jc w:val="center"/>
              <w:rPr>
                <w:sz w:val="20"/>
                <w:szCs w:val="20"/>
              </w:rPr>
            </w:pPr>
            <w:r>
              <w:rPr>
                <w:sz w:val="20"/>
                <w:szCs w:val="20"/>
              </w:rPr>
              <w:t xml:space="preserve">0</w:t>
            </w:r>
            <w:r>
              <w:rPr>
                <w:sz w:val="20"/>
                <w:szCs w:val="20"/>
              </w:rPr>
            </w:r>
            <w:r>
              <w:rPr>
                <w:sz w:val="20"/>
                <w:szCs w:val="20"/>
              </w:rPr>
            </w:r>
          </w:p>
        </w:tc>
      </w:tr>
      <w:tr>
        <w:tblPrEx/>
        <w:trPr>
          <w:trHeight w:val="573"/>
        </w:trPr>
        <w:tc>
          <w:tcPr>
            <w:shd w:val="clear" w:color="auto" w:fill="auto"/>
            <w:tcW w:w="248" w:type="pct"/>
            <w:vAlign w:val="center"/>
            <w:textDirection w:val="lrTb"/>
            <w:noWrap w:val="false"/>
          </w:tcPr>
          <w:p>
            <w:pPr>
              <w:jc w:val="center"/>
              <w:rPr>
                <w:sz w:val="20"/>
                <w:szCs w:val="20"/>
              </w:rPr>
            </w:pPr>
            <w:r>
              <w:rPr>
                <w:sz w:val="20"/>
                <w:szCs w:val="20"/>
              </w:rPr>
              <w:t xml:space="preserve">9.3</w:t>
            </w:r>
            <w:r>
              <w:rPr>
                <w:sz w:val="20"/>
                <w:szCs w:val="20"/>
              </w:rPr>
            </w:r>
            <w:r>
              <w:rPr>
                <w:sz w:val="20"/>
                <w:szCs w:val="20"/>
              </w:rPr>
            </w:r>
          </w:p>
        </w:tc>
        <w:tc>
          <w:tcPr>
            <w:shd w:val="clear" w:color="auto" w:fill="auto"/>
            <w:tcW w:w="4160" w:type="pct"/>
            <w:vAlign w:val="center"/>
            <w:textDirection w:val="lrTb"/>
            <w:noWrap w:val="false"/>
          </w:tcPr>
          <w:p>
            <w:pPr>
              <w:rPr>
                <w:sz w:val="20"/>
                <w:szCs w:val="20"/>
              </w:rPr>
            </w:pPr>
            <w:r>
              <w:rPr>
                <w:sz w:val="20"/>
                <w:szCs w:val="20"/>
              </w:rPr>
              <w:t xml:space="preserve">- отпуск теплоносителя из тепловых сетей на цели горячего водоснабжения (для открытых систем теплоснабжения), т/ч</w:t>
            </w:r>
            <w:r>
              <w:rPr>
                <w:sz w:val="20"/>
                <w:szCs w:val="20"/>
              </w:rPr>
            </w:r>
            <w:r>
              <w:rPr>
                <w:sz w:val="20"/>
                <w:szCs w:val="20"/>
              </w:rPr>
            </w:r>
          </w:p>
        </w:tc>
        <w:tc>
          <w:tcPr>
            <w:shd w:val="clear" w:color="auto" w:fill="auto"/>
            <w:tcW w:w="592" w:type="pct"/>
            <w:vAlign w:val="center"/>
            <w:textDirection w:val="lrTb"/>
            <w:noWrap w:val="false"/>
          </w:tcPr>
          <w:p>
            <w:pPr>
              <w:jc w:val="center"/>
              <w:rPr>
                <w:sz w:val="20"/>
                <w:szCs w:val="20"/>
              </w:rPr>
            </w:pPr>
            <w:r>
              <w:rPr>
                <w:sz w:val="20"/>
                <w:szCs w:val="20"/>
              </w:rPr>
              <w:t xml:space="preserve">0</w:t>
            </w:r>
            <w:r>
              <w:rPr>
                <w:sz w:val="20"/>
                <w:szCs w:val="20"/>
              </w:rPr>
            </w:r>
            <w:r>
              <w:rPr>
                <w:sz w:val="20"/>
                <w:szCs w:val="20"/>
              </w:rPr>
            </w:r>
          </w:p>
        </w:tc>
      </w:tr>
      <w:tr>
        <w:tblPrEx/>
        <w:trPr>
          <w:trHeight w:val="70"/>
        </w:trPr>
        <w:tc>
          <w:tcPr>
            <w:shd w:val="clear" w:color="auto" w:fill="auto"/>
            <w:tcW w:w="248" w:type="pct"/>
            <w:vAlign w:val="center"/>
            <w:textDirection w:val="lrTb"/>
            <w:noWrap w:val="false"/>
          </w:tcPr>
          <w:p>
            <w:pPr>
              <w:jc w:val="center"/>
              <w:rPr>
                <w:sz w:val="20"/>
                <w:szCs w:val="20"/>
              </w:rPr>
            </w:pPr>
            <w:r>
              <w:rPr>
                <w:sz w:val="20"/>
                <w:szCs w:val="20"/>
              </w:rPr>
              <w:t xml:space="preserve">10</w:t>
            </w:r>
            <w:r>
              <w:rPr>
                <w:sz w:val="20"/>
                <w:szCs w:val="20"/>
              </w:rPr>
            </w:r>
            <w:r>
              <w:rPr>
                <w:sz w:val="20"/>
                <w:szCs w:val="20"/>
              </w:rPr>
            </w:r>
          </w:p>
        </w:tc>
        <w:tc>
          <w:tcPr>
            <w:shd w:val="clear" w:color="auto" w:fill="auto"/>
            <w:tcW w:w="4160" w:type="pct"/>
            <w:vAlign w:val="center"/>
            <w:textDirection w:val="lrTb"/>
            <w:noWrap w:val="false"/>
          </w:tcPr>
          <w:p>
            <w:pPr>
              <w:rPr>
                <w:sz w:val="20"/>
                <w:szCs w:val="20"/>
              </w:rPr>
            </w:pPr>
            <w:r>
              <w:rPr>
                <w:sz w:val="20"/>
                <w:szCs w:val="20"/>
              </w:rPr>
              <w:t xml:space="preserve">Максимальная подпитка тепловой сети в период повреждения участка (2% V), м3/ч</w:t>
            </w:r>
            <w:r>
              <w:rPr>
                <w:sz w:val="20"/>
                <w:szCs w:val="20"/>
              </w:rPr>
            </w:r>
            <w:r>
              <w:rPr>
                <w:sz w:val="20"/>
                <w:szCs w:val="20"/>
              </w:rPr>
            </w:r>
          </w:p>
        </w:tc>
        <w:tc>
          <w:tcPr>
            <w:shd w:val="clear" w:color="auto" w:fill="auto"/>
            <w:tcW w:w="592" w:type="pct"/>
            <w:vAlign w:val="center"/>
            <w:textDirection w:val="lrTb"/>
            <w:noWrap w:val="false"/>
          </w:tcPr>
          <w:p>
            <w:pPr>
              <w:jc w:val="center"/>
              <w:rPr>
                <w:sz w:val="20"/>
                <w:szCs w:val="20"/>
              </w:rPr>
            </w:pPr>
            <w:r>
              <w:rPr>
                <w:sz w:val="20"/>
                <w:szCs w:val="20"/>
              </w:rPr>
              <w:t xml:space="preserve">0,055</w:t>
            </w:r>
            <w:r>
              <w:rPr>
                <w:sz w:val="20"/>
                <w:szCs w:val="20"/>
              </w:rPr>
            </w:r>
            <w:r>
              <w:rPr>
                <w:sz w:val="20"/>
                <w:szCs w:val="20"/>
              </w:rPr>
            </w:r>
          </w:p>
        </w:tc>
      </w:tr>
      <w:tr>
        <w:tblPrEx/>
        <w:trPr>
          <w:trHeight w:val="85"/>
        </w:trPr>
        <w:tc>
          <w:tcPr>
            <w:shd w:val="clear" w:color="auto" w:fill="auto"/>
            <w:tcW w:w="248" w:type="pct"/>
            <w:vAlign w:val="center"/>
            <w:textDirection w:val="lrTb"/>
            <w:noWrap w:val="false"/>
          </w:tcPr>
          <w:p>
            <w:pPr>
              <w:jc w:val="center"/>
              <w:rPr>
                <w:sz w:val="20"/>
                <w:szCs w:val="20"/>
              </w:rPr>
            </w:pPr>
            <w:r>
              <w:rPr>
                <w:sz w:val="20"/>
                <w:szCs w:val="20"/>
              </w:rPr>
              <w:t xml:space="preserve">11</w:t>
            </w:r>
            <w:r>
              <w:rPr>
                <w:sz w:val="20"/>
                <w:szCs w:val="20"/>
              </w:rPr>
            </w:r>
            <w:r>
              <w:rPr>
                <w:sz w:val="20"/>
                <w:szCs w:val="20"/>
              </w:rPr>
            </w:r>
          </w:p>
        </w:tc>
        <w:tc>
          <w:tcPr>
            <w:shd w:val="clear" w:color="auto" w:fill="auto"/>
            <w:tcW w:w="4160" w:type="pct"/>
            <w:vAlign w:val="center"/>
            <w:textDirection w:val="lrTb"/>
            <w:noWrap w:val="false"/>
          </w:tcPr>
          <w:p>
            <w:pPr>
              <w:rPr>
                <w:sz w:val="20"/>
                <w:szCs w:val="20"/>
              </w:rPr>
            </w:pPr>
            <w:r>
              <w:rPr>
                <w:sz w:val="20"/>
                <w:szCs w:val="20"/>
              </w:rPr>
              <w:t xml:space="preserve">Резерв (+)/дефицит (-), ВПУ,м3/ч</w:t>
            </w:r>
            <w:r>
              <w:rPr>
                <w:sz w:val="20"/>
                <w:szCs w:val="20"/>
              </w:rPr>
            </w:r>
            <w:r>
              <w:rPr>
                <w:sz w:val="20"/>
                <w:szCs w:val="20"/>
              </w:rPr>
            </w:r>
          </w:p>
        </w:tc>
        <w:tc>
          <w:tcPr>
            <w:shd w:val="clear" w:color="auto" w:fill="auto"/>
            <w:tcW w:w="592" w:type="pct"/>
            <w:textDirection w:val="lrTb"/>
            <w:noWrap w:val="false"/>
          </w:tcPr>
          <w:p>
            <w:pPr>
              <w:jc w:val="center"/>
              <w:rPr>
                <w:sz w:val="20"/>
                <w:szCs w:val="20"/>
              </w:rPr>
            </w:pPr>
            <w:r>
              <w:rPr>
                <w:sz w:val="20"/>
                <w:szCs w:val="20"/>
              </w:rPr>
              <w:t xml:space="preserve">-</w:t>
            </w:r>
            <w:r>
              <w:rPr>
                <w:sz w:val="20"/>
                <w:szCs w:val="20"/>
              </w:rPr>
            </w:r>
            <w:r>
              <w:rPr>
                <w:sz w:val="20"/>
                <w:szCs w:val="20"/>
              </w:rPr>
            </w:r>
          </w:p>
        </w:tc>
      </w:tr>
      <w:tr>
        <w:tblPrEx/>
        <w:trPr>
          <w:trHeight w:val="300"/>
        </w:trPr>
        <w:tc>
          <w:tcPr>
            <w:gridSpan w:val="3"/>
            <w:shd w:val="clear" w:color="auto" w:fill="auto"/>
            <w:tcW w:w="5000" w:type="pct"/>
            <w:vAlign w:val="center"/>
            <w:textDirection w:val="lrTb"/>
            <w:noWrap w:val="false"/>
          </w:tcPr>
          <w:p>
            <w:pPr>
              <w:jc w:val="center"/>
              <w:rPr>
                <w:b/>
                <w:sz w:val="20"/>
                <w:szCs w:val="20"/>
              </w:rPr>
            </w:pPr>
            <w:r>
              <w:rPr>
                <w:b/>
                <w:sz w:val="20"/>
                <w:szCs w:val="20"/>
              </w:rPr>
              <w:t xml:space="preserve">Котельная ФКУ ИК №7 УФСИН России по Курганской области,</w:t>
            </w:r>
            <w:r>
              <w:rPr>
                <w:rFonts w:ascii="Liberation Serif" w:hAnsi="Liberation Serif" w:cs="Calibri"/>
                <w:b/>
                <w:color w:val="000000"/>
                <w:sz w:val="20"/>
                <w:szCs w:val="20"/>
              </w:rPr>
              <w:t xml:space="preserve"> Курганская область, р.п. Юргамыш, ул. Труда, 147</w:t>
            </w:r>
            <w:r>
              <w:rPr>
                <w:b/>
                <w:sz w:val="20"/>
                <w:szCs w:val="20"/>
              </w:rPr>
            </w:r>
            <w:r>
              <w:rPr>
                <w:b/>
                <w:sz w:val="20"/>
                <w:szCs w:val="20"/>
              </w:rPr>
            </w:r>
          </w:p>
        </w:tc>
      </w:tr>
      <w:tr>
        <w:tblPrEx/>
        <w:trPr>
          <w:trHeight w:val="75"/>
        </w:trPr>
        <w:tc>
          <w:tcPr>
            <w:shd w:val="clear" w:color="auto" w:fill="auto"/>
            <w:tcW w:w="248" w:type="pct"/>
            <w:vAlign w:val="center"/>
            <w:textDirection w:val="lrTb"/>
            <w:noWrap w:val="false"/>
          </w:tcPr>
          <w:p>
            <w:pPr>
              <w:jc w:val="center"/>
              <w:rPr>
                <w:sz w:val="20"/>
                <w:szCs w:val="20"/>
              </w:rPr>
            </w:pPr>
            <w:r>
              <w:rPr>
                <w:sz w:val="20"/>
                <w:szCs w:val="20"/>
              </w:rPr>
              <w:t xml:space="preserve">1</w:t>
            </w:r>
            <w:r>
              <w:rPr>
                <w:sz w:val="20"/>
                <w:szCs w:val="20"/>
              </w:rPr>
            </w:r>
            <w:r>
              <w:rPr>
                <w:sz w:val="20"/>
                <w:szCs w:val="20"/>
              </w:rPr>
            </w:r>
          </w:p>
        </w:tc>
        <w:tc>
          <w:tcPr>
            <w:shd w:val="clear" w:color="auto" w:fill="auto"/>
            <w:tcW w:w="4160" w:type="pct"/>
            <w:vAlign w:val="center"/>
            <w:textDirection w:val="lrTb"/>
            <w:noWrap w:val="false"/>
          </w:tcPr>
          <w:p>
            <w:pPr>
              <w:rPr>
                <w:sz w:val="20"/>
                <w:szCs w:val="20"/>
              </w:rPr>
            </w:pPr>
            <w:r>
              <w:rPr>
                <w:sz w:val="20"/>
                <w:szCs w:val="20"/>
              </w:rPr>
              <w:t xml:space="preserve">Объем воды в системе теплоснабжения V, м3</w:t>
            </w:r>
            <w:r>
              <w:rPr>
                <w:sz w:val="20"/>
                <w:szCs w:val="20"/>
              </w:rPr>
            </w:r>
            <w:r>
              <w:rPr>
                <w:sz w:val="20"/>
                <w:szCs w:val="20"/>
              </w:rPr>
            </w:r>
          </w:p>
        </w:tc>
        <w:tc>
          <w:tcPr>
            <w:shd w:val="clear" w:color="auto" w:fill="auto"/>
            <w:tcW w:w="592" w:type="pct"/>
            <w:textDirection w:val="lrTb"/>
            <w:noWrap w:val="false"/>
          </w:tcPr>
          <w:p>
            <w:pPr>
              <w:jc w:val="center"/>
              <w:rPr>
                <w:sz w:val="20"/>
                <w:szCs w:val="20"/>
              </w:rPr>
            </w:pPr>
            <w:r>
              <w:rPr>
                <w:sz w:val="20"/>
                <w:szCs w:val="20"/>
              </w:rPr>
              <w:t xml:space="preserve">311,420</w:t>
            </w:r>
            <w:r>
              <w:rPr>
                <w:sz w:val="20"/>
                <w:szCs w:val="20"/>
              </w:rPr>
            </w:r>
            <w:r>
              <w:rPr>
                <w:sz w:val="20"/>
                <w:szCs w:val="20"/>
              </w:rPr>
            </w:r>
          </w:p>
        </w:tc>
      </w:tr>
      <w:tr>
        <w:tblPrEx/>
        <w:trPr>
          <w:trHeight w:val="75"/>
        </w:trPr>
        <w:tc>
          <w:tcPr>
            <w:shd w:val="clear" w:color="auto" w:fill="auto"/>
            <w:tcW w:w="248" w:type="pct"/>
            <w:vAlign w:val="center"/>
            <w:textDirection w:val="lrTb"/>
            <w:noWrap w:val="false"/>
          </w:tcPr>
          <w:p>
            <w:pPr>
              <w:jc w:val="center"/>
              <w:rPr>
                <w:sz w:val="20"/>
                <w:szCs w:val="20"/>
              </w:rPr>
            </w:pPr>
            <w:r>
              <w:rPr>
                <w:sz w:val="20"/>
                <w:szCs w:val="20"/>
              </w:rPr>
              <w:t xml:space="preserve">2</w:t>
            </w:r>
            <w:r>
              <w:rPr>
                <w:sz w:val="20"/>
                <w:szCs w:val="20"/>
              </w:rPr>
            </w:r>
            <w:r>
              <w:rPr>
                <w:sz w:val="20"/>
                <w:szCs w:val="20"/>
              </w:rPr>
            </w:r>
          </w:p>
        </w:tc>
        <w:tc>
          <w:tcPr>
            <w:shd w:val="clear" w:color="auto" w:fill="auto"/>
            <w:tcW w:w="4160" w:type="pct"/>
            <w:vAlign w:val="center"/>
            <w:textDirection w:val="lrTb"/>
            <w:noWrap w:val="false"/>
          </w:tcPr>
          <w:p>
            <w:pPr>
              <w:rPr>
                <w:sz w:val="20"/>
                <w:szCs w:val="20"/>
              </w:rPr>
            </w:pPr>
            <w:r>
              <w:rPr>
                <w:sz w:val="20"/>
                <w:szCs w:val="20"/>
              </w:rPr>
              <w:t xml:space="preserve">Установленная производительность водоподготовительной установки, м3/ч</w:t>
            </w:r>
            <w:r>
              <w:rPr>
                <w:sz w:val="20"/>
                <w:szCs w:val="20"/>
              </w:rPr>
            </w:r>
            <w:r>
              <w:rPr>
                <w:sz w:val="20"/>
                <w:szCs w:val="20"/>
              </w:rPr>
            </w:r>
          </w:p>
        </w:tc>
        <w:tc>
          <w:tcPr>
            <w:shd w:val="clear" w:color="auto" w:fill="auto"/>
            <w:tcW w:w="592" w:type="pct"/>
            <w:textDirection w:val="lrTb"/>
            <w:noWrap w:val="false"/>
          </w:tcPr>
          <w:p>
            <w:pPr>
              <w:jc w:val="center"/>
              <w:rPr>
                <w:sz w:val="20"/>
                <w:szCs w:val="20"/>
              </w:rPr>
            </w:pPr>
            <w:r>
              <w:rPr>
                <w:sz w:val="20"/>
                <w:szCs w:val="20"/>
              </w:rPr>
              <w:t xml:space="preserve">-</w:t>
            </w:r>
            <w:r>
              <w:rPr>
                <w:sz w:val="20"/>
                <w:szCs w:val="20"/>
              </w:rPr>
            </w:r>
            <w:r>
              <w:rPr>
                <w:sz w:val="20"/>
                <w:szCs w:val="20"/>
              </w:rPr>
            </w:r>
          </w:p>
        </w:tc>
      </w:tr>
      <w:tr>
        <w:tblPrEx/>
        <w:trPr>
          <w:trHeight w:val="75"/>
        </w:trPr>
        <w:tc>
          <w:tcPr>
            <w:shd w:val="clear" w:color="auto" w:fill="auto"/>
            <w:tcW w:w="248" w:type="pct"/>
            <w:vAlign w:val="center"/>
            <w:textDirection w:val="lrTb"/>
            <w:noWrap w:val="false"/>
          </w:tcPr>
          <w:p>
            <w:pPr>
              <w:jc w:val="center"/>
              <w:rPr>
                <w:sz w:val="20"/>
                <w:szCs w:val="20"/>
              </w:rPr>
            </w:pPr>
            <w:r>
              <w:rPr>
                <w:sz w:val="20"/>
                <w:szCs w:val="20"/>
              </w:rPr>
              <w:t xml:space="preserve">3</w:t>
            </w:r>
            <w:r>
              <w:rPr>
                <w:sz w:val="20"/>
                <w:szCs w:val="20"/>
              </w:rPr>
            </w:r>
            <w:r>
              <w:rPr>
                <w:sz w:val="20"/>
                <w:szCs w:val="20"/>
              </w:rPr>
            </w:r>
          </w:p>
        </w:tc>
        <w:tc>
          <w:tcPr>
            <w:shd w:val="clear" w:color="auto" w:fill="auto"/>
            <w:tcW w:w="4160" w:type="pct"/>
            <w:vAlign w:val="center"/>
            <w:textDirection w:val="lrTb"/>
            <w:noWrap w:val="false"/>
          </w:tcPr>
          <w:p>
            <w:pPr>
              <w:rPr>
                <w:sz w:val="20"/>
                <w:szCs w:val="20"/>
              </w:rPr>
            </w:pPr>
            <w:r>
              <w:rPr>
                <w:sz w:val="20"/>
                <w:szCs w:val="20"/>
              </w:rPr>
              <w:t xml:space="preserve">Располагаемая производительность водоподготовительной установки, м3/ч</w:t>
            </w:r>
            <w:r>
              <w:rPr>
                <w:sz w:val="20"/>
                <w:szCs w:val="20"/>
              </w:rPr>
            </w:r>
            <w:r>
              <w:rPr>
                <w:sz w:val="20"/>
                <w:szCs w:val="20"/>
              </w:rPr>
            </w:r>
          </w:p>
        </w:tc>
        <w:tc>
          <w:tcPr>
            <w:shd w:val="clear" w:color="auto" w:fill="auto"/>
            <w:tcW w:w="592" w:type="pct"/>
            <w:textDirection w:val="lrTb"/>
            <w:noWrap w:val="false"/>
          </w:tcPr>
          <w:p>
            <w:pPr>
              <w:jc w:val="center"/>
              <w:rPr>
                <w:sz w:val="20"/>
                <w:szCs w:val="20"/>
              </w:rPr>
            </w:pPr>
            <w:r>
              <w:rPr>
                <w:sz w:val="20"/>
                <w:szCs w:val="20"/>
              </w:rPr>
              <w:t xml:space="preserve">-</w:t>
            </w:r>
            <w:r>
              <w:rPr>
                <w:sz w:val="20"/>
                <w:szCs w:val="20"/>
              </w:rPr>
            </w:r>
            <w:r>
              <w:rPr>
                <w:sz w:val="20"/>
                <w:szCs w:val="20"/>
              </w:rPr>
            </w:r>
          </w:p>
        </w:tc>
      </w:tr>
      <w:tr>
        <w:tblPrEx/>
        <w:trPr>
          <w:trHeight w:val="75"/>
        </w:trPr>
        <w:tc>
          <w:tcPr>
            <w:shd w:val="clear" w:color="auto" w:fill="auto"/>
            <w:tcW w:w="248" w:type="pct"/>
            <w:vAlign w:val="center"/>
            <w:textDirection w:val="lrTb"/>
            <w:noWrap w:val="false"/>
          </w:tcPr>
          <w:p>
            <w:pPr>
              <w:jc w:val="center"/>
              <w:rPr>
                <w:sz w:val="20"/>
                <w:szCs w:val="20"/>
              </w:rPr>
            </w:pPr>
            <w:r>
              <w:rPr>
                <w:sz w:val="20"/>
                <w:szCs w:val="20"/>
              </w:rPr>
              <w:t xml:space="preserve">4</w:t>
            </w:r>
            <w:r>
              <w:rPr>
                <w:sz w:val="20"/>
                <w:szCs w:val="20"/>
              </w:rPr>
            </w:r>
            <w:r>
              <w:rPr>
                <w:sz w:val="20"/>
                <w:szCs w:val="20"/>
              </w:rPr>
            </w:r>
          </w:p>
        </w:tc>
        <w:tc>
          <w:tcPr>
            <w:shd w:val="clear" w:color="auto" w:fill="auto"/>
            <w:tcW w:w="4160" w:type="pct"/>
            <w:vAlign w:val="center"/>
            <w:textDirection w:val="lrTb"/>
            <w:noWrap w:val="false"/>
          </w:tcPr>
          <w:p>
            <w:pPr>
              <w:rPr>
                <w:sz w:val="20"/>
                <w:szCs w:val="20"/>
              </w:rPr>
            </w:pPr>
            <w:r>
              <w:rPr>
                <w:sz w:val="20"/>
                <w:szCs w:val="20"/>
              </w:rPr>
              <w:t xml:space="preserve">Потери располагаемой производительности, %</w:t>
            </w:r>
            <w:r>
              <w:rPr>
                <w:sz w:val="20"/>
                <w:szCs w:val="20"/>
              </w:rPr>
            </w:r>
            <w:r>
              <w:rPr>
                <w:sz w:val="20"/>
                <w:szCs w:val="20"/>
              </w:rPr>
            </w:r>
          </w:p>
        </w:tc>
        <w:tc>
          <w:tcPr>
            <w:shd w:val="clear" w:color="auto" w:fill="auto"/>
            <w:tcW w:w="592" w:type="pct"/>
            <w:textDirection w:val="lrTb"/>
            <w:noWrap w:val="false"/>
          </w:tcPr>
          <w:p>
            <w:pPr>
              <w:jc w:val="center"/>
              <w:rPr>
                <w:sz w:val="20"/>
                <w:szCs w:val="20"/>
              </w:rPr>
            </w:pPr>
            <w:r>
              <w:rPr>
                <w:sz w:val="20"/>
                <w:szCs w:val="20"/>
              </w:rPr>
              <w:t xml:space="preserve">-</w:t>
            </w:r>
            <w:r>
              <w:rPr>
                <w:sz w:val="20"/>
                <w:szCs w:val="20"/>
              </w:rPr>
            </w:r>
            <w:r>
              <w:rPr>
                <w:sz w:val="20"/>
                <w:szCs w:val="20"/>
              </w:rPr>
            </w:r>
          </w:p>
        </w:tc>
      </w:tr>
      <w:tr>
        <w:tblPrEx/>
        <w:trPr>
          <w:trHeight w:val="75"/>
        </w:trPr>
        <w:tc>
          <w:tcPr>
            <w:shd w:val="clear" w:color="auto" w:fill="auto"/>
            <w:tcW w:w="248" w:type="pct"/>
            <w:vAlign w:val="center"/>
            <w:textDirection w:val="lrTb"/>
            <w:noWrap w:val="false"/>
          </w:tcPr>
          <w:p>
            <w:pPr>
              <w:jc w:val="center"/>
              <w:rPr>
                <w:sz w:val="20"/>
                <w:szCs w:val="20"/>
              </w:rPr>
            </w:pPr>
            <w:r>
              <w:rPr>
                <w:sz w:val="20"/>
                <w:szCs w:val="20"/>
              </w:rPr>
              <w:t xml:space="preserve">5</w:t>
            </w:r>
            <w:r>
              <w:rPr>
                <w:sz w:val="20"/>
                <w:szCs w:val="20"/>
              </w:rPr>
            </w:r>
            <w:r>
              <w:rPr>
                <w:sz w:val="20"/>
                <w:szCs w:val="20"/>
              </w:rPr>
            </w:r>
          </w:p>
        </w:tc>
        <w:tc>
          <w:tcPr>
            <w:shd w:val="clear" w:color="auto" w:fill="auto"/>
            <w:tcW w:w="4160" w:type="pct"/>
            <w:vAlign w:val="center"/>
            <w:textDirection w:val="lrTb"/>
            <w:noWrap w:val="false"/>
          </w:tcPr>
          <w:p>
            <w:pPr>
              <w:rPr>
                <w:sz w:val="20"/>
                <w:szCs w:val="20"/>
              </w:rPr>
            </w:pPr>
            <w:r>
              <w:rPr>
                <w:sz w:val="20"/>
                <w:szCs w:val="20"/>
              </w:rPr>
              <w:t xml:space="preserve">Собственные нужды водоподготовительной установки, м3/ч</w:t>
            </w:r>
            <w:r>
              <w:rPr>
                <w:sz w:val="20"/>
                <w:szCs w:val="20"/>
              </w:rPr>
            </w:r>
            <w:r>
              <w:rPr>
                <w:sz w:val="20"/>
                <w:szCs w:val="20"/>
              </w:rPr>
            </w:r>
          </w:p>
        </w:tc>
        <w:tc>
          <w:tcPr>
            <w:shd w:val="clear" w:color="auto" w:fill="auto"/>
            <w:tcW w:w="592" w:type="pct"/>
            <w:textDirection w:val="lrTb"/>
            <w:noWrap w:val="false"/>
          </w:tcPr>
          <w:p>
            <w:pPr>
              <w:jc w:val="center"/>
              <w:rPr>
                <w:sz w:val="20"/>
                <w:szCs w:val="20"/>
              </w:rPr>
            </w:pPr>
            <w:r>
              <w:rPr>
                <w:sz w:val="20"/>
                <w:szCs w:val="20"/>
              </w:rPr>
              <w:t xml:space="preserve">-</w:t>
            </w:r>
            <w:r>
              <w:rPr>
                <w:sz w:val="20"/>
                <w:szCs w:val="20"/>
              </w:rPr>
            </w:r>
            <w:r>
              <w:rPr>
                <w:sz w:val="20"/>
                <w:szCs w:val="20"/>
              </w:rPr>
            </w:r>
          </w:p>
        </w:tc>
      </w:tr>
      <w:tr>
        <w:tblPrEx/>
        <w:trPr>
          <w:trHeight w:val="75"/>
        </w:trPr>
        <w:tc>
          <w:tcPr>
            <w:shd w:val="clear" w:color="auto" w:fill="auto"/>
            <w:tcW w:w="248" w:type="pct"/>
            <w:vAlign w:val="center"/>
            <w:textDirection w:val="lrTb"/>
            <w:noWrap w:val="false"/>
          </w:tcPr>
          <w:p>
            <w:pPr>
              <w:jc w:val="center"/>
              <w:rPr>
                <w:sz w:val="20"/>
                <w:szCs w:val="20"/>
              </w:rPr>
            </w:pPr>
            <w:r>
              <w:rPr>
                <w:sz w:val="20"/>
                <w:szCs w:val="20"/>
              </w:rPr>
              <w:t xml:space="preserve">6</w:t>
            </w:r>
            <w:r>
              <w:rPr>
                <w:sz w:val="20"/>
                <w:szCs w:val="20"/>
              </w:rPr>
            </w:r>
            <w:r>
              <w:rPr>
                <w:sz w:val="20"/>
                <w:szCs w:val="20"/>
              </w:rPr>
            </w:r>
          </w:p>
        </w:tc>
        <w:tc>
          <w:tcPr>
            <w:shd w:val="clear" w:color="auto" w:fill="auto"/>
            <w:tcW w:w="4160" w:type="pct"/>
            <w:vAlign w:val="center"/>
            <w:textDirection w:val="lrTb"/>
            <w:noWrap w:val="false"/>
          </w:tcPr>
          <w:p>
            <w:pPr>
              <w:rPr>
                <w:sz w:val="20"/>
                <w:szCs w:val="20"/>
              </w:rPr>
            </w:pPr>
            <w:r>
              <w:rPr>
                <w:sz w:val="20"/>
                <w:szCs w:val="20"/>
              </w:rPr>
              <w:t xml:space="preserve">Количество баков-аккумуляторов теплоносителя, шт.</w:t>
            </w:r>
            <w:r>
              <w:rPr>
                <w:sz w:val="20"/>
                <w:szCs w:val="20"/>
              </w:rPr>
            </w:r>
            <w:r>
              <w:rPr>
                <w:sz w:val="20"/>
                <w:szCs w:val="20"/>
              </w:rPr>
            </w:r>
          </w:p>
        </w:tc>
        <w:tc>
          <w:tcPr>
            <w:shd w:val="clear" w:color="auto" w:fill="auto"/>
            <w:tcW w:w="592" w:type="pct"/>
            <w:textDirection w:val="lrTb"/>
            <w:noWrap w:val="false"/>
          </w:tcPr>
          <w:p>
            <w:pPr>
              <w:jc w:val="center"/>
              <w:rPr>
                <w:sz w:val="20"/>
                <w:szCs w:val="20"/>
              </w:rPr>
            </w:pPr>
            <w:r>
              <w:rPr>
                <w:sz w:val="20"/>
                <w:szCs w:val="20"/>
              </w:rPr>
              <w:t xml:space="preserve">-</w:t>
            </w:r>
            <w:r>
              <w:rPr>
                <w:sz w:val="20"/>
                <w:szCs w:val="20"/>
              </w:rPr>
            </w:r>
            <w:r>
              <w:rPr>
                <w:sz w:val="20"/>
                <w:szCs w:val="20"/>
              </w:rPr>
            </w:r>
          </w:p>
        </w:tc>
      </w:tr>
      <w:tr>
        <w:tblPrEx/>
        <w:trPr>
          <w:trHeight w:val="75"/>
        </w:trPr>
        <w:tc>
          <w:tcPr>
            <w:shd w:val="clear" w:color="auto" w:fill="auto"/>
            <w:tcW w:w="248" w:type="pct"/>
            <w:vAlign w:val="center"/>
            <w:textDirection w:val="lrTb"/>
            <w:noWrap w:val="false"/>
          </w:tcPr>
          <w:p>
            <w:pPr>
              <w:jc w:val="center"/>
              <w:rPr>
                <w:sz w:val="20"/>
                <w:szCs w:val="20"/>
              </w:rPr>
            </w:pPr>
            <w:r>
              <w:rPr>
                <w:sz w:val="20"/>
                <w:szCs w:val="20"/>
              </w:rPr>
              <w:t xml:space="preserve">7</w:t>
            </w:r>
            <w:r>
              <w:rPr>
                <w:sz w:val="20"/>
                <w:szCs w:val="20"/>
              </w:rPr>
            </w:r>
            <w:r>
              <w:rPr>
                <w:sz w:val="20"/>
                <w:szCs w:val="20"/>
              </w:rPr>
            </w:r>
          </w:p>
        </w:tc>
        <w:tc>
          <w:tcPr>
            <w:shd w:val="clear" w:color="auto" w:fill="auto"/>
            <w:tcW w:w="4160" w:type="pct"/>
            <w:vAlign w:val="center"/>
            <w:textDirection w:val="lrTb"/>
            <w:noWrap w:val="false"/>
          </w:tcPr>
          <w:p>
            <w:pPr>
              <w:rPr>
                <w:sz w:val="20"/>
                <w:szCs w:val="20"/>
              </w:rPr>
            </w:pPr>
            <w:r>
              <w:rPr>
                <w:sz w:val="20"/>
                <w:szCs w:val="20"/>
              </w:rPr>
              <w:t xml:space="preserve">Емкость баков аккумуляторов, тыс. м3</w:t>
            </w:r>
            <w:r>
              <w:rPr>
                <w:sz w:val="20"/>
                <w:szCs w:val="20"/>
              </w:rPr>
            </w:r>
            <w:r>
              <w:rPr>
                <w:sz w:val="20"/>
                <w:szCs w:val="20"/>
              </w:rPr>
            </w:r>
          </w:p>
        </w:tc>
        <w:tc>
          <w:tcPr>
            <w:shd w:val="clear" w:color="auto" w:fill="auto"/>
            <w:tcW w:w="592" w:type="pct"/>
            <w:textDirection w:val="lrTb"/>
            <w:noWrap w:val="false"/>
          </w:tcPr>
          <w:p>
            <w:pPr>
              <w:jc w:val="center"/>
              <w:rPr>
                <w:sz w:val="20"/>
                <w:szCs w:val="20"/>
              </w:rPr>
            </w:pPr>
            <w:r>
              <w:rPr>
                <w:sz w:val="20"/>
                <w:szCs w:val="20"/>
              </w:rPr>
              <w:t xml:space="preserve">-</w:t>
            </w:r>
            <w:r>
              <w:rPr>
                <w:sz w:val="20"/>
                <w:szCs w:val="20"/>
              </w:rPr>
            </w:r>
            <w:r>
              <w:rPr>
                <w:sz w:val="20"/>
                <w:szCs w:val="20"/>
              </w:rPr>
            </w:r>
          </w:p>
        </w:tc>
      </w:tr>
      <w:tr>
        <w:tblPrEx/>
        <w:trPr>
          <w:trHeight w:val="85"/>
        </w:trPr>
        <w:tc>
          <w:tcPr>
            <w:shd w:val="clear" w:color="auto" w:fill="auto"/>
            <w:tcW w:w="248" w:type="pct"/>
            <w:vAlign w:val="center"/>
            <w:textDirection w:val="lrTb"/>
            <w:noWrap w:val="false"/>
          </w:tcPr>
          <w:p>
            <w:pPr>
              <w:jc w:val="center"/>
              <w:rPr>
                <w:sz w:val="20"/>
                <w:szCs w:val="20"/>
              </w:rPr>
            </w:pPr>
            <w:r>
              <w:rPr>
                <w:sz w:val="20"/>
                <w:szCs w:val="20"/>
              </w:rPr>
              <w:t xml:space="preserve">8</w:t>
            </w:r>
            <w:r>
              <w:rPr>
                <w:sz w:val="20"/>
                <w:szCs w:val="20"/>
              </w:rPr>
            </w:r>
            <w:r>
              <w:rPr>
                <w:sz w:val="20"/>
                <w:szCs w:val="20"/>
              </w:rPr>
            </w:r>
          </w:p>
        </w:tc>
        <w:tc>
          <w:tcPr>
            <w:shd w:val="clear" w:color="auto" w:fill="auto"/>
            <w:tcW w:w="4160" w:type="pct"/>
            <w:vAlign w:val="center"/>
            <w:textDirection w:val="lrTb"/>
            <w:noWrap w:val="false"/>
          </w:tcPr>
          <w:p>
            <w:pPr>
              <w:rPr>
                <w:sz w:val="20"/>
                <w:szCs w:val="20"/>
              </w:rPr>
            </w:pPr>
            <w:r>
              <w:rPr>
                <w:sz w:val="20"/>
                <w:szCs w:val="20"/>
              </w:rPr>
              <w:t xml:space="preserve">Требуемая расчетная производительность водоподготовительной установки (0,75% V), м3/ч</w:t>
            </w:r>
            <w:r>
              <w:rPr>
                <w:sz w:val="20"/>
                <w:szCs w:val="20"/>
              </w:rPr>
            </w:r>
            <w:r>
              <w:rPr>
                <w:sz w:val="20"/>
                <w:szCs w:val="20"/>
              </w:rPr>
            </w:r>
          </w:p>
        </w:tc>
        <w:tc>
          <w:tcPr>
            <w:shd w:val="clear" w:color="auto" w:fill="auto"/>
            <w:tcW w:w="592" w:type="pct"/>
            <w:vAlign w:val="center"/>
            <w:textDirection w:val="lrTb"/>
            <w:noWrap w:val="false"/>
          </w:tcPr>
          <w:p>
            <w:pPr>
              <w:jc w:val="center"/>
              <w:rPr>
                <w:sz w:val="20"/>
                <w:szCs w:val="20"/>
              </w:rPr>
            </w:pPr>
            <w:r>
              <w:rPr>
                <w:sz w:val="20"/>
                <w:szCs w:val="20"/>
              </w:rPr>
              <w:t xml:space="preserve">2,336</w:t>
            </w:r>
            <w:r>
              <w:rPr>
                <w:sz w:val="20"/>
                <w:szCs w:val="20"/>
              </w:rPr>
            </w:r>
            <w:r>
              <w:rPr>
                <w:sz w:val="20"/>
                <w:szCs w:val="20"/>
              </w:rPr>
            </w:r>
          </w:p>
        </w:tc>
      </w:tr>
      <w:tr>
        <w:tblPrEx/>
        <w:trPr>
          <w:trHeight w:val="85"/>
        </w:trPr>
        <w:tc>
          <w:tcPr>
            <w:shd w:val="clear" w:color="auto" w:fill="auto"/>
            <w:tcW w:w="248" w:type="pct"/>
            <w:vAlign w:val="center"/>
            <w:textDirection w:val="lrTb"/>
            <w:noWrap w:val="false"/>
          </w:tcPr>
          <w:p>
            <w:pPr>
              <w:jc w:val="center"/>
              <w:rPr>
                <w:sz w:val="20"/>
                <w:szCs w:val="20"/>
              </w:rPr>
            </w:pPr>
            <w:r>
              <w:rPr>
                <w:sz w:val="20"/>
                <w:szCs w:val="20"/>
              </w:rPr>
              <w:t xml:space="preserve">9</w:t>
            </w:r>
            <w:r>
              <w:rPr>
                <w:sz w:val="20"/>
                <w:szCs w:val="20"/>
              </w:rPr>
            </w:r>
            <w:r>
              <w:rPr>
                <w:sz w:val="20"/>
                <w:szCs w:val="20"/>
              </w:rPr>
            </w:r>
          </w:p>
        </w:tc>
        <w:tc>
          <w:tcPr>
            <w:shd w:val="clear" w:color="auto" w:fill="auto"/>
            <w:tcW w:w="4160" w:type="pct"/>
            <w:vAlign w:val="center"/>
            <w:textDirection w:val="lrTb"/>
            <w:noWrap w:val="false"/>
          </w:tcPr>
          <w:p>
            <w:pPr>
              <w:rPr>
                <w:sz w:val="20"/>
                <w:szCs w:val="20"/>
              </w:rPr>
            </w:pPr>
            <w:r>
              <w:rPr>
                <w:sz w:val="20"/>
                <w:szCs w:val="20"/>
              </w:rPr>
              <w:t xml:space="preserve">Всего подпитка тепловой сети, м3/ч, в том числе:</w:t>
            </w:r>
            <w:r>
              <w:rPr>
                <w:sz w:val="20"/>
                <w:szCs w:val="20"/>
              </w:rPr>
            </w:r>
            <w:r>
              <w:rPr>
                <w:sz w:val="20"/>
                <w:szCs w:val="20"/>
              </w:rPr>
            </w:r>
          </w:p>
        </w:tc>
        <w:tc>
          <w:tcPr>
            <w:shd w:val="clear" w:color="auto" w:fill="auto"/>
            <w:tcW w:w="592" w:type="pct"/>
            <w:vAlign w:val="center"/>
            <w:textDirection w:val="lrTb"/>
            <w:noWrap w:val="false"/>
          </w:tcPr>
          <w:p>
            <w:pPr>
              <w:jc w:val="center"/>
              <w:rPr>
                <w:sz w:val="20"/>
                <w:szCs w:val="20"/>
              </w:rPr>
            </w:pPr>
            <w:r>
              <w:rPr>
                <w:sz w:val="20"/>
                <w:szCs w:val="20"/>
              </w:rPr>
              <w:t xml:space="preserve">0,</w:t>
            </w:r>
            <w:r>
              <w:rPr>
                <w:sz w:val="20"/>
                <w:szCs w:val="20"/>
              </w:rPr>
              <w:t xml:space="preserve">779</w:t>
            </w:r>
            <w:r>
              <w:rPr>
                <w:sz w:val="20"/>
                <w:szCs w:val="20"/>
              </w:rPr>
            </w:r>
            <w:r>
              <w:rPr>
                <w:sz w:val="20"/>
                <w:szCs w:val="20"/>
              </w:rPr>
            </w:r>
          </w:p>
        </w:tc>
      </w:tr>
      <w:tr>
        <w:tblPrEx/>
        <w:trPr>
          <w:trHeight w:val="85"/>
        </w:trPr>
        <w:tc>
          <w:tcPr>
            <w:shd w:val="clear" w:color="auto" w:fill="auto"/>
            <w:tcW w:w="248" w:type="pct"/>
            <w:vAlign w:val="center"/>
            <w:textDirection w:val="lrTb"/>
            <w:noWrap w:val="false"/>
          </w:tcPr>
          <w:p>
            <w:pPr>
              <w:jc w:val="center"/>
              <w:rPr>
                <w:sz w:val="20"/>
                <w:szCs w:val="20"/>
              </w:rPr>
            </w:pPr>
            <w:r>
              <w:rPr>
                <w:sz w:val="20"/>
                <w:szCs w:val="20"/>
              </w:rPr>
              <w:t xml:space="preserve">9.1</w:t>
            </w:r>
            <w:r>
              <w:rPr>
                <w:sz w:val="20"/>
                <w:szCs w:val="20"/>
              </w:rPr>
            </w:r>
            <w:r>
              <w:rPr>
                <w:sz w:val="20"/>
                <w:szCs w:val="20"/>
              </w:rPr>
            </w:r>
          </w:p>
        </w:tc>
        <w:tc>
          <w:tcPr>
            <w:shd w:val="clear" w:color="auto" w:fill="auto"/>
            <w:tcW w:w="4160" w:type="pct"/>
            <w:vAlign w:val="center"/>
            <w:textDirection w:val="lrTb"/>
            <w:noWrap w:val="false"/>
          </w:tcPr>
          <w:p>
            <w:pPr>
              <w:rPr>
                <w:sz w:val="20"/>
                <w:szCs w:val="20"/>
              </w:rPr>
            </w:pPr>
            <w:r>
              <w:rPr>
                <w:sz w:val="20"/>
                <w:szCs w:val="20"/>
              </w:rPr>
              <w:t xml:space="preserve">- нормативные утечки теплоносителя (0,25% V), м3/ч</w:t>
            </w:r>
            <w:r>
              <w:rPr>
                <w:sz w:val="20"/>
                <w:szCs w:val="20"/>
              </w:rPr>
            </w:r>
            <w:r>
              <w:rPr>
                <w:sz w:val="20"/>
                <w:szCs w:val="20"/>
              </w:rPr>
            </w:r>
          </w:p>
        </w:tc>
        <w:tc>
          <w:tcPr>
            <w:shd w:val="clear" w:color="auto" w:fill="auto"/>
            <w:tcW w:w="592" w:type="pct"/>
            <w:vAlign w:val="center"/>
            <w:textDirection w:val="lrTb"/>
            <w:noWrap w:val="false"/>
          </w:tcPr>
          <w:p>
            <w:pPr>
              <w:jc w:val="center"/>
              <w:rPr>
                <w:sz w:val="20"/>
                <w:szCs w:val="20"/>
              </w:rPr>
            </w:pPr>
            <w:r>
              <w:rPr>
                <w:sz w:val="20"/>
                <w:szCs w:val="20"/>
              </w:rPr>
              <w:t xml:space="preserve">0,</w:t>
            </w:r>
            <w:r>
              <w:rPr>
                <w:sz w:val="20"/>
                <w:szCs w:val="20"/>
              </w:rPr>
              <w:t xml:space="preserve">779</w:t>
            </w:r>
            <w:r>
              <w:rPr>
                <w:sz w:val="20"/>
                <w:szCs w:val="20"/>
              </w:rPr>
            </w:r>
            <w:r>
              <w:rPr>
                <w:sz w:val="20"/>
                <w:szCs w:val="20"/>
              </w:rPr>
            </w:r>
          </w:p>
        </w:tc>
      </w:tr>
      <w:tr>
        <w:tblPrEx/>
        <w:trPr>
          <w:trHeight w:val="85"/>
        </w:trPr>
        <w:tc>
          <w:tcPr>
            <w:shd w:val="clear" w:color="auto" w:fill="auto"/>
            <w:tcW w:w="248" w:type="pct"/>
            <w:vAlign w:val="center"/>
            <w:textDirection w:val="lrTb"/>
            <w:noWrap w:val="false"/>
          </w:tcPr>
          <w:p>
            <w:pPr>
              <w:jc w:val="center"/>
              <w:rPr>
                <w:sz w:val="20"/>
                <w:szCs w:val="20"/>
              </w:rPr>
            </w:pPr>
            <w:r>
              <w:rPr>
                <w:sz w:val="20"/>
                <w:szCs w:val="20"/>
              </w:rPr>
              <w:t xml:space="preserve">9.2</w:t>
            </w:r>
            <w:r>
              <w:rPr>
                <w:sz w:val="20"/>
                <w:szCs w:val="20"/>
              </w:rPr>
            </w:r>
            <w:r>
              <w:rPr>
                <w:sz w:val="20"/>
                <w:szCs w:val="20"/>
              </w:rPr>
            </w:r>
          </w:p>
        </w:tc>
        <w:tc>
          <w:tcPr>
            <w:shd w:val="clear" w:color="auto" w:fill="auto"/>
            <w:tcW w:w="4160" w:type="pct"/>
            <w:vAlign w:val="center"/>
            <w:textDirection w:val="lrTb"/>
            <w:noWrap w:val="false"/>
          </w:tcPr>
          <w:p>
            <w:pPr>
              <w:rPr>
                <w:sz w:val="20"/>
                <w:szCs w:val="20"/>
              </w:rPr>
            </w:pPr>
            <w:r>
              <w:rPr>
                <w:sz w:val="20"/>
                <w:szCs w:val="20"/>
              </w:rPr>
              <w:t xml:space="preserve">- сверхнормативные утечки теплоносителя, м3/ч</w:t>
            </w:r>
            <w:r>
              <w:rPr>
                <w:sz w:val="20"/>
                <w:szCs w:val="20"/>
              </w:rPr>
            </w:r>
            <w:r>
              <w:rPr>
                <w:sz w:val="20"/>
                <w:szCs w:val="20"/>
              </w:rPr>
            </w:r>
          </w:p>
        </w:tc>
        <w:tc>
          <w:tcPr>
            <w:shd w:val="clear" w:color="auto" w:fill="auto"/>
            <w:tcW w:w="592" w:type="pct"/>
            <w:vAlign w:val="center"/>
            <w:textDirection w:val="lrTb"/>
            <w:noWrap w:val="false"/>
          </w:tcPr>
          <w:p>
            <w:pPr>
              <w:jc w:val="center"/>
              <w:rPr>
                <w:sz w:val="20"/>
                <w:szCs w:val="20"/>
              </w:rPr>
            </w:pPr>
            <w:r>
              <w:rPr>
                <w:sz w:val="20"/>
                <w:szCs w:val="20"/>
              </w:rPr>
              <w:t xml:space="preserve">0</w:t>
            </w:r>
            <w:r>
              <w:rPr>
                <w:sz w:val="20"/>
                <w:szCs w:val="20"/>
              </w:rPr>
            </w:r>
            <w:r>
              <w:rPr>
                <w:sz w:val="20"/>
                <w:szCs w:val="20"/>
              </w:rPr>
            </w:r>
          </w:p>
        </w:tc>
      </w:tr>
      <w:tr>
        <w:tblPrEx/>
        <w:trPr>
          <w:trHeight w:val="257"/>
        </w:trPr>
        <w:tc>
          <w:tcPr>
            <w:shd w:val="clear" w:color="auto" w:fill="auto"/>
            <w:tcW w:w="248" w:type="pct"/>
            <w:vAlign w:val="center"/>
            <w:textDirection w:val="lrTb"/>
            <w:noWrap w:val="false"/>
          </w:tcPr>
          <w:p>
            <w:pPr>
              <w:jc w:val="center"/>
              <w:rPr>
                <w:sz w:val="20"/>
                <w:szCs w:val="20"/>
              </w:rPr>
            </w:pPr>
            <w:r>
              <w:rPr>
                <w:sz w:val="20"/>
                <w:szCs w:val="20"/>
              </w:rPr>
              <w:t xml:space="preserve">9.3</w:t>
            </w:r>
            <w:r>
              <w:rPr>
                <w:sz w:val="20"/>
                <w:szCs w:val="20"/>
              </w:rPr>
            </w:r>
            <w:r>
              <w:rPr>
                <w:sz w:val="20"/>
                <w:szCs w:val="20"/>
              </w:rPr>
            </w:r>
          </w:p>
        </w:tc>
        <w:tc>
          <w:tcPr>
            <w:shd w:val="clear" w:color="auto" w:fill="auto"/>
            <w:tcW w:w="4160" w:type="pct"/>
            <w:vAlign w:val="center"/>
            <w:textDirection w:val="lrTb"/>
            <w:noWrap w:val="false"/>
          </w:tcPr>
          <w:p>
            <w:pPr>
              <w:rPr>
                <w:sz w:val="20"/>
                <w:szCs w:val="20"/>
              </w:rPr>
            </w:pPr>
            <w:r>
              <w:rPr>
                <w:sz w:val="20"/>
                <w:szCs w:val="20"/>
              </w:rPr>
              <w:t xml:space="preserve">- отпуск теплоносителя из тепловых сетей на цели горячего водоснабжения (для открытых систем теплоснабжения), т/ч</w:t>
            </w:r>
            <w:r>
              <w:rPr>
                <w:sz w:val="20"/>
                <w:szCs w:val="20"/>
              </w:rPr>
            </w:r>
            <w:r>
              <w:rPr>
                <w:sz w:val="20"/>
                <w:szCs w:val="20"/>
              </w:rPr>
            </w:r>
          </w:p>
        </w:tc>
        <w:tc>
          <w:tcPr>
            <w:shd w:val="clear" w:color="auto" w:fill="auto"/>
            <w:tcW w:w="592" w:type="pct"/>
            <w:vAlign w:val="center"/>
            <w:textDirection w:val="lrTb"/>
            <w:noWrap w:val="false"/>
          </w:tcPr>
          <w:p>
            <w:pPr>
              <w:jc w:val="center"/>
              <w:rPr>
                <w:sz w:val="20"/>
                <w:szCs w:val="20"/>
              </w:rPr>
            </w:pPr>
            <w:r>
              <w:rPr>
                <w:sz w:val="20"/>
                <w:szCs w:val="20"/>
              </w:rPr>
              <w:t xml:space="preserve">0</w:t>
            </w:r>
            <w:r>
              <w:rPr>
                <w:sz w:val="20"/>
                <w:szCs w:val="20"/>
              </w:rPr>
            </w:r>
            <w:r>
              <w:rPr>
                <w:sz w:val="20"/>
                <w:szCs w:val="20"/>
              </w:rPr>
            </w:r>
          </w:p>
        </w:tc>
      </w:tr>
      <w:tr>
        <w:tblPrEx/>
        <w:trPr>
          <w:trHeight w:val="70"/>
        </w:trPr>
        <w:tc>
          <w:tcPr>
            <w:shd w:val="clear" w:color="auto" w:fill="auto"/>
            <w:tcW w:w="248" w:type="pct"/>
            <w:vAlign w:val="center"/>
            <w:textDirection w:val="lrTb"/>
            <w:noWrap w:val="false"/>
          </w:tcPr>
          <w:p>
            <w:pPr>
              <w:jc w:val="center"/>
              <w:rPr>
                <w:sz w:val="20"/>
                <w:szCs w:val="20"/>
              </w:rPr>
            </w:pPr>
            <w:r>
              <w:rPr>
                <w:sz w:val="20"/>
                <w:szCs w:val="20"/>
              </w:rPr>
              <w:t xml:space="preserve">10</w:t>
            </w:r>
            <w:r>
              <w:rPr>
                <w:sz w:val="20"/>
                <w:szCs w:val="20"/>
              </w:rPr>
            </w:r>
            <w:r>
              <w:rPr>
                <w:sz w:val="20"/>
                <w:szCs w:val="20"/>
              </w:rPr>
            </w:r>
          </w:p>
        </w:tc>
        <w:tc>
          <w:tcPr>
            <w:shd w:val="clear" w:color="auto" w:fill="auto"/>
            <w:tcW w:w="4160" w:type="pct"/>
            <w:vAlign w:val="center"/>
            <w:textDirection w:val="lrTb"/>
            <w:noWrap w:val="false"/>
          </w:tcPr>
          <w:p>
            <w:pPr>
              <w:rPr>
                <w:sz w:val="20"/>
                <w:szCs w:val="20"/>
              </w:rPr>
            </w:pPr>
            <w:r>
              <w:rPr>
                <w:sz w:val="20"/>
                <w:szCs w:val="20"/>
              </w:rPr>
              <w:t xml:space="preserve">Максимальная подпитка тепловой сети в период повреждения участка (2% V), м3/ч</w:t>
            </w:r>
            <w:r>
              <w:rPr>
                <w:sz w:val="20"/>
                <w:szCs w:val="20"/>
              </w:rPr>
            </w:r>
            <w:r>
              <w:rPr>
                <w:sz w:val="20"/>
                <w:szCs w:val="20"/>
              </w:rPr>
            </w:r>
          </w:p>
        </w:tc>
        <w:tc>
          <w:tcPr>
            <w:shd w:val="clear" w:color="auto" w:fill="auto"/>
            <w:tcW w:w="592" w:type="pct"/>
            <w:vAlign w:val="center"/>
            <w:textDirection w:val="lrTb"/>
            <w:noWrap w:val="false"/>
          </w:tcPr>
          <w:p>
            <w:pPr>
              <w:jc w:val="center"/>
              <w:rPr>
                <w:sz w:val="20"/>
                <w:szCs w:val="20"/>
              </w:rPr>
            </w:pPr>
            <w:r>
              <w:rPr>
                <w:sz w:val="20"/>
                <w:szCs w:val="20"/>
              </w:rPr>
              <w:t xml:space="preserve">6,370</w:t>
            </w:r>
            <w:r>
              <w:rPr>
                <w:sz w:val="20"/>
                <w:szCs w:val="20"/>
              </w:rPr>
            </w:r>
            <w:r>
              <w:rPr>
                <w:sz w:val="20"/>
                <w:szCs w:val="20"/>
              </w:rPr>
            </w:r>
          </w:p>
        </w:tc>
      </w:tr>
      <w:tr>
        <w:tblPrEx/>
        <w:trPr>
          <w:trHeight w:val="85"/>
        </w:trPr>
        <w:tc>
          <w:tcPr>
            <w:shd w:val="clear" w:color="auto" w:fill="auto"/>
            <w:tcW w:w="248" w:type="pct"/>
            <w:vAlign w:val="center"/>
            <w:textDirection w:val="lrTb"/>
            <w:noWrap w:val="false"/>
          </w:tcPr>
          <w:p>
            <w:pPr>
              <w:jc w:val="center"/>
              <w:rPr>
                <w:sz w:val="20"/>
                <w:szCs w:val="20"/>
              </w:rPr>
            </w:pPr>
            <w:r>
              <w:rPr>
                <w:sz w:val="20"/>
                <w:szCs w:val="20"/>
              </w:rPr>
              <w:t xml:space="preserve">11</w:t>
            </w:r>
            <w:r>
              <w:rPr>
                <w:sz w:val="20"/>
                <w:szCs w:val="20"/>
              </w:rPr>
            </w:r>
            <w:r>
              <w:rPr>
                <w:sz w:val="20"/>
                <w:szCs w:val="20"/>
              </w:rPr>
            </w:r>
          </w:p>
        </w:tc>
        <w:tc>
          <w:tcPr>
            <w:shd w:val="clear" w:color="auto" w:fill="auto"/>
            <w:tcW w:w="4160" w:type="pct"/>
            <w:vAlign w:val="center"/>
            <w:textDirection w:val="lrTb"/>
            <w:noWrap w:val="false"/>
          </w:tcPr>
          <w:p>
            <w:pPr>
              <w:rPr>
                <w:sz w:val="20"/>
                <w:szCs w:val="20"/>
              </w:rPr>
            </w:pPr>
            <w:r>
              <w:rPr>
                <w:sz w:val="20"/>
                <w:szCs w:val="20"/>
              </w:rPr>
              <w:t xml:space="preserve">Резерв (+)/дефицит (-), ВПУ,м3/ч</w:t>
            </w:r>
            <w:r>
              <w:rPr>
                <w:sz w:val="20"/>
                <w:szCs w:val="20"/>
              </w:rPr>
            </w:r>
            <w:r>
              <w:rPr>
                <w:sz w:val="20"/>
                <w:szCs w:val="20"/>
              </w:rPr>
            </w:r>
          </w:p>
        </w:tc>
        <w:tc>
          <w:tcPr>
            <w:shd w:val="clear" w:color="auto" w:fill="auto"/>
            <w:tcW w:w="592" w:type="pct"/>
            <w:textDirection w:val="lrTb"/>
            <w:noWrap w:val="false"/>
          </w:tcPr>
          <w:p>
            <w:pPr>
              <w:jc w:val="center"/>
              <w:rPr>
                <w:sz w:val="20"/>
                <w:szCs w:val="20"/>
              </w:rPr>
            </w:pPr>
            <w:r>
              <w:rPr>
                <w:sz w:val="20"/>
                <w:szCs w:val="20"/>
              </w:rPr>
              <w:t xml:space="preserve">-</w:t>
            </w:r>
            <w:r>
              <w:rPr>
                <w:sz w:val="20"/>
                <w:szCs w:val="20"/>
              </w:rPr>
            </w:r>
            <w:r>
              <w:rPr>
                <w:sz w:val="20"/>
                <w:szCs w:val="20"/>
              </w:rPr>
            </w:r>
          </w:p>
        </w:tc>
      </w:tr>
      <w:tr>
        <w:tblPrEx/>
        <w:trPr>
          <w:trHeight w:val="300"/>
        </w:trPr>
        <w:tc>
          <w:tcPr>
            <w:gridSpan w:val="3"/>
            <w:shd w:val="clear" w:color="auto" w:fill="auto"/>
            <w:tcW w:w="5000" w:type="pct"/>
            <w:vAlign w:val="center"/>
            <w:textDirection w:val="lrTb"/>
            <w:noWrap w:val="false"/>
          </w:tcPr>
          <w:p>
            <w:pPr>
              <w:jc w:val="center"/>
              <w:rPr>
                <w:b/>
                <w:sz w:val="20"/>
                <w:szCs w:val="20"/>
              </w:rPr>
            </w:pPr>
            <w:r>
              <w:rPr>
                <w:b/>
                <w:sz w:val="20"/>
                <w:szCs w:val="20"/>
              </w:rPr>
              <w:t xml:space="preserve">Котельная </w:t>
            </w:r>
            <w:r>
              <w:rPr>
                <w:rFonts w:ascii="Liberation Serif" w:hAnsi="Liberation Serif" w:cs="Calibri"/>
                <w:b/>
                <w:color w:val="000000"/>
                <w:sz w:val="20"/>
                <w:szCs w:val="20"/>
              </w:rPr>
              <w:t xml:space="preserve">р.п. Юргамыш, ул. Ленина, 47а</w:t>
            </w:r>
            <w:r>
              <w:rPr>
                <w:b/>
                <w:sz w:val="20"/>
                <w:szCs w:val="20"/>
              </w:rPr>
            </w:r>
            <w:r>
              <w:rPr>
                <w:b/>
                <w:sz w:val="20"/>
                <w:szCs w:val="20"/>
              </w:rPr>
            </w:r>
          </w:p>
        </w:tc>
      </w:tr>
      <w:tr>
        <w:tblPrEx/>
        <w:trPr>
          <w:trHeight w:val="75"/>
        </w:trPr>
        <w:tc>
          <w:tcPr>
            <w:shd w:val="clear" w:color="auto" w:fill="auto"/>
            <w:tcW w:w="248" w:type="pct"/>
            <w:vAlign w:val="center"/>
            <w:textDirection w:val="lrTb"/>
            <w:noWrap w:val="false"/>
          </w:tcPr>
          <w:p>
            <w:pPr>
              <w:jc w:val="center"/>
              <w:rPr>
                <w:sz w:val="20"/>
                <w:szCs w:val="20"/>
              </w:rPr>
            </w:pPr>
            <w:r>
              <w:rPr>
                <w:sz w:val="20"/>
                <w:szCs w:val="20"/>
              </w:rPr>
              <w:t xml:space="preserve">1</w:t>
            </w:r>
            <w:r>
              <w:rPr>
                <w:sz w:val="20"/>
                <w:szCs w:val="20"/>
              </w:rPr>
            </w:r>
            <w:r>
              <w:rPr>
                <w:sz w:val="20"/>
                <w:szCs w:val="20"/>
              </w:rPr>
            </w:r>
          </w:p>
        </w:tc>
        <w:tc>
          <w:tcPr>
            <w:shd w:val="clear" w:color="auto" w:fill="auto"/>
            <w:tcW w:w="4160" w:type="pct"/>
            <w:vAlign w:val="center"/>
            <w:textDirection w:val="lrTb"/>
            <w:noWrap w:val="false"/>
          </w:tcPr>
          <w:p>
            <w:pPr>
              <w:rPr>
                <w:sz w:val="20"/>
                <w:szCs w:val="20"/>
              </w:rPr>
            </w:pPr>
            <w:r>
              <w:rPr>
                <w:sz w:val="20"/>
                <w:szCs w:val="20"/>
              </w:rPr>
              <w:t xml:space="preserve">Объем воды в системе теплоснабжения V, м3</w:t>
            </w:r>
            <w:r>
              <w:rPr>
                <w:sz w:val="20"/>
                <w:szCs w:val="20"/>
              </w:rPr>
            </w:r>
            <w:r>
              <w:rPr>
                <w:sz w:val="20"/>
                <w:szCs w:val="20"/>
              </w:rPr>
            </w:r>
          </w:p>
        </w:tc>
        <w:tc>
          <w:tcPr>
            <w:shd w:val="clear" w:color="auto" w:fill="auto"/>
            <w:tcW w:w="592" w:type="pct"/>
            <w:textDirection w:val="lrTb"/>
            <w:noWrap w:val="false"/>
          </w:tcPr>
          <w:p>
            <w:pPr>
              <w:jc w:val="center"/>
              <w:rPr>
                <w:sz w:val="20"/>
                <w:szCs w:val="20"/>
              </w:rPr>
            </w:pPr>
            <w:r>
              <w:rPr>
                <w:sz w:val="20"/>
                <w:szCs w:val="20"/>
              </w:rPr>
              <w:t xml:space="preserve">257,519</w:t>
            </w:r>
            <w:r>
              <w:rPr>
                <w:sz w:val="20"/>
                <w:szCs w:val="20"/>
              </w:rPr>
            </w:r>
            <w:r>
              <w:rPr>
                <w:sz w:val="20"/>
                <w:szCs w:val="20"/>
              </w:rPr>
            </w:r>
          </w:p>
        </w:tc>
      </w:tr>
      <w:tr>
        <w:tblPrEx/>
        <w:trPr>
          <w:trHeight w:val="75"/>
        </w:trPr>
        <w:tc>
          <w:tcPr>
            <w:shd w:val="clear" w:color="auto" w:fill="auto"/>
            <w:tcW w:w="248" w:type="pct"/>
            <w:vAlign w:val="center"/>
            <w:textDirection w:val="lrTb"/>
            <w:noWrap w:val="false"/>
          </w:tcPr>
          <w:p>
            <w:pPr>
              <w:jc w:val="center"/>
              <w:rPr>
                <w:sz w:val="20"/>
                <w:szCs w:val="20"/>
              </w:rPr>
            </w:pPr>
            <w:r>
              <w:rPr>
                <w:sz w:val="20"/>
                <w:szCs w:val="20"/>
              </w:rPr>
              <w:t xml:space="preserve">2</w:t>
            </w:r>
            <w:r>
              <w:rPr>
                <w:sz w:val="20"/>
                <w:szCs w:val="20"/>
              </w:rPr>
            </w:r>
            <w:r>
              <w:rPr>
                <w:sz w:val="20"/>
                <w:szCs w:val="20"/>
              </w:rPr>
            </w:r>
          </w:p>
        </w:tc>
        <w:tc>
          <w:tcPr>
            <w:shd w:val="clear" w:color="auto" w:fill="auto"/>
            <w:tcW w:w="4160" w:type="pct"/>
            <w:vAlign w:val="center"/>
            <w:textDirection w:val="lrTb"/>
            <w:noWrap w:val="false"/>
          </w:tcPr>
          <w:p>
            <w:pPr>
              <w:rPr>
                <w:sz w:val="20"/>
                <w:szCs w:val="20"/>
              </w:rPr>
            </w:pPr>
            <w:r>
              <w:rPr>
                <w:sz w:val="20"/>
                <w:szCs w:val="20"/>
              </w:rPr>
              <w:t xml:space="preserve">Установленная производительность водоподготовительной установки, м3/ч</w:t>
            </w:r>
            <w:r>
              <w:rPr>
                <w:sz w:val="20"/>
                <w:szCs w:val="20"/>
              </w:rPr>
            </w:r>
            <w:r>
              <w:rPr>
                <w:sz w:val="20"/>
                <w:szCs w:val="20"/>
              </w:rPr>
            </w:r>
          </w:p>
        </w:tc>
        <w:tc>
          <w:tcPr>
            <w:shd w:val="clear" w:color="auto" w:fill="auto"/>
            <w:tcW w:w="592" w:type="pct"/>
            <w:textDirection w:val="lrTb"/>
            <w:noWrap w:val="false"/>
          </w:tcPr>
          <w:p>
            <w:pPr>
              <w:jc w:val="center"/>
              <w:rPr>
                <w:sz w:val="20"/>
                <w:szCs w:val="20"/>
              </w:rPr>
            </w:pPr>
            <w:r>
              <w:rPr>
                <w:sz w:val="20"/>
                <w:szCs w:val="20"/>
              </w:rPr>
              <w:t xml:space="preserve">-</w:t>
            </w:r>
            <w:r>
              <w:rPr>
                <w:sz w:val="20"/>
                <w:szCs w:val="20"/>
              </w:rPr>
            </w:r>
            <w:r>
              <w:rPr>
                <w:sz w:val="20"/>
                <w:szCs w:val="20"/>
              </w:rPr>
            </w:r>
          </w:p>
        </w:tc>
      </w:tr>
      <w:tr>
        <w:tblPrEx/>
        <w:trPr>
          <w:trHeight w:val="75"/>
        </w:trPr>
        <w:tc>
          <w:tcPr>
            <w:shd w:val="clear" w:color="auto" w:fill="auto"/>
            <w:tcW w:w="248" w:type="pct"/>
            <w:vAlign w:val="center"/>
            <w:textDirection w:val="lrTb"/>
            <w:noWrap w:val="false"/>
          </w:tcPr>
          <w:p>
            <w:pPr>
              <w:jc w:val="center"/>
              <w:rPr>
                <w:sz w:val="20"/>
                <w:szCs w:val="20"/>
              </w:rPr>
            </w:pPr>
            <w:r>
              <w:rPr>
                <w:sz w:val="20"/>
                <w:szCs w:val="20"/>
              </w:rPr>
              <w:t xml:space="preserve">3</w:t>
            </w:r>
            <w:r>
              <w:rPr>
                <w:sz w:val="20"/>
                <w:szCs w:val="20"/>
              </w:rPr>
            </w:r>
            <w:r>
              <w:rPr>
                <w:sz w:val="20"/>
                <w:szCs w:val="20"/>
              </w:rPr>
            </w:r>
          </w:p>
        </w:tc>
        <w:tc>
          <w:tcPr>
            <w:shd w:val="clear" w:color="auto" w:fill="auto"/>
            <w:tcW w:w="4160" w:type="pct"/>
            <w:vAlign w:val="center"/>
            <w:textDirection w:val="lrTb"/>
            <w:noWrap w:val="false"/>
          </w:tcPr>
          <w:p>
            <w:pPr>
              <w:rPr>
                <w:sz w:val="20"/>
                <w:szCs w:val="20"/>
              </w:rPr>
            </w:pPr>
            <w:r>
              <w:rPr>
                <w:sz w:val="20"/>
                <w:szCs w:val="20"/>
              </w:rPr>
              <w:t xml:space="preserve">Располагаемая производительность водоподготовительной установки, м3/ч</w:t>
            </w:r>
            <w:r>
              <w:rPr>
                <w:sz w:val="20"/>
                <w:szCs w:val="20"/>
              </w:rPr>
            </w:r>
            <w:r>
              <w:rPr>
                <w:sz w:val="20"/>
                <w:szCs w:val="20"/>
              </w:rPr>
            </w:r>
          </w:p>
        </w:tc>
        <w:tc>
          <w:tcPr>
            <w:shd w:val="clear" w:color="auto" w:fill="auto"/>
            <w:tcW w:w="592" w:type="pct"/>
            <w:textDirection w:val="lrTb"/>
            <w:noWrap w:val="false"/>
          </w:tcPr>
          <w:p>
            <w:pPr>
              <w:jc w:val="center"/>
              <w:rPr>
                <w:sz w:val="20"/>
                <w:szCs w:val="20"/>
              </w:rPr>
            </w:pPr>
            <w:r>
              <w:rPr>
                <w:sz w:val="20"/>
                <w:szCs w:val="20"/>
              </w:rPr>
              <w:t xml:space="preserve">-</w:t>
            </w:r>
            <w:r>
              <w:rPr>
                <w:sz w:val="20"/>
                <w:szCs w:val="20"/>
              </w:rPr>
            </w:r>
            <w:r>
              <w:rPr>
                <w:sz w:val="20"/>
                <w:szCs w:val="20"/>
              </w:rPr>
            </w:r>
          </w:p>
        </w:tc>
      </w:tr>
      <w:tr>
        <w:tblPrEx/>
        <w:trPr>
          <w:trHeight w:val="75"/>
        </w:trPr>
        <w:tc>
          <w:tcPr>
            <w:shd w:val="clear" w:color="auto" w:fill="auto"/>
            <w:tcW w:w="248" w:type="pct"/>
            <w:vAlign w:val="center"/>
            <w:textDirection w:val="lrTb"/>
            <w:noWrap w:val="false"/>
          </w:tcPr>
          <w:p>
            <w:pPr>
              <w:jc w:val="center"/>
              <w:rPr>
                <w:sz w:val="20"/>
                <w:szCs w:val="20"/>
              </w:rPr>
            </w:pPr>
            <w:r>
              <w:rPr>
                <w:sz w:val="20"/>
                <w:szCs w:val="20"/>
              </w:rPr>
              <w:t xml:space="preserve">4</w:t>
            </w:r>
            <w:r>
              <w:rPr>
                <w:sz w:val="20"/>
                <w:szCs w:val="20"/>
              </w:rPr>
            </w:r>
            <w:r>
              <w:rPr>
                <w:sz w:val="20"/>
                <w:szCs w:val="20"/>
              </w:rPr>
            </w:r>
          </w:p>
        </w:tc>
        <w:tc>
          <w:tcPr>
            <w:shd w:val="clear" w:color="auto" w:fill="auto"/>
            <w:tcW w:w="4160" w:type="pct"/>
            <w:vAlign w:val="center"/>
            <w:textDirection w:val="lrTb"/>
            <w:noWrap w:val="false"/>
          </w:tcPr>
          <w:p>
            <w:pPr>
              <w:rPr>
                <w:sz w:val="20"/>
                <w:szCs w:val="20"/>
              </w:rPr>
            </w:pPr>
            <w:r>
              <w:rPr>
                <w:sz w:val="20"/>
                <w:szCs w:val="20"/>
              </w:rPr>
              <w:t xml:space="preserve">Потери располагаемой производительности, %</w:t>
            </w:r>
            <w:r>
              <w:rPr>
                <w:sz w:val="20"/>
                <w:szCs w:val="20"/>
              </w:rPr>
            </w:r>
            <w:r>
              <w:rPr>
                <w:sz w:val="20"/>
                <w:szCs w:val="20"/>
              </w:rPr>
            </w:r>
          </w:p>
        </w:tc>
        <w:tc>
          <w:tcPr>
            <w:shd w:val="clear" w:color="auto" w:fill="auto"/>
            <w:tcW w:w="592" w:type="pct"/>
            <w:textDirection w:val="lrTb"/>
            <w:noWrap w:val="false"/>
          </w:tcPr>
          <w:p>
            <w:pPr>
              <w:jc w:val="center"/>
              <w:rPr>
                <w:sz w:val="20"/>
                <w:szCs w:val="20"/>
              </w:rPr>
            </w:pPr>
            <w:r>
              <w:rPr>
                <w:sz w:val="20"/>
                <w:szCs w:val="20"/>
              </w:rPr>
              <w:t xml:space="preserve">-</w:t>
            </w:r>
            <w:r>
              <w:rPr>
                <w:sz w:val="20"/>
                <w:szCs w:val="20"/>
              </w:rPr>
            </w:r>
            <w:r>
              <w:rPr>
                <w:sz w:val="20"/>
                <w:szCs w:val="20"/>
              </w:rPr>
            </w:r>
          </w:p>
        </w:tc>
      </w:tr>
      <w:tr>
        <w:tblPrEx/>
        <w:trPr>
          <w:trHeight w:val="75"/>
        </w:trPr>
        <w:tc>
          <w:tcPr>
            <w:shd w:val="clear" w:color="auto" w:fill="auto"/>
            <w:tcW w:w="248" w:type="pct"/>
            <w:vAlign w:val="center"/>
            <w:textDirection w:val="lrTb"/>
            <w:noWrap w:val="false"/>
          </w:tcPr>
          <w:p>
            <w:pPr>
              <w:jc w:val="center"/>
              <w:rPr>
                <w:sz w:val="20"/>
                <w:szCs w:val="20"/>
              </w:rPr>
            </w:pPr>
            <w:r>
              <w:rPr>
                <w:sz w:val="20"/>
                <w:szCs w:val="20"/>
              </w:rPr>
              <w:t xml:space="preserve">5</w:t>
            </w:r>
            <w:r>
              <w:rPr>
                <w:sz w:val="20"/>
                <w:szCs w:val="20"/>
              </w:rPr>
            </w:r>
            <w:r>
              <w:rPr>
                <w:sz w:val="20"/>
                <w:szCs w:val="20"/>
              </w:rPr>
            </w:r>
          </w:p>
        </w:tc>
        <w:tc>
          <w:tcPr>
            <w:shd w:val="clear" w:color="auto" w:fill="auto"/>
            <w:tcW w:w="4160" w:type="pct"/>
            <w:vAlign w:val="center"/>
            <w:textDirection w:val="lrTb"/>
            <w:noWrap w:val="false"/>
          </w:tcPr>
          <w:p>
            <w:pPr>
              <w:rPr>
                <w:sz w:val="20"/>
                <w:szCs w:val="20"/>
              </w:rPr>
            </w:pPr>
            <w:r>
              <w:rPr>
                <w:sz w:val="20"/>
                <w:szCs w:val="20"/>
              </w:rPr>
              <w:t xml:space="preserve">Собственные нужды водоподготовительной установки, м3/ч</w:t>
            </w:r>
            <w:r>
              <w:rPr>
                <w:sz w:val="20"/>
                <w:szCs w:val="20"/>
              </w:rPr>
            </w:r>
            <w:r>
              <w:rPr>
                <w:sz w:val="20"/>
                <w:szCs w:val="20"/>
              </w:rPr>
            </w:r>
          </w:p>
        </w:tc>
        <w:tc>
          <w:tcPr>
            <w:shd w:val="clear" w:color="auto" w:fill="auto"/>
            <w:tcW w:w="592" w:type="pct"/>
            <w:textDirection w:val="lrTb"/>
            <w:noWrap w:val="false"/>
          </w:tcPr>
          <w:p>
            <w:pPr>
              <w:jc w:val="center"/>
              <w:rPr>
                <w:sz w:val="20"/>
                <w:szCs w:val="20"/>
              </w:rPr>
            </w:pPr>
            <w:r>
              <w:rPr>
                <w:sz w:val="20"/>
                <w:szCs w:val="20"/>
              </w:rPr>
              <w:t xml:space="preserve">-</w:t>
            </w:r>
            <w:r>
              <w:rPr>
                <w:sz w:val="20"/>
                <w:szCs w:val="20"/>
              </w:rPr>
            </w:r>
            <w:r>
              <w:rPr>
                <w:sz w:val="20"/>
                <w:szCs w:val="20"/>
              </w:rPr>
            </w:r>
          </w:p>
        </w:tc>
      </w:tr>
      <w:tr>
        <w:tblPrEx/>
        <w:trPr>
          <w:trHeight w:val="75"/>
        </w:trPr>
        <w:tc>
          <w:tcPr>
            <w:shd w:val="clear" w:color="auto" w:fill="auto"/>
            <w:tcW w:w="248" w:type="pct"/>
            <w:vAlign w:val="center"/>
            <w:textDirection w:val="lrTb"/>
            <w:noWrap w:val="false"/>
          </w:tcPr>
          <w:p>
            <w:pPr>
              <w:jc w:val="center"/>
              <w:rPr>
                <w:sz w:val="20"/>
                <w:szCs w:val="20"/>
              </w:rPr>
            </w:pPr>
            <w:r>
              <w:rPr>
                <w:sz w:val="20"/>
                <w:szCs w:val="20"/>
              </w:rPr>
              <w:t xml:space="preserve">6</w:t>
            </w:r>
            <w:r>
              <w:rPr>
                <w:sz w:val="20"/>
                <w:szCs w:val="20"/>
              </w:rPr>
            </w:r>
            <w:r>
              <w:rPr>
                <w:sz w:val="20"/>
                <w:szCs w:val="20"/>
              </w:rPr>
            </w:r>
          </w:p>
        </w:tc>
        <w:tc>
          <w:tcPr>
            <w:shd w:val="clear" w:color="auto" w:fill="auto"/>
            <w:tcW w:w="4160" w:type="pct"/>
            <w:vAlign w:val="center"/>
            <w:textDirection w:val="lrTb"/>
            <w:noWrap w:val="false"/>
          </w:tcPr>
          <w:p>
            <w:pPr>
              <w:rPr>
                <w:sz w:val="20"/>
                <w:szCs w:val="20"/>
              </w:rPr>
            </w:pPr>
            <w:r>
              <w:rPr>
                <w:sz w:val="20"/>
                <w:szCs w:val="20"/>
              </w:rPr>
              <w:t xml:space="preserve">Количество баков-аккумуляторов теплоносителя, шт.</w:t>
            </w:r>
            <w:r>
              <w:rPr>
                <w:sz w:val="20"/>
                <w:szCs w:val="20"/>
              </w:rPr>
            </w:r>
            <w:r>
              <w:rPr>
                <w:sz w:val="20"/>
                <w:szCs w:val="20"/>
              </w:rPr>
            </w:r>
          </w:p>
        </w:tc>
        <w:tc>
          <w:tcPr>
            <w:shd w:val="clear" w:color="auto" w:fill="auto"/>
            <w:tcW w:w="592" w:type="pct"/>
            <w:textDirection w:val="lrTb"/>
            <w:noWrap w:val="false"/>
          </w:tcPr>
          <w:p>
            <w:pPr>
              <w:jc w:val="center"/>
              <w:rPr>
                <w:sz w:val="20"/>
                <w:szCs w:val="20"/>
              </w:rPr>
            </w:pPr>
            <w:r>
              <w:rPr>
                <w:sz w:val="20"/>
                <w:szCs w:val="20"/>
              </w:rPr>
              <w:t xml:space="preserve">-</w:t>
            </w:r>
            <w:r>
              <w:rPr>
                <w:sz w:val="20"/>
                <w:szCs w:val="20"/>
              </w:rPr>
            </w:r>
            <w:r>
              <w:rPr>
                <w:sz w:val="20"/>
                <w:szCs w:val="20"/>
              </w:rPr>
            </w:r>
          </w:p>
        </w:tc>
      </w:tr>
      <w:tr>
        <w:tblPrEx/>
        <w:trPr>
          <w:trHeight w:val="75"/>
        </w:trPr>
        <w:tc>
          <w:tcPr>
            <w:shd w:val="clear" w:color="auto" w:fill="auto"/>
            <w:tcW w:w="248" w:type="pct"/>
            <w:vAlign w:val="center"/>
            <w:textDirection w:val="lrTb"/>
            <w:noWrap w:val="false"/>
          </w:tcPr>
          <w:p>
            <w:pPr>
              <w:jc w:val="center"/>
              <w:rPr>
                <w:sz w:val="20"/>
                <w:szCs w:val="20"/>
              </w:rPr>
            </w:pPr>
            <w:r>
              <w:rPr>
                <w:sz w:val="20"/>
                <w:szCs w:val="20"/>
              </w:rPr>
              <w:t xml:space="preserve">7</w:t>
            </w:r>
            <w:r>
              <w:rPr>
                <w:sz w:val="20"/>
                <w:szCs w:val="20"/>
              </w:rPr>
            </w:r>
            <w:r>
              <w:rPr>
                <w:sz w:val="20"/>
                <w:szCs w:val="20"/>
              </w:rPr>
            </w:r>
          </w:p>
        </w:tc>
        <w:tc>
          <w:tcPr>
            <w:shd w:val="clear" w:color="auto" w:fill="auto"/>
            <w:tcW w:w="4160" w:type="pct"/>
            <w:vAlign w:val="center"/>
            <w:textDirection w:val="lrTb"/>
            <w:noWrap w:val="false"/>
          </w:tcPr>
          <w:p>
            <w:pPr>
              <w:rPr>
                <w:sz w:val="20"/>
                <w:szCs w:val="20"/>
              </w:rPr>
            </w:pPr>
            <w:r>
              <w:rPr>
                <w:sz w:val="20"/>
                <w:szCs w:val="20"/>
              </w:rPr>
              <w:t xml:space="preserve">Емкость баков аккумуляторов, тыс. м3</w:t>
            </w:r>
            <w:r>
              <w:rPr>
                <w:sz w:val="20"/>
                <w:szCs w:val="20"/>
              </w:rPr>
            </w:r>
            <w:r>
              <w:rPr>
                <w:sz w:val="20"/>
                <w:szCs w:val="20"/>
              </w:rPr>
            </w:r>
          </w:p>
        </w:tc>
        <w:tc>
          <w:tcPr>
            <w:shd w:val="clear" w:color="auto" w:fill="auto"/>
            <w:tcW w:w="592" w:type="pct"/>
            <w:textDirection w:val="lrTb"/>
            <w:noWrap w:val="false"/>
          </w:tcPr>
          <w:p>
            <w:pPr>
              <w:jc w:val="center"/>
              <w:rPr>
                <w:sz w:val="20"/>
                <w:szCs w:val="20"/>
              </w:rPr>
            </w:pPr>
            <w:r>
              <w:rPr>
                <w:sz w:val="20"/>
                <w:szCs w:val="20"/>
              </w:rPr>
              <w:t xml:space="preserve">-</w:t>
            </w:r>
            <w:r>
              <w:rPr>
                <w:sz w:val="20"/>
                <w:szCs w:val="20"/>
              </w:rPr>
            </w:r>
            <w:r>
              <w:rPr>
                <w:sz w:val="20"/>
                <w:szCs w:val="20"/>
              </w:rPr>
            </w:r>
          </w:p>
        </w:tc>
      </w:tr>
      <w:tr>
        <w:tblPrEx/>
        <w:trPr>
          <w:trHeight w:val="85"/>
        </w:trPr>
        <w:tc>
          <w:tcPr>
            <w:shd w:val="clear" w:color="auto" w:fill="auto"/>
            <w:tcW w:w="248" w:type="pct"/>
            <w:vAlign w:val="center"/>
            <w:textDirection w:val="lrTb"/>
            <w:noWrap w:val="false"/>
          </w:tcPr>
          <w:p>
            <w:pPr>
              <w:jc w:val="center"/>
              <w:rPr>
                <w:sz w:val="20"/>
                <w:szCs w:val="20"/>
              </w:rPr>
            </w:pPr>
            <w:r>
              <w:rPr>
                <w:sz w:val="20"/>
                <w:szCs w:val="20"/>
              </w:rPr>
              <w:t xml:space="preserve">8</w:t>
            </w:r>
            <w:r>
              <w:rPr>
                <w:sz w:val="20"/>
                <w:szCs w:val="20"/>
              </w:rPr>
            </w:r>
            <w:r>
              <w:rPr>
                <w:sz w:val="20"/>
                <w:szCs w:val="20"/>
              </w:rPr>
            </w:r>
          </w:p>
        </w:tc>
        <w:tc>
          <w:tcPr>
            <w:shd w:val="clear" w:color="auto" w:fill="auto"/>
            <w:tcW w:w="4160" w:type="pct"/>
            <w:vAlign w:val="center"/>
            <w:textDirection w:val="lrTb"/>
            <w:noWrap w:val="false"/>
          </w:tcPr>
          <w:p>
            <w:pPr>
              <w:rPr>
                <w:sz w:val="20"/>
                <w:szCs w:val="20"/>
              </w:rPr>
            </w:pPr>
            <w:r>
              <w:rPr>
                <w:sz w:val="20"/>
                <w:szCs w:val="20"/>
              </w:rPr>
              <w:t xml:space="preserve">Требуемая расчетная производительность водоподготовительной установки (0,75% V), м3/ч</w:t>
            </w:r>
            <w:r>
              <w:rPr>
                <w:sz w:val="20"/>
                <w:szCs w:val="20"/>
              </w:rPr>
            </w:r>
            <w:r>
              <w:rPr>
                <w:sz w:val="20"/>
                <w:szCs w:val="20"/>
              </w:rPr>
            </w:r>
          </w:p>
        </w:tc>
        <w:tc>
          <w:tcPr>
            <w:shd w:val="clear" w:color="auto" w:fill="auto"/>
            <w:tcW w:w="592" w:type="pct"/>
            <w:vAlign w:val="center"/>
            <w:textDirection w:val="lrTb"/>
            <w:noWrap w:val="false"/>
          </w:tcPr>
          <w:p>
            <w:pPr>
              <w:jc w:val="center"/>
              <w:rPr>
                <w:sz w:val="20"/>
                <w:szCs w:val="20"/>
              </w:rPr>
            </w:pPr>
            <w:r>
              <w:rPr>
                <w:sz w:val="20"/>
                <w:szCs w:val="20"/>
              </w:rPr>
              <w:t xml:space="preserve">1,931</w:t>
            </w:r>
            <w:r>
              <w:rPr>
                <w:sz w:val="20"/>
                <w:szCs w:val="20"/>
              </w:rPr>
            </w:r>
            <w:r>
              <w:rPr>
                <w:sz w:val="20"/>
                <w:szCs w:val="20"/>
              </w:rPr>
            </w:r>
          </w:p>
        </w:tc>
      </w:tr>
      <w:tr>
        <w:tblPrEx/>
        <w:trPr>
          <w:trHeight w:val="85"/>
        </w:trPr>
        <w:tc>
          <w:tcPr>
            <w:shd w:val="clear" w:color="auto" w:fill="auto"/>
            <w:tcW w:w="248" w:type="pct"/>
            <w:vAlign w:val="center"/>
            <w:textDirection w:val="lrTb"/>
            <w:noWrap w:val="false"/>
          </w:tcPr>
          <w:p>
            <w:pPr>
              <w:jc w:val="center"/>
              <w:rPr>
                <w:sz w:val="20"/>
                <w:szCs w:val="20"/>
              </w:rPr>
            </w:pPr>
            <w:r>
              <w:rPr>
                <w:sz w:val="20"/>
                <w:szCs w:val="20"/>
              </w:rPr>
              <w:t xml:space="preserve">9</w:t>
            </w:r>
            <w:r>
              <w:rPr>
                <w:sz w:val="20"/>
                <w:szCs w:val="20"/>
              </w:rPr>
            </w:r>
            <w:r>
              <w:rPr>
                <w:sz w:val="20"/>
                <w:szCs w:val="20"/>
              </w:rPr>
            </w:r>
          </w:p>
        </w:tc>
        <w:tc>
          <w:tcPr>
            <w:shd w:val="clear" w:color="auto" w:fill="auto"/>
            <w:tcW w:w="4160" w:type="pct"/>
            <w:vAlign w:val="center"/>
            <w:textDirection w:val="lrTb"/>
            <w:noWrap w:val="false"/>
          </w:tcPr>
          <w:p>
            <w:pPr>
              <w:rPr>
                <w:sz w:val="20"/>
                <w:szCs w:val="20"/>
              </w:rPr>
            </w:pPr>
            <w:r>
              <w:rPr>
                <w:sz w:val="20"/>
                <w:szCs w:val="20"/>
              </w:rPr>
              <w:t xml:space="preserve">Всего подпитка тепловой сети, м3/ч, в том числе:</w:t>
            </w:r>
            <w:r>
              <w:rPr>
                <w:sz w:val="20"/>
                <w:szCs w:val="20"/>
              </w:rPr>
            </w:r>
            <w:r>
              <w:rPr>
                <w:sz w:val="20"/>
                <w:szCs w:val="20"/>
              </w:rPr>
            </w:r>
          </w:p>
        </w:tc>
        <w:tc>
          <w:tcPr>
            <w:shd w:val="clear" w:color="auto" w:fill="auto"/>
            <w:tcW w:w="592" w:type="pct"/>
            <w:vAlign w:val="center"/>
            <w:textDirection w:val="lrTb"/>
            <w:noWrap w:val="false"/>
          </w:tcPr>
          <w:p>
            <w:pPr>
              <w:jc w:val="center"/>
              <w:rPr>
                <w:sz w:val="20"/>
                <w:szCs w:val="20"/>
              </w:rPr>
            </w:pPr>
            <w:r>
              <w:rPr>
                <w:sz w:val="20"/>
                <w:szCs w:val="20"/>
              </w:rPr>
              <w:t xml:space="preserve">0,</w:t>
            </w:r>
            <w:r>
              <w:rPr>
                <w:sz w:val="20"/>
                <w:szCs w:val="20"/>
              </w:rPr>
              <w:t xml:space="preserve">644</w:t>
            </w:r>
            <w:r>
              <w:rPr>
                <w:sz w:val="20"/>
                <w:szCs w:val="20"/>
              </w:rPr>
            </w:r>
            <w:r>
              <w:rPr>
                <w:sz w:val="20"/>
                <w:szCs w:val="20"/>
              </w:rPr>
            </w:r>
          </w:p>
        </w:tc>
      </w:tr>
      <w:tr>
        <w:tblPrEx/>
        <w:trPr>
          <w:trHeight w:val="85"/>
        </w:trPr>
        <w:tc>
          <w:tcPr>
            <w:shd w:val="clear" w:color="auto" w:fill="auto"/>
            <w:tcW w:w="248" w:type="pct"/>
            <w:vAlign w:val="center"/>
            <w:textDirection w:val="lrTb"/>
            <w:noWrap w:val="false"/>
          </w:tcPr>
          <w:p>
            <w:pPr>
              <w:jc w:val="center"/>
              <w:rPr>
                <w:sz w:val="20"/>
                <w:szCs w:val="20"/>
              </w:rPr>
            </w:pPr>
            <w:r>
              <w:rPr>
                <w:sz w:val="20"/>
                <w:szCs w:val="20"/>
              </w:rPr>
              <w:t xml:space="preserve">9.1</w:t>
            </w:r>
            <w:r>
              <w:rPr>
                <w:sz w:val="20"/>
                <w:szCs w:val="20"/>
              </w:rPr>
            </w:r>
            <w:r>
              <w:rPr>
                <w:sz w:val="20"/>
                <w:szCs w:val="20"/>
              </w:rPr>
            </w:r>
          </w:p>
        </w:tc>
        <w:tc>
          <w:tcPr>
            <w:shd w:val="clear" w:color="auto" w:fill="auto"/>
            <w:tcW w:w="4160" w:type="pct"/>
            <w:vAlign w:val="center"/>
            <w:textDirection w:val="lrTb"/>
            <w:noWrap w:val="false"/>
          </w:tcPr>
          <w:p>
            <w:pPr>
              <w:rPr>
                <w:sz w:val="20"/>
                <w:szCs w:val="20"/>
              </w:rPr>
            </w:pPr>
            <w:r>
              <w:rPr>
                <w:sz w:val="20"/>
                <w:szCs w:val="20"/>
              </w:rPr>
              <w:t xml:space="preserve">- нормативные утечки теплоносителя (0,25% V), м3/ч</w:t>
            </w:r>
            <w:r>
              <w:rPr>
                <w:sz w:val="20"/>
                <w:szCs w:val="20"/>
              </w:rPr>
            </w:r>
            <w:r>
              <w:rPr>
                <w:sz w:val="20"/>
                <w:szCs w:val="20"/>
              </w:rPr>
            </w:r>
          </w:p>
        </w:tc>
        <w:tc>
          <w:tcPr>
            <w:shd w:val="clear" w:color="auto" w:fill="auto"/>
            <w:tcW w:w="592" w:type="pct"/>
            <w:vAlign w:val="center"/>
            <w:textDirection w:val="lrTb"/>
            <w:noWrap w:val="false"/>
          </w:tcPr>
          <w:p>
            <w:pPr>
              <w:jc w:val="center"/>
              <w:rPr>
                <w:sz w:val="20"/>
                <w:szCs w:val="20"/>
              </w:rPr>
            </w:pPr>
            <w:r>
              <w:rPr>
                <w:sz w:val="20"/>
                <w:szCs w:val="20"/>
              </w:rPr>
              <w:t xml:space="preserve">0,</w:t>
            </w:r>
            <w:r>
              <w:rPr>
                <w:sz w:val="20"/>
                <w:szCs w:val="20"/>
              </w:rPr>
              <w:t xml:space="preserve">644</w:t>
            </w:r>
            <w:r>
              <w:rPr>
                <w:sz w:val="20"/>
                <w:szCs w:val="20"/>
              </w:rPr>
            </w:r>
            <w:r>
              <w:rPr>
                <w:sz w:val="20"/>
                <w:szCs w:val="20"/>
              </w:rPr>
            </w:r>
          </w:p>
        </w:tc>
      </w:tr>
      <w:tr>
        <w:tblPrEx/>
        <w:trPr>
          <w:trHeight w:val="85"/>
        </w:trPr>
        <w:tc>
          <w:tcPr>
            <w:shd w:val="clear" w:color="auto" w:fill="auto"/>
            <w:tcW w:w="248" w:type="pct"/>
            <w:vAlign w:val="center"/>
            <w:textDirection w:val="lrTb"/>
            <w:noWrap w:val="false"/>
          </w:tcPr>
          <w:p>
            <w:pPr>
              <w:jc w:val="center"/>
              <w:rPr>
                <w:sz w:val="20"/>
                <w:szCs w:val="20"/>
              </w:rPr>
            </w:pPr>
            <w:r>
              <w:rPr>
                <w:sz w:val="20"/>
                <w:szCs w:val="20"/>
              </w:rPr>
              <w:t xml:space="preserve">9.2</w:t>
            </w:r>
            <w:r>
              <w:rPr>
                <w:sz w:val="20"/>
                <w:szCs w:val="20"/>
              </w:rPr>
            </w:r>
            <w:r>
              <w:rPr>
                <w:sz w:val="20"/>
                <w:szCs w:val="20"/>
              </w:rPr>
            </w:r>
          </w:p>
        </w:tc>
        <w:tc>
          <w:tcPr>
            <w:shd w:val="clear" w:color="auto" w:fill="auto"/>
            <w:tcW w:w="4160" w:type="pct"/>
            <w:vAlign w:val="center"/>
            <w:textDirection w:val="lrTb"/>
            <w:noWrap w:val="false"/>
          </w:tcPr>
          <w:p>
            <w:pPr>
              <w:rPr>
                <w:sz w:val="20"/>
                <w:szCs w:val="20"/>
              </w:rPr>
            </w:pPr>
            <w:r>
              <w:rPr>
                <w:sz w:val="20"/>
                <w:szCs w:val="20"/>
              </w:rPr>
              <w:t xml:space="preserve">- сверхнормативные утечки теплоносителя, м3/ч</w:t>
            </w:r>
            <w:r>
              <w:rPr>
                <w:sz w:val="20"/>
                <w:szCs w:val="20"/>
              </w:rPr>
            </w:r>
            <w:r>
              <w:rPr>
                <w:sz w:val="20"/>
                <w:szCs w:val="20"/>
              </w:rPr>
            </w:r>
          </w:p>
        </w:tc>
        <w:tc>
          <w:tcPr>
            <w:shd w:val="clear" w:color="auto" w:fill="auto"/>
            <w:tcW w:w="592" w:type="pct"/>
            <w:vAlign w:val="center"/>
            <w:textDirection w:val="lrTb"/>
            <w:noWrap w:val="false"/>
          </w:tcPr>
          <w:p>
            <w:pPr>
              <w:jc w:val="center"/>
              <w:rPr>
                <w:sz w:val="20"/>
                <w:szCs w:val="20"/>
              </w:rPr>
            </w:pPr>
            <w:r>
              <w:rPr>
                <w:sz w:val="20"/>
                <w:szCs w:val="20"/>
              </w:rPr>
              <w:t xml:space="preserve">0</w:t>
            </w:r>
            <w:r>
              <w:rPr>
                <w:sz w:val="20"/>
                <w:szCs w:val="20"/>
              </w:rPr>
            </w:r>
            <w:r>
              <w:rPr>
                <w:sz w:val="20"/>
                <w:szCs w:val="20"/>
              </w:rPr>
            </w:r>
          </w:p>
        </w:tc>
      </w:tr>
      <w:tr>
        <w:tblPrEx/>
        <w:trPr>
          <w:trHeight w:val="139"/>
        </w:trPr>
        <w:tc>
          <w:tcPr>
            <w:shd w:val="clear" w:color="auto" w:fill="auto"/>
            <w:tcW w:w="248" w:type="pct"/>
            <w:vAlign w:val="center"/>
            <w:textDirection w:val="lrTb"/>
            <w:noWrap w:val="false"/>
          </w:tcPr>
          <w:p>
            <w:pPr>
              <w:jc w:val="center"/>
              <w:rPr>
                <w:sz w:val="20"/>
                <w:szCs w:val="20"/>
              </w:rPr>
            </w:pPr>
            <w:r>
              <w:rPr>
                <w:sz w:val="20"/>
                <w:szCs w:val="20"/>
              </w:rPr>
              <w:t xml:space="preserve">9.3</w:t>
            </w:r>
            <w:r>
              <w:rPr>
                <w:sz w:val="20"/>
                <w:szCs w:val="20"/>
              </w:rPr>
            </w:r>
            <w:r>
              <w:rPr>
                <w:sz w:val="20"/>
                <w:szCs w:val="20"/>
              </w:rPr>
            </w:r>
          </w:p>
        </w:tc>
        <w:tc>
          <w:tcPr>
            <w:shd w:val="clear" w:color="auto" w:fill="auto"/>
            <w:tcW w:w="4160" w:type="pct"/>
            <w:vAlign w:val="center"/>
            <w:textDirection w:val="lrTb"/>
            <w:noWrap w:val="false"/>
          </w:tcPr>
          <w:p>
            <w:pPr>
              <w:rPr>
                <w:sz w:val="20"/>
                <w:szCs w:val="20"/>
              </w:rPr>
            </w:pPr>
            <w:r>
              <w:rPr>
                <w:sz w:val="20"/>
                <w:szCs w:val="20"/>
              </w:rPr>
              <w:t xml:space="preserve">- отпуск теплоносителя из тепловых сетей на цели горячего водоснабжения (для открытых систем теплоснабжения), т/ч</w:t>
            </w:r>
            <w:r>
              <w:rPr>
                <w:sz w:val="20"/>
                <w:szCs w:val="20"/>
              </w:rPr>
            </w:r>
            <w:r>
              <w:rPr>
                <w:sz w:val="20"/>
                <w:szCs w:val="20"/>
              </w:rPr>
            </w:r>
          </w:p>
        </w:tc>
        <w:tc>
          <w:tcPr>
            <w:shd w:val="clear" w:color="auto" w:fill="auto"/>
            <w:tcW w:w="592" w:type="pct"/>
            <w:vAlign w:val="center"/>
            <w:textDirection w:val="lrTb"/>
            <w:noWrap w:val="false"/>
          </w:tcPr>
          <w:p>
            <w:pPr>
              <w:jc w:val="center"/>
              <w:rPr>
                <w:sz w:val="20"/>
                <w:szCs w:val="20"/>
              </w:rPr>
            </w:pPr>
            <w:r>
              <w:rPr>
                <w:sz w:val="20"/>
                <w:szCs w:val="20"/>
              </w:rPr>
              <w:t xml:space="preserve">0</w:t>
            </w:r>
            <w:r>
              <w:rPr>
                <w:sz w:val="20"/>
                <w:szCs w:val="20"/>
              </w:rPr>
            </w:r>
            <w:r>
              <w:rPr>
                <w:sz w:val="20"/>
                <w:szCs w:val="20"/>
              </w:rPr>
            </w:r>
          </w:p>
        </w:tc>
      </w:tr>
      <w:tr>
        <w:tblPrEx/>
        <w:trPr>
          <w:trHeight w:val="70"/>
        </w:trPr>
        <w:tc>
          <w:tcPr>
            <w:shd w:val="clear" w:color="auto" w:fill="auto"/>
            <w:tcW w:w="248" w:type="pct"/>
            <w:vAlign w:val="center"/>
            <w:textDirection w:val="lrTb"/>
            <w:noWrap w:val="false"/>
          </w:tcPr>
          <w:p>
            <w:pPr>
              <w:jc w:val="center"/>
              <w:rPr>
                <w:sz w:val="20"/>
                <w:szCs w:val="20"/>
              </w:rPr>
            </w:pPr>
            <w:r>
              <w:rPr>
                <w:sz w:val="20"/>
                <w:szCs w:val="20"/>
              </w:rPr>
              <w:t xml:space="preserve">10</w:t>
            </w:r>
            <w:r>
              <w:rPr>
                <w:sz w:val="20"/>
                <w:szCs w:val="20"/>
              </w:rPr>
            </w:r>
            <w:r>
              <w:rPr>
                <w:sz w:val="20"/>
                <w:szCs w:val="20"/>
              </w:rPr>
            </w:r>
          </w:p>
        </w:tc>
        <w:tc>
          <w:tcPr>
            <w:shd w:val="clear" w:color="auto" w:fill="auto"/>
            <w:tcW w:w="4160" w:type="pct"/>
            <w:vAlign w:val="center"/>
            <w:textDirection w:val="lrTb"/>
            <w:noWrap w:val="false"/>
          </w:tcPr>
          <w:p>
            <w:pPr>
              <w:rPr>
                <w:sz w:val="20"/>
                <w:szCs w:val="20"/>
              </w:rPr>
            </w:pPr>
            <w:r>
              <w:rPr>
                <w:sz w:val="20"/>
                <w:szCs w:val="20"/>
              </w:rPr>
              <w:t xml:space="preserve">Максимальная подпитка тепловой сети в период повреждения участка (2% V), м3/ч</w:t>
            </w:r>
            <w:r>
              <w:rPr>
                <w:sz w:val="20"/>
                <w:szCs w:val="20"/>
              </w:rPr>
            </w:r>
            <w:r>
              <w:rPr>
                <w:sz w:val="20"/>
                <w:szCs w:val="20"/>
              </w:rPr>
            </w:r>
          </w:p>
        </w:tc>
        <w:tc>
          <w:tcPr>
            <w:shd w:val="clear" w:color="auto" w:fill="auto"/>
            <w:tcW w:w="592" w:type="pct"/>
            <w:vAlign w:val="center"/>
            <w:textDirection w:val="lrTb"/>
            <w:noWrap w:val="false"/>
          </w:tcPr>
          <w:p>
            <w:pPr>
              <w:jc w:val="center"/>
              <w:rPr>
                <w:sz w:val="20"/>
                <w:szCs w:val="20"/>
              </w:rPr>
            </w:pPr>
            <w:r>
              <w:rPr>
                <w:sz w:val="20"/>
                <w:szCs w:val="20"/>
              </w:rPr>
              <w:t xml:space="preserve">5,150</w:t>
            </w:r>
            <w:r>
              <w:rPr>
                <w:sz w:val="20"/>
                <w:szCs w:val="20"/>
              </w:rPr>
            </w:r>
            <w:r>
              <w:rPr>
                <w:sz w:val="20"/>
                <w:szCs w:val="20"/>
              </w:rPr>
            </w:r>
          </w:p>
        </w:tc>
      </w:tr>
      <w:tr>
        <w:tblPrEx/>
        <w:trPr>
          <w:trHeight w:val="85"/>
        </w:trPr>
        <w:tc>
          <w:tcPr>
            <w:shd w:val="clear" w:color="auto" w:fill="auto"/>
            <w:tcW w:w="248" w:type="pct"/>
            <w:vAlign w:val="center"/>
            <w:textDirection w:val="lrTb"/>
            <w:noWrap w:val="false"/>
          </w:tcPr>
          <w:p>
            <w:pPr>
              <w:jc w:val="center"/>
              <w:rPr>
                <w:sz w:val="20"/>
                <w:szCs w:val="20"/>
              </w:rPr>
            </w:pPr>
            <w:r>
              <w:rPr>
                <w:sz w:val="20"/>
                <w:szCs w:val="20"/>
              </w:rPr>
              <w:t xml:space="preserve">11</w:t>
            </w:r>
            <w:r>
              <w:rPr>
                <w:sz w:val="20"/>
                <w:szCs w:val="20"/>
              </w:rPr>
            </w:r>
            <w:r>
              <w:rPr>
                <w:sz w:val="20"/>
                <w:szCs w:val="20"/>
              </w:rPr>
            </w:r>
          </w:p>
        </w:tc>
        <w:tc>
          <w:tcPr>
            <w:shd w:val="clear" w:color="auto" w:fill="auto"/>
            <w:tcW w:w="4160" w:type="pct"/>
            <w:vAlign w:val="center"/>
            <w:textDirection w:val="lrTb"/>
            <w:noWrap w:val="false"/>
          </w:tcPr>
          <w:p>
            <w:pPr>
              <w:rPr>
                <w:sz w:val="20"/>
                <w:szCs w:val="20"/>
              </w:rPr>
            </w:pPr>
            <w:r>
              <w:rPr>
                <w:sz w:val="20"/>
                <w:szCs w:val="20"/>
              </w:rPr>
              <w:t xml:space="preserve">Резерв (+)/дефицит (-), ВПУ,м3/ч</w:t>
            </w:r>
            <w:r>
              <w:rPr>
                <w:sz w:val="20"/>
                <w:szCs w:val="20"/>
              </w:rPr>
            </w:r>
            <w:r>
              <w:rPr>
                <w:sz w:val="20"/>
                <w:szCs w:val="20"/>
              </w:rPr>
            </w:r>
          </w:p>
        </w:tc>
        <w:tc>
          <w:tcPr>
            <w:shd w:val="clear" w:color="auto" w:fill="auto"/>
            <w:tcW w:w="592" w:type="pct"/>
            <w:textDirection w:val="lrTb"/>
            <w:noWrap w:val="false"/>
          </w:tcPr>
          <w:p>
            <w:pPr>
              <w:jc w:val="center"/>
              <w:rPr>
                <w:sz w:val="20"/>
                <w:szCs w:val="20"/>
              </w:rPr>
            </w:pPr>
            <w:r>
              <w:rPr>
                <w:sz w:val="20"/>
                <w:szCs w:val="20"/>
              </w:rPr>
              <w:t xml:space="preserve">-</w:t>
            </w:r>
            <w:r>
              <w:rPr>
                <w:sz w:val="20"/>
                <w:szCs w:val="20"/>
              </w:rPr>
            </w:r>
            <w:r>
              <w:rPr>
                <w:sz w:val="20"/>
                <w:szCs w:val="20"/>
              </w:rPr>
            </w:r>
          </w:p>
        </w:tc>
      </w:tr>
    </w:tbl>
    <w:p>
      <w:pPr>
        <w:pStyle w:val="1247"/>
        <w:ind w:left="118" w:right="149" w:firstLine="707"/>
        <w:jc w:val="both"/>
        <w:spacing w:before="116"/>
      </w:pPr>
      <w:r/>
      <w:r/>
    </w:p>
    <w:p>
      <w:pPr>
        <w:pStyle w:val="1248"/>
        <w:ind w:right="144" w:firstLine="733"/>
        <w:spacing w:before="0"/>
      </w:pPr>
      <w:r/>
      <w:bookmarkStart w:id="213" w:name="_Toc130231931"/>
      <w:r/>
      <w:bookmarkStart w:id="214" w:name="_Toc165540714"/>
      <w:r>
        <w:rPr>
          <w:lang w:eastAsia="ru-RU"/>
        </w:rPr>
        <w:t xml:space="preserve">1.7.2 </w:t>
      </w:r>
      <w:r>
        <w:t xml:space="preserve">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213"/>
      <w:r/>
      <w:bookmarkEnd w:id="214"/>
      <w:r/>
      <w:r/>
    </w:p>
    <w:p>
      <w:pPr>
        <w:pStyle w:val="1247"/>
        <w:ind w:left="142" w:right="129" w:firstLine="567"/>
        <w:jc w:val="both"/>
        <w:spacing w:before="122"/>
      </w:pPr>
      <w:r/>
      <w:bookmarkStart w:id="215" w:name="_Toc130231932"/>
      <w:r>
        <w:t xml:space="preserve">Балансы прои</w:t>
      </w:r>
      <w:r>
        <w:t xml:space="preserve">зводительности водоподготовительных установок теплоносителя для тепловых сетей и максимальное потребление теплоносителя в аварийных режимах систем теплоснабжения для централизованных котельных Юргамышского муниципального округа приведены в таблице 1.7.1.1.</w:t>
      </w:r>
      <w:r/>
    </w:p>
    <w:p>
      <w:pPr>
        <w:pStyle w:val="1247"/>
        <w:ind w:left="119" w:right="147" w:firstLine="709"/>
        <w:jc w:val="both"/>
        <w:rPr>
          <w:b/>
          <w:lang w:eastAsia="ru-RU"/>
        </w:rPr>
      </w:pPr>
      <w:r>
        <w:rPr>
          <w:b/>
          <w:lang w:eastAsia="ru-RU"/>
        </w:rPr>
      </w:r>
      <w:r>
        <w:rPr>
          <w:b/>
          <w:lang w:eastAsia="ru-RU"/>
        </w:rPr>
      </w:r>
      <w:r>
        <w:rPr>
          <w:b/>
          <w:lang w:eastAsia="ru-RU"/>
        </w:rPr>
      </w:r>
    </w:p>
    <w:p>
      <w:pPr>
        <w:pStyle w:val="1247"/>
        <w:ind w:left="118" w:right="145" w:firstLine="707"/>
        <w:jc w:val="both"/>
        <w:spacing w:before="116"/>
        <w:rPr>
          <w:b/>
        </w:rPr>
      </w:pPr>
      <w:r>
        <w:rPr>
          <w:b/>
          <w:lang w:eastAsia="ru-RU"/>
        </w:rPr>
        <w:t xml:space="preserve">1.7.3 </w:t>
      </w:r>
      <w:r>
        <w:rPr>
          <w:b/>
        </w:rPr>
        <w:t xml:space="preserve">Описание изменений в балансах водоподготовительных устано</w:t>
      </w:r>
      <w:r>
        <w:rPr>
          <w:b/>
        </w:rPr>
        <w:t xml:space="preserve">вок для каждой системы теплоснабжения, в том числе с учётом реализации планов строительства, реконструкции, технического перевооружения и (или) модернизации этих установок, введённых в эксплуатацию в период, предшествующий актуализации схемы теплоснабжения</w:t>
      </w:r>
      <w:bookmarkEnd w:id="215"/>
      <w:r>
        <w:rPr>
          <w:b/>
        </w:rPr>
      </w:r>
      <w:r>
        <w:rPr>
          <w:b/>
        </w:rPr>
      </w:r>
    </w:p>
    <w:p>
      <w:pPr>
        <w:pStyle w:val="1247"/>
        <w:ind w:left="119" w:right="108" w:firstLine="709"/>
        <w:jc w:val="both"/>
        <w:spacing w:before="120"/>
      </w:pPr>
      <w:r>
        <w:t xml:space="preserve">Ранее схема теплоснабжения </w:t>
      </w:r>
      <w:r>
        <w:t xml:space="preserve">Юргамышского</w:t>
      </w:r>
      <w:r>
        <w:t xml:space="preserve"> муниципального округа не была разработана.</w:t>
      </w:r>
      <w:r/>
    </w:p>
    <w:p>
      <w:pPr>
        <w:ind w:left="142" w:right="150" w:firstLine="709"/>
        <w:jc w:val="both"/>
        <w:spacing w:before="90"/>
        <w:rPr>
          <w:b/>
          <w:sz w:val="24"/>
          <w:szCs w:val="24"/>
        </w:rPr>
      </w:pPr>
      <w:r>
        <w:rPr>
          <w:b/>
          <w:sz w:val="24"/>
          <w:szCs w:val="24"/>
        </w:rPr>
      </w:r>
      <w:r>
        <w:rPr>
          <w:b/>
          <w:sz w:val="24"/>
          <w:szCs w:val="24"/>
        </w:rPr>
      </w:r>
      <w:r>
        <w:rPr>
          <w:b/>
          <w:sz w:val="24"/>
          <w:szCs w:val="24"/>
        </w:rPr>
      </w:r>
    </w:p>
    <w:p>
      <w:pPr>
        <w:ind w:left="142" w:right="150" w:firstLine="709"/>
        <w:jc w:val="both"/>
        <w:spacing w:before="90"/>
        <w:rPr>
          <w:sz w:val="24"/>
        </w:rPr>
      </w:pPr>
      <w:r>
        <w:rPr>
          <w:b/>
          <w:sz w:val="24"/>
          <w:szCs w:val="24"/>
        </w:rPr>
        <w:t xml:space="preserve">1.8</w:t>
      </w:r>
      <w:r>
        <w:rPr>
          <w:b/>
        </w:rPr>
        <w:t xml:space="preserve"> </w:t>
      </w:r>
      <w:r>
        <w:rPr>
          <w:b/>
          <w:sz w:val="24"/>
        </w:rPr>
        <w:t xml:space="preserve">Топливные</w:t>
      </w:r>
      <w:r>
        <w:rPr>
          <w:b/>
          <w:spacing w:val="60"/>
          <w:sz w:val="24"/>
        </w:rPr>
        <w:t xml:space="preserve"> </w:t>
      </w:r>
      <w:r>
        <w:rPr>
          <w:b/>
          <w:sz w:val="24"/>
        </w:rPr>
        <w:t xml:space="preserve">балансы</w:t>
      </w:r>
      <w:r>
        <w:rPr>
          <w:b/>
          <w:spacing w:val="63"/>
          <w:sz w:val="24"/>
        </w:rPr>
        <w:t xml:space="preserve"> </w:t>
      </w:r>
      <w:r>
        <w:rPr>
          <w:b/>
          <w:sz w:val="24"/>
        </w:rPr>
        <w:t xml:space="preserve">источников</w:t>
      </w:r>
      <w:r>
        <w:rPr>
          <w:b/>
          <w:spacing w:val="61"/>
          <w:sz w:val="24"/>
        </w:rPr>
        <w:t xml:space="preserve"> </w:t>
      </w:r>
      <w:r>
        <w:rPr>
          <w:b/>
          <w:sz w:val="24"/>
        </w:rPr>
        <w:t xml:space="preserve">тепловой</w:t>
      </w:r>
      <w:r>
        <w:rPr>
          <w:b/>
          <w:spacing w:val="63"/>
          <w:sz w:val="24"/>
        </w:rPr>
        <w:t xml:space="preserve"> </w:t>
      </w:r>
      <w:r>
        <w:rPr>
          <w:b/>
          <w:sz w:val="24"/>
        </w:rPr>
        <w:t xml:space="preserve">энергии</w:t>
      </w:r>
      <w:r>
        <w:rPr>
          <w:b/>
          <w:spacing w:val="62"/>
          <w:sz w:val="24"/>
        </w:rPr>
        <w:t xml:space="preserve"> </w:t>
      </w:r>
      <w:r>
        <w:rPr>
          <w:b/>
          <w:sz w:val="24"/>
        </w:rPr>
        <w:t xml:space="preserve">и</w:t>
      </w:r>
      <w:r>
        <w:rPr>
          <w:b/>
          <w:spacing w:val="64"/>
          <w:sz w:val="24"/>
        </w:rPr>
        <w:t xml:space="preserve"> </w:t>
      </w:r>
      <w:r>
        <w:rPr>
          <w:b/>
          <w:sz w:val="24"/>
        </w:rPr>
        <w:t xml:space="preserve">система</w:t>
      </w:r>
      <w:r>
        <w:rPr>
          <w:b/>
          <w:spacing w:val="64"/>
          <w:sz w:val="24"/>
        </w:rPr>
        <w:t xml:space="preserve"> </w:t>
      </w:r>
      <w:r>
        <w:rPr>
          <w:b/>
          <w:spacing w:val="-2"/>
          <w:sz w:val="24"/>
        </w:rPr>
        <w:t xml:space="preserve">обеспечения</w:t>
      </w:r>
      <w:r>
        <w:rPr>
          <w:spacing w:val="-2"/>
          <w:sz w:val="24"/>
        </w:rPr>
        <w:t xml:space="preserve"> </w:t>
      </w:r>
      <w:r>
        <w:rPr>
          <w:b/>
          <w:spacing w:val="-2"/>
          <w:sz w:val="24"/>
        </w:rPr>
        <w:t xml:space="preserve">топливом</w:t>
      </w:r>
      <w:r>
        <w:rPr>
          <w:sz w:val="24"/>
        </w:rPr>
      </w:r>
      <w:r>
        <w:rPr>
          <w:sz w:val="24"/>
        </w:rPr>
      </w:r>
    </w:p>
    <w:p>
      <w:pPr>
        <w:pStyle w:val="1247"/>
        <w:ind w:left="118" w:right="141" w:firstLine="707"/>
        <w:jc w:val="both"/>
        <w:spacing w:before="116"/>
        <w:rPr>
          <w:b/>
        </w:rPr>
      </w:pPr>
      <w:r>
        <w:rPr>
          <w:b/>
        </w:rPr>
        <w:t xml:space="preserve">1.8.1 Описание видов и количества используемого основного топлива для каждого источника тепловой энергии</w:t>
      </w:r>
      <w:r>
        <w:rPr>
          <w:b/>
        </w:rPr>
      </w:r>
      <w:r>
        <w:rPr>
          <w:b/>
        </w:rPr>
      </w:r>
    </w:p>
    <w:p>
      <w:pPr>
        <w:pStyle w:val="1247"/>
        <w:ind w:left="119" w:right="147" w:firstLine="709"/>
        <w:jc w:val="both"/>
        <w:spacing w:before="120"/>
      </w:pPr>
      <w:r>
        <w:t xml:space="preserve">Котельные Юргамышского муниципального округа используют для выработки тепловой энергии природный газ, уголь, пеллеты. </w:t>
      </w:r>
      <w:r>
        <w:t xml:space="preserve">Подробное описание основного топлива для каждого источника тепловой энергии отражено в таблице 1.2.1.2.</w:t>
      </w:r>
      <w:r/>
    </w:p>
    <w:p>
      <w:pPr>
        <w:pStyle w:val="1247"/>
        <w:ind w:left="119" w:right="147" w:firstLine="709"/>
        <w:jc w:val="both"/>
      </w:pPr>
      <w:r>
        <w:t xml:space="preserve">Основным видом топлива железнодорожной котельной, котельной ФКУ </w:t>
      </w:r>
      <w:r>
        <w:t xml:space="preserve">ИК №7 УФСИН России по Курганской области в р.п. Юргамыш является каменный уголь. Марка  угля – ДР(6400), рядовой. Вид потребления – слоевое сжигания для коммунально-бытовых нужд. Предельные нормы по СТ ТОО 40013768-018-2009: зольность на сухую массу состав</w:t>
      </w:r>
      <w:r>
        <w:t xml:space="preserve">ляет 3-5%, влага общая – 11-14</w:t>
      </w:r>
      <w:r>
        <w:t xml:space="preserve">%, низшая теплота сгорания рабочего топлива – 4924 ккал/кг.</w:t>
      </w:r>
      <w:r/>
    </w:p>
    <w:p>
      <w:pPr>
        <w:pStyle w:val="1247"/>
        <w:ind w:left="119" w:right="147" w:firstLine="709"/>
        <w:jc w:val="both"/>
      </w:pPr>
      <w:r>
        <w:t xml:space="preserve">Для котельной р.п. Юргамыш, ул. Ленина, 47а используется природный газ – смесь газов, образовавшихся в недрах Земли при анаэробном разложении органически</w:t>
      </w:r>
      <w:r>
        <w:t xml:space="preserve">х веществ, газ относится к группе осадочных горных пород. Природный газ в пластовых условиях (условиях залегания в земных недрах) находится в газообразном состоянии – в виде отдельных скоплений (газовые залежи) или в виде газовой шапки нефтегазовых месторо</w:t>
      </w:r>
      <w:r>
        <w:t xml:space="preserve">ждений, либо в растворённом состоянии в нефти или воде. При нормальных условиях (101,325 кПа и 0 °C) природный газ находится только в газообразном состоянии. Также природный газ может находиться в кристаллическом состоянии в виде естественных газогидратов.</w:t>
      </w:r>
      <w:r/>
    </w:p>
    <w:p>
      <w:pPr>
        <w:pStyle w:val="1247"/>
        <w:ind w:left="119" w:right="147" w:firstLine="709"/>
        <w:jc w:val="both"/>
      </w:pPr>
      <w:r>
        <w:t xml:space="preserve">По данным ГП «Уралтрансгаз» природный газ имеет следующую характеристику: теплота сгорания – 7880 ккал/м</w:t>
      </w:r>
      <w:r>
        <w:rPr>
          <w:vertAlign w:val="superscript"/>
        </w:rPr>
        <w:t xml:space="preserve">3</w:t>
      </w:r>
      <w:r>
        <w:t xml:space="preserve">, плотность газа – 0,563 кг/м</w:t>
      </w:r>
      <w:r>
        <w:rPr>
          <w:vertAlign w:val="superscript"/>
        </w:rPr>
        <w:t xml:space="preserve">3</w:t>
      </w:r>
      <w:r>
        <w:t xml:space="preserve">.</w:t>
      </w:r>
      <w:r/>
    </w:p>
    <w:p>
      <w:pPr>
        <w:pStyle w:val="1247"/>
        <w:ind w:left="119" w:right="147" w:firstLine="709"/>
        <w:jc w:val="both"/>
      </w:pPr>
      <w:r>
        <w:t xml:space="preserve">В </w:t>
      </w:r>
      <w:r>
        <w:t xml:space="preserve">котельн</w:t>
      </w:r>
      <w:r>
        <w:t xml:space="preserve">ой</w:t>
      </w:r>
      <w:r>
        <w:t xml:space="preserve"> п. Новый Мир, ЛПДС «Юргамыш» </w:t>
      </w:r>
      <w:r>
        <w:t xml:space="preserve">до недавнего времени </w:t>
      </w:r>
      <w:r>
        <w:t xml:space="preserve">в качестве основного вида топлива использовала</w:t>
      </w:r>
      <w:r>
        <w:t xml:space="preserve">сь</w:t>
      </w:r>
      <w:r>
        <w:t xml:space="preserve"> нефть. В начале 2024 года АО «Транснефть — Урал» завершило реконструкцию котельной на линейной про</w:t>
      </w:r>
      <w:r>
        <w:t xml:space="preserve">изводственно-диспетчерской станции (ЛПДС) «Юргамыш» Курганского нефтепроводного управления (НУ). Переход на использование природного газа позволит снизить затраты на топливо, уменьшить объемы выбросов в атмосферу и оптимизировать производственные процессы.</w:t>
      </w:r>
      <w:r/>
    </w:p>
    <w:p>
      <w:pPr>
        <w:pStyle w:val="1247"/>
        <w:ind w:left="119" w:right="147" w:firstLine="709"/>
        <w:jc w:val="both"/>
      </w:pPr>
      <w:r>
        <w:t xml:space="preserve">Котельная ЛПДС «Юргамыш», введенная в эксплуатацию в 2006 г., является крупнейшим теплогенерирующим объектом в АО «Транснефть </w:t>
      </w:r>
      <w:r>
        <w:t xml:space="preserve">–</w:t>
      </w:r>
      <w:r>
        <w:t xml:space="preserve"> Урал». Она включает </w:t>
      </w:r>
      <w:r>
        <w:t xml:space="preserve">три водогрейных жаротрубных котла совокупной мощностью 24 МВт. Котельная обеспечивает теплом производственные помещения и административные здания ЛПДС «Юргамыш», а также осуществляет теплоснабжение поселка Новый мир в Юргамышском районе Курганской области.</w:t>
      </w:r>
      <w:r/>
    </w:p>
    <w:p>
      <w:pPr>
        <w:pStyle w:val="1247"/>
        <w:ind w:left="119" w:right="147" w:firstLine="709"/>
        <w:jc w:val="both"/>
      </w:pPr>
      <w:r>
        <w:t xml:space="preserve">В рамках реконструкции осуществлен перевод котельной на применение природного газа вместо нефти, обновле</w:t>
      </w:r>
      <w:r>
        <w:t xml:space="preserve">на изоляция тепловых сетей и атмосферного деаэратора (обеспечивает удаление из подпиточных вод паровых котлов и систем теплоснабжения веществ, способных вызвать коррозию). Проведена замена газогорелочных устройств, смонтирована система локальной автоматики</w:t>
      </w:r>
      <w:r>
        <w:t xml:space="preserve">.</w:t>
      </w:r>
      <w:r>
        <w:t xml:space="preserve"> Подачу газа обеспечивает наружный газопровод протяженностью 4,5 тыс. метров, соединяющий котельную ЛПДС «Юргамыш» с газопроводом, проходящим вблизи села Ильинка.</w:t>
      </w:r>
      <w:r/>
    </w:p>
    <w:p>
      <w:pPr>
        <w:pStyle w:val="1247"/>
        <w:ind w:left="119" w:right="147" w:firstLine="709"/>
        <w:jc w:val="both"/>
      </w:pPr>
      <w:r>
        <w:t xml:space="preserve">В котельной установлен газораспределительный пункт, который обеспечивает поддержание стабильного давления в системе подачи газа независимо от расхода топлива, оборудование для пункта также произведено отечественными предприятиями. Для обеспечения необход</w:t>
      </w:r>
      <w:r>
        <w:t xml:space="preserve">имого воздухообмена смонтирована приточно-вытяжная вентиляционная установка. Здание котельной реконструировано с использованием легкосбрасываемых конструкций — при необходимости они позволят минимизировать ущерб для персонала, оборудования и самого здания.</w:t>
      </w:r>
      <w:r/>
    </w:p>
    <w:p>
      <w:pPr>
        <w:pStyle w:val="1247"/>
        <w:ind w:left="119" w:right="147" w:firstLine="709"/>
        <w:jc w:val="both"/>
      </w:pPr>
      <w:r>
        <w:t xml:space="preserve">Реконструкция котельной ЛПДС «Юргамыш» и перевод ее на газовое топливо стали частью комплекса мер по повышению энергоэффективности и увеличению надежности теплоэнергетических объектов предприятия.</w:t>
      </w:r>
      <w:r>
        <w:t xml:space="preserve"> </w:t>
      </w:r>
      <w:r>
        <w:t xml:space="preserve">Работы проводились в рамках программы технического перевооружения и реконструкции АО «Транснефть —</w:t>
      </w:r>
      <w:r>
        <w:t xml:space="preserve"> Урал». </w:t>
      </w:r>
      <w:r>
        <w:t xml:space="preserve">Официальный запуск котельной на природном газе запланирован на декабр</w:t>
      </w:r>
      <w:r>
        <w:t xml:space="preserve">ь</w:t>
      </w:r>
      <w:r>
        <w:t xml:space="preserve"> 2024 г.</w:t>
      </w:r>
      <w:r/>
    </w:p>
    <w:p>
      <w:pPr>
        <w:pStyle w:val="1247"/>
        <w:ind w:left="119" w:right="147" w:firstLine="709"/>
        <w:jc w:val="both"/>
        <w:spacing w:before="120"/>
      </w:pPr>
      <w:r/>
      <w:r/>
    </w:p>
    <w:p>
      <w:pPr>
        <w:ind w:right="129"/>
        <w:jc w:val="right"/>
        <w:rPr>
          <w:sz w:val="24"/>
          <w:szCs w:val="24"/>
        </w:rPr>
      </w:pPr>
      <w:r>
        <w:rPr>
          <w:sz w:val="24"/>
          <w:szCs w:val="24"/>
        </w:rPr>
        <w:t xml:space="preserve">Таблица </w:t>
      </w:r>
      <w:r>
        <w:rPr>
          <w:sz w:val="24"/>
          <w:szCs w:val="24"/>
        </w:rPr>
        <w:t xml:space="preserve">1.8.1.1</w:t>
      </w:r>
      <w:r>
        <w:rPr>
          <w:sz w:val="24"/>
          <w:szCs w:val="24"/>
        </w:rPr>
      </w:r>
      <w:r>
        <w:rPr>
          <w:sz w:val="24"/>
          <w:szCs w:val="24"/>
        </w:rPr>
      </w:r>
    </w:p>
    <w:p>
      <w:pPr>
        <w:jc w:val="center"/>
        <w:rPr>
          <w:sz w:val="24"/>
          <w:szCs w:val="24"/>
        </w:rPr>
      </w:pPr>
      <w:r>
        <w:rPr>
          <w:sz w:val="24"/>
          <w:szCs w:val="24"/>
        </w:rPr>
        <w:t xml:space="preserve">Количество используемого основного топлива </w:t>
      </w:r>
      <w:r>
        <w:rPr>
          <w:sz w:val="24"/>
          <w:szCs w:val="24"/>
        </w:rPr>
        <w:t xml:space="preserve">централизованных </w:t>
      </w:r>
      <w:r>
        <w:rPr>
          <w:sz w:val="24"/>
          <w:szCs w:val="24"/>
        </w:rPr>
        <w:t xml:space="preserve">котельных </w:t>
      </w:r>
      <w:r>
        <w:rPr>
          <w:sz w:val="24"/>
          <w:szCs w:val="24"/>
        </w:rPr>
        <w:t xml:space="preserve">за 2023 год</w:t>
      </w:r>
      <w:r>
        <w:rPr>
          <w:sz w:val="24"/>
          <w:szCs w:val="24"/>
        </w:rPr>
      </w:r>
      <w:r>
        <w:rPr>
          <w:sz w:val="24"/>
          <w:szCs w:val="24"/>
        </w:rPr>
      </w:r>
    </w:p>
    <w:tbl>
      <w:tblPr>
        <w:tblW w:w="4898" w:type="pct"/>
        <w:tblInd w:w="137"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5378"/>
        <w:gridCol w:w="1106"/>
        <w:gridCol w:w="1028"/>
        <w:gridCol w:w="2186"/>
      </w:tblGrid>
      <w:tr>
        <w:tblPrEx/>
        <w:trPr>
          <w:trHeight w:val="20"/>
        </w:trPr>
        <w:tc>
          <w:tcPr>
            <w:tcBorders>
              <w:right w:val="single" w:color="auto" w:sz="2" w:space="0"/>
            </w:tcBorders>
            <w:tcW w:w="2773" w:type="pct"/>
            <w:vAlign w:val="center"/>
            <w:textDirection w:val="lrTb"/>
            <w:noWrap w:val="false"/>
          </w:tcPr>
          <w:p>
            <w:pPr>
              <w:ind w:left="-84" w:right="-96" w:hanging="14"/>
              <w:jc w:val="center"/>
              <w:rPr>
                <w:sz w:val="20"/>
                <w:szCs w:val="20"/>
              </w:rPr>
            </w:pPr>
            <w:r>
              <w:rPr>
                <w:sz w:val="20"/>
                <w:szCs w:val="20"/>
              </w:rPr>
              <w:t xml:space="preserve">Наименование теплоисточника</w:t>
            </w:r>
            <w:r>
              <w:rPr>
                <w:sz w:val="20"/>
                <w:szCs w:val="20"/>
              </w:rPr>
            </w:r>
            <w:r>
              <w:rPr>
                <w:sz w:val="20"/>
                <w:szCs w:val="20"/>
              </w:rPr>
            </w:r>
          </w:p>
        </w:tc>
        <w:tc>
          <w:tcPr>
            <w:tcBorders>
              <w:left w:val="single" w:color="auto" w:sz="2" w:space="0"/>
            </w:tcBorders>
            <w:tcW w:w="570" w:type="pct"/>
            <w:vAlign w:val="center"/>
            <w:textDirection w:val="lrTb"/>
            <w:noWrap w:val="false"/>
          </w:tcPr>
          <w:p>
            <w:pPr>
              <w:ind w:right="-96"/>
              <w:jc w:val="center"/>
              <w:rPr>
                <w:sz w:val="20"/>
                <w:szCs w:val="20"/>
              </w:rPr>
            </w:pPr>
            <w:r>
              <w:rPr>
                <w:sz w:val="20"/>
                <w:szCs w:val="20"/>
              </w:rPr>
              <w:t xml:space="preserve">Топливо</w:t>
            </w:r>
            <w:r>
              <w:rPr>
                <w:sz w:val="20"/>
                <w:szCs w:val="20"/>
              </w:rPr>
            </w:r>
            <w:r>
              <w:rPr>
                <w:sz w:val="20"/>
                <w:szCs w:val="20"/>
              </w:rPr>
            </w:r>
          </w:p>
        </w:tc>
        <w:tc>
          <w:tcPr>
            <w:tcW w:w="530" w:type="pct"/>
            <w:vAlign w:val="center"/>
            <w:textDirection w:val="lrTb"/>
            <w:noWrap w:val="false"/>
          </w:tcPr>
          <w:p>
            <w:pPr>
              <w:ind w:left="-115" w:right="-93"/>
              <w:jc w:val="center"/>
              <w:rPr>
                <w:sz w:val="20"/>
                <w:szCs w:val="20"/>
              </w:rPr>
            </w:pPr>
            <w:r>
              <w:rPr>
                <w:sz w:val="20"/>
                <w:szCs w:val="20"/>
              </w:rPr>
              <w:t xml:space="preserve">Ед. изм.</w:t>
            </w:r>
            <w:r>
              <w:rPr>
                <w:sz w:val="20"/>
                <w:szCs w:val="20"/>
              </w:rPr>
            </w:r>
            <w:r>
              <w:rPr>
                <w:sz w:val="20"/>
                <w:szCs w:val="20"/>
              </w:rPr>
            </w:r>
          </w:p>
        </w:tc>
        <w:tc>
          <w:tcPr>
            <w:tcW w:w="1127" w:type="pct"/>
            <w:vAlign w:val="center"/>
            <w:textDirection w:val="lrTb"/>
            <w:noWrap w:val="false"/>
          </w:tcPr>
          <w:p>
            <w:pPr>
              <w:ind w:left="-115" w:right="-93"/>
              <w:jc w:val="center"/>
              <w:rPr>
                <w:sz w:val="20"/>
                <w:szCs w:val="20"/>
              </w:rPr>
            </w:pPr>
            <w:r>
              <w:rPr>
                <w:sz w:val="20"/>
                <w:szCs w:val="20"/>
              </w:rPr>
              <w:t xml:space="preserve">Количество используемого топлива</w:t>
            </w:r>
            <w:r>
              <w:rPr>
                <w:sz w:val="20"/>
                <w:szCs w:val="20"/>
              </w:rPr>
            </w:r>
            <w:r>
              <w:rPr>
                <w:sz w:val="20"/>
                <w:szCs w:val="20"/>
              </w:rPr>
            </w:r>
          </w:p>
        </w:tc>
      </w:tr>
      <w:tr>
        <w:tblPrEx/>
        <w:trPr>
          <w:trHeight w:val="20"/>
        </w:trPr>
        <w:tc>
          <w:tcPr>
            <w:tcBorders>
              <w:right w:val="single" w:color="auto" w:sz="2" w:space="0"/>
            </w:tcBorders>
            <w:tcW w:w="2773" w:type="pct"/>
            <w:vAlign w:val="center"/>
            <w:textDirection w:val="lrTb"/>
            <w:noWrap w:val="false"/>
          </w:tcPr>
          <w:p>
            <w:pPr>
              <w:jc w:val="center"/>
              <w:rPr>
                <w:sz w:val="20"/>
                <w:szCs w:val="20"/>
              </w:rPr>
            </w:pPr>
            <w:r>
              <w:rPr>
                <w:color w:val="000000"/>
                <w:sz w:val="20"/>
                <w:szCs w:val="20"/>
              </w:rPr>
              <w:t xml:space="preserve">Котельная </w:t>
            </w:r>
            <w:r>
              <w:rPr>
                <w:rFonts w:ascii="Liberation Serif" w:hAnsi="Liberation Serif" w:cs="Calibri"/>
                <w:color w:val="000000"/>
                <w:sz w:val="20"/>
                <w:szCs w:val="20"/>
              </w:rPr>
              <w:t xml:space="preserve">п. Новый Мир, ЛПДС «Юргамыш»</w:t>
            </w:r>
            <w:r>
              <w:rPr>
                <w:sz w:val="20"/>
                <w:szCs w:val="20"/>
              </w:rPr>
            </w:r>
            <w:r>
              <w:rPr>
                <w:sz w:val="20"/>
                <w:szCs w:val="20"/>
              </w:rPr>
            </w:r>
          </w:p>
        </w:tc>
        <w:tc>
          <w:tcPr>
            <w:tcBorders>
              <w:left w:val="single" w:color="auto" w:sz="2" w:space="0"/>
            </w:tcBorders>
            <w:tcW w:w="570" w:type="pct"/>
            <w:vAlign w:val="center"/>
            <w:textDirection w:val="lrTb"/>
            <w:noWrap w:val="false"/>
          </w:tcPr>
          <w:p>
            <w:pPr>
              <w:jc w:val="center"/>
              <w:rPr>
                <w:sz w:val="20"/>
                <w:szCs w:val="20"/>
              </w:rPr>
            </w:pPr>
            <w:r>
              <w:rPr>
                <w:sz w:val="20"/>
                <w:szCs w:val="20"/>
              </w:rPr>
              <w:t xml:space="preserve">нефть</w:t>
            </w:r>
            <w:r>
              <w:rPr>
                <w:sz w:val="20"/>
                <w:szCs w:val="20"/>
              </w:rPr>
            </w:r>
            <w:r>
              <w:rPr>
                <w:sz w:val="20"/>
                <w:szCs w:val="20"/>
              </w:rPr>
            </w:r>
          </w:p>
        </w:tc>
        <w:tc>
          <w:tcPr>
            <w:tcW w:w="530" w:type="pct"/>
            <w:textDirection w:val="lrTb"/>
            <w:noWrap w:val="false"/>
          </w:tcPr>
          <w:p>
            <w:pPr>
              <w:jc w:val="center"/>
              <w:rPr>
                <w:sz w:val="20"/>
                <w:szCs w:val="20"/>
              </w:rPr>
            </w:pPr>
            <w:r>
              <w:rPr>
                <w:sz w:val="20"/>
                <w:szCs w:val="20"/>
              </w:rPr>
              <w:t xml:space="preserve">тонн</w:t>
            </w:r>
            <w:r>
              <w:rPr>
                <w:sz w:val="20"/>
                <w:szCs w:val="20"/>
              </w:rPr>
            </w:r>
            <w:r>
              <w:rPr>
                <w:sz w:val="20"/>
                <w:szCs w:val="20"/>
              </w:rPr>
            </w:r>
          </w:p>
        </w:tc>
        <w:tc>
          <w:tcPr>
            <w:tcW w:w="1127" w:type="pct"/>
            <w:vAlign w:val="center"/>
            <w:textDirection w:val="lrTb"/>
            <w:noWrap w:val="false"/>
          </w:tcPr>
          <w:p>
            <w:pPr>
              <w:jc w:val="center"/>
              <w:rPr>
                <w:sz w:val="20"/>
                <w:szCs w:val="20"/>
              </w:rPr>
            </w:pPr>
            <w:r>
              <w:rPr>
                <w:sz w:val="20"/>
                <w:szCs w:val="20"/>
              </w:rPr>
              <w:t xml:space="preserve">1246</w:t>
            </w:r>
            <w:r>
              <w:rPr>
                <w:sz w:val="20"/>
                <w:szCs w:val="20"/>
              </w:rPr>
            </w:r>
            <w:r>
              <w:rPr>
                <w:sz w:val="20"/>
                <w:szCs w:val="20"/>
              </w:rPr>
            </w:r>
          </w:p>
        </w:tc>
      </w:tr>
      <w:tr>
        <w:tblPrEx/>
        <w:trPr>
          <w:trHeight w:val="20"/>
        </w:trPr>
        <w:tc>
          <w:tcPr>
            <w:tcBorders>
              <w:right w:val="single" w:color="auto" w:sz="2" w:space="0"/>
            </w:tcBorders>
            <w:tcW w:w="2773" w:type="pct"/>
            <w:vAlign w:val="center"/>
            <w:textDirection w:val="lrTb"/>
            <w:noWrap w:val="false"/>
          </w:tcPr>
          <w:p>
            <w:pPr>
              <w:jc w:val="center"/>
              <w:rPr>
                <w:sz w:val="20"/>
                <w:szCs w:val="20"/>
              </w:rPr>
            </w:pPr>
            <w:r>
              <w:rPr>
                <w:color w:val="000000"/>
                <w:sz w:val="20"/>
                <w:szCs w:val="20"/>
              </w:rPr>
              <w:t xml:space="preserve">Котельная </w:t>
            </w:r>
            <w:r>
              <w:rPr>
                <w:rFonts w:ascii="Liberation Serif" w:hAnsi="Liberation Serif" w:cs="Calibri"/>
                <w:color w:val="000000"/>
                <w:sz w:val="20"/>
                <w:szCs w:val="20"/>
              </w:rPr>
              <w:t xml:space="preserve">р.п.  Юргамыш, ул. Железнодорожная, территория тягловой подстанции ОАО «РЖД»</w:t>
            </w:r>
            <w:r>
              <w:rPr>
                <w:sz w:val="20"/>
                <w:szCs w:val="20"/>
              </w:rPr>
            </w:r>
            <w:r>
              <w:rPr>
                <w:sz w:val="20"/>
                <w:szCs w:val="20"/>
              </w:rPr>
            </w:r>
          </w:p>
        </w:tc>
        <w:tc>
          <w:tcPr>
            <w:tcBorders>
              <w:left w:val="single" w:color="auto" w:sz="2" w:space="0"/>
            </w:tcBorders>
            <w:tcW w:w="570" w:type="pct"/>
            <w:vAlign w:val="center"/>
            <w:textDirection w:val="lrTb"/>
            <w:noWrap w:val="false"/>
          </w:tcPr>
          <w:p>
            <w:pPr>
              <w:jc w:val="center"/>
              <w:rPr>
                <w:sz w:val="20"/>
                <w:szCs w:val="20"/>
              </w:rPr>
            </w:pPr>
            <w:r>
              <w:rPr>
                <w:color w:val="000000"/>
                <w:sz w:val="20"/>
                <w:szCs w:val="20"/>
                <w:lang w:eastAsia="ru-RU"/>
              </w:rPr>
              <w:t xml:space="preserve">уголь</w:t>
            </w:r>
            <w:r>
              <w:rPr>
                <w:sz w:val="20"/>
                <w:szCs w:val="20"/>
              </w:rPr>
            </w:r>
            <w:r>
              <w:rPr>
                <w:sz w:val="20"/>
                <w:szCs w:val="20"/>
              </w:rPr>
            </w:r>
          </w:p>
        </w:tc>
        <w:tc>
          <w:tcPr>
            <w:tcW w:w="530" w:type="pct"/>
            <w:vAlign w:val="center"/>
            <w:textDirection w:val="lrTb"/>
            <w:noWrap w:val="false"/>
          </w:tcPr>
          <w:p>
            <w:pPr>
              <w:jc w:val="center"/>
              <w:rPr>
                <w:sz w:val="20"/>
                <w:szCs w:val="20"/>
              </w:rPr>
            </w:pPr>
            <w:r>
              <w:rPr>
                <w:sz w:val="20"/>
                <w:szCs w:val="20"/>
              </w:rPr>
              <w:t xml:space="preserve">тонн</w:t>
            </w:r>
            <w:r>
              <w:rPr>
                <w:sz w:val="20"/>
                <w:szCs w:val="20"/>
              </w:rPr>
            </w:r>
            <w:r>
              <w:rPr>
                <w:sz w:val="20"/>
                <w:szCs w:val="20"/>
              </w:rPr>
            </w:r>
          </w:p>
        </w:tc>
        <w:tc>
          <w:tcPr>
            <w:tcW w:w="1127" w:type="pct"/>
            <w:vAlign w:val="center"/>
            <w:textDirection w:val="lrTb"/>
            <w:noWrap w:val="false"/>
          </w:tcPr>
          <w:p>
            <w:pPr>
              <w:jc w:val="center"/>
              <w:rPr>
                <w:sz w:val="20"/>
                <w:szCs w:val="20"/>
              </w:rPr>
            </w:pPr>
            <w:r>
              <w:rPr>
                <w:sz w:val="20"/>
                <w:szCs w:val="20"/>
              </w:rPr>
              <w:t xml:space="preserve">309,6</w:t>
            </w:r>
            <w:r>
              <w:rPr>
                <w:sz w:val="20"/>
                <w:szCs w:val="20"/>
              </w:rPr>
            </w:r>
            <w:r>
              <w:rPr>
                <w:sz w:val="20"/>
                <w:szCs w:val="20"/>
              </w:rPr>
            </w:r>
          </w:p>
        </w:tc>
      </w:tr>
      <w:tr>
        <w:tblPrEx/>
        <w:trPr>
          <w:trHeight w:val="20"/>
        </w:trPr>
        <w:tc>
          <w:tcPr>
            <w:tcBorders>
              <w:right w:val="single" w:color="auto" w:sz="2" w:space="0"/>
            </w:tcBorders>
            <w:tcW w:w="2773" w:type="pct"/>
            <w:vAlign w:val="center"/>
            <w:textDirection w:val="lrTb"/>
            <w:noWrap w:val="false"/>
          </w:tcPr>
          <w:p>
            <w:pPr>
              <w:jc w:val="center"/>
              <w:rPr>
                <w:sz w:val="20"/>
                <w:szCs w:val="20"/>
              </w:rPr>
            </w:pPr>
            <w:r>
              <w:rPr>
                <w:sz w:val="20"/>
                <w:szCs w:val="20"/>
              </w:rPr>
              <w:t xml:space="preserve">Котельная ФКУ ИК №7 УФСИН России по Курганской области,</w:t>
            </w:r>
            <w:r>
              <w:rPr>
                <w:rFonts w:ascii="Liberation Serif" w:hAnsi="Liberation Serif" w:cs="Calibri"/>
                <w:color w:val="000000"/>
                <w:sz w:val="20"/>
                <w:szCs w:val="20"/>
              </w:rPr>
              <w:t xml:space="preserve"> Курганская область, р.п. Юргамыш, ул. Труда, 147</w:t>
            </w:r>
            <w:r>
              <w:rPr>
                <w:sz w:val="20"/>
                <w:szCs w:val="20"/>
              </w:rPr>
            </w:r>
            <w:r>
              <w:rPr>
                <w:sz w:val="20"/>
                <w:szCs w:val="20"/>
              </w:rPr>
            </w:r>
          </w:p>
        </w:tc>
        <w:tc>
          <w:tcPr>
            <w:tcBorders>
              <w:left w:val="single" w:color="auto" w:sz="2" w:space="0"/>
            </w:tcBorders>
            <w:tcW w:w="570" w:type="pct"/>
            <w:vAlign w:val="center"/>
            <w:textDirection w:val="lrTb"/>
            <w:noWrap w:val="false"/>
          </w:tcPr>
          <w:p>
            <w:pPr>
              <w:jc w:val="center"/>
              <w:rPr>
                <w:sz w:val="20"/>
                <w:szCs w:val="20"/>
              </w:rPr>
            </w:pPr>
            <w:r>
              <w:rPr>
                <w:color w:val="000000"/>
                <w:sz w:val="20"/>
                <w:szCs w:val="20"/>
                <w:lang w:eastAsia="ru-RU"/>
              </w:rPr>
              <w:t xml:space="preserve">уголь</w:t>
            </w:r>
            <w:r>
              <w:rPr>
                <w:sz w:val="20"/>
                <w:szCs w:val="20"/>
              </w:rPr>
            </w:r>
            <w:r>
              <w:rPr>
                <w:sz w:val="20"/>
                <w:szCs w:val="20"/>
              </w:rPr>
            </w:r>
          </w:p>
        </w:tc>
        <w:tc>
          <w:tcPr>
            <w:tcW w:w="530" w:type="pct"/>
            <w:vAlign w:val="center"/>
            <w:textDirection w:val="lrTb"/>
            <w:noWrap w:val="false"/>
          </w:tcPr>
          <w:p>
            <w:pPr>
              <w:jc w:val="center"/>
              <w:rPr>
                <w:sz w:val="20"/>
                <w:szCs w:val="20"/>
              </w:rPr>
            </w:pPr>
            <w:r>
              <w:rPr>
                <w:sz w:val="20"/>
                <w:szCs w:val="20"/>
              </w:rPr>
              <w:t xml:space="preserve">тонн</w:t>
            </w:r>
            <w:r>
              <w:rPr>
                <w:sz w:val="20"/>
                <w:szCs w:val="20"/>
              </w:rPr>
            </w:r>
            <w:r>
              <w:rPr>
                <w:sz w:val="20"/>
                <w:szCs w:val="20"/>
              </w:rPr>
            </w:r>
          </w:p>
        </w:tc>
        <w:tc>
          <w:tcPr>
            <w:tcW w:w="1127" w:type="pct"/>
            <w:vAlign w:val="center"/>
            <w:textDirection w:val="lrTb"/>
            <w:noWrap w:val="false"/>
          </w:tcPr>
          <w:p>
            <w:pPr>
              <w:jc w:val="center"/>
              <w:rPr>
                <w:sz w:val="20"/>
                <w:szCs w:val="20"/>
              </w:rPr>
            </w:pPr>
            <w:r>
              <w:rPr>
                <w:sz w:val="20"/>
                <w:szCs w:val="20"/>
              </w:rPr>
              <w:t xml:space="preserve">н/д</w:t>
            </w:r>
            <w:r>
              <w:rPr>
                <w:sz w:val="20"/>
                <w:szCs w:val="20"/>
              </w:rPr>
            </w:r>
            <w:r>
              <w:rPr>
                <w:sz w:val="20"/>
                <w:szCs w:val="20"/>
              </w:rPr>
            </w:r>
          </w:p>
        </w:tc>
      </w:tr>
      <w:tr>
        <w:tblPrEx/>
        <w:trPr>
          <w:trHeight w:val="20"/>
        </w:trPr>
        <w:tc>
          <w:tcPr>
            <w:tcBorders>
              <w:right w:val="single" w:color="auto" w:sz="2" w:space="0"/>
            </w:tcBorders>
            <w:tcW w:w="2773" w:type="pct"/>
            <w:vAlign w:val="center"/>
            <w:textDirection w:val="lrTb"/>
            <w:noWrap w:val="false"/>
          </w:tcPr>
          <w:p>
            <w:pPr>
              <w:jc w:val="center"/>
              <w:rPr>
                <w:sz w:val="20"/>
                <w:szCs w:val="20"/>
              </w:rPr>
            </w:pPr>
            <w:r>
              <w:rPr>
                <w:sz w:val="20"/>
                <w:szCs w:val="20"/>
              </w:rPr>
              <w:t xml:space="preserve">Котельная </w:t>
            </w:r>
            <w:r>
              <w:rPr>
                <w:rFonts w:ascii="Liberation Serif" w:hAnsi="Liberation Serif" w:cs="Calibri"/>
                <w:color w:val="000000"/>
                <w:sz w:val="20"/>
                <w:szCs w:val="20"/>
              </w:rPr>
              <w:t xml:space="preserve">р.п. Юргамыш, ул. Ленина, 47а</w:t>
            </w:r>
            <w:r>
              <w:rPr>
                <w:sz w:val="20"/>
                <w:szCs w:val="20"/>
              </w:rPr>
            </w:r>
            <w:r>
              <w:rPr>
                <w:sz w:val="20"/>
                <w:szCs w:val="20"/>
              </w:rPr>
            </w:r>
          </w:p>
        </w:tc>
        <w:tc>
          <w:tcPr>
            <w:tcBorders>
              <w:left w:val="single" w:color="auto" w:sz="2" w:space="0"/>
            </w:tcBorders>
            <w:tcW w:w="570" w:type="pct"/>
            <w:vAlign w:val="center"/>
            <w:textDirection w:val="lrTb"/>
            <w:noWrap w:val="false"/>
          </w:tcPr>
          <w:p>
            <w:pPr>
              <w:jc w:val="center"/>
              <w:rPr>
                <w:bCs/>
                <w:iCs/>
                <w:sz w:val="20"/>
                <w:szCs w:val="20"/>
              </w:rPr>
            </w:pPr>
            <w:r>
              <w:rPr>
                <w:color w:val="000000"/>
                <w:sz w:val="20"/>
                <w:szCs w:val="20"/>
                <w:lang w:eastAsia="ru-RU"/>
              </w:rPr>
              <w:t xml:space="preserve">газ</w:t>
            </w:r>
            <w:r>
              <w:rPr>
                <w:bCs/>
                <w:iCs/>
                <w:sz w:val="20"/>
                <w:szCs w:val="20"/>
              </w:rPr>
            </w:r>
            <w:r>
              <w:rPr>
                <w:bCs/>
                <w:iCs/>
                <w:sz w:val="20"/>
                <w:szCs w:val="20"/>
              </w:rPr>
            </w:r>
          </w:p>
        </w:tc>
        <w:tc>
          <w:tcPr>
            <w:tcW w:w="530" w:type="pct"/>
            <w:vAlign w:val="center"/>
            <w:textDirection w:val="lrTb"/>
            <w:noWrap w:val="false"/>
          </w:tcPr>
          <w:p>
            <w:pPr>
              <w:jc w:val="center"/>
              <w:rPr>
                <w:sz w:val="20"/>
                <w:szCs w:val="20"/>
                <w:vertAlign w:val="superscript"/>
              </w:rPr>
            </w:pPr>
            <w:r>
              <w:rPr>
                <w:sz w:val="20"/>
                <w:szCs w:val="20"/>
              </w:rPr>
              <w:t xml:space="preserve">м</w:t>
            </w:r>
            <w:r>
              <w:rPr>
                <w:sz w:val="20"/>
                <w:szCs w:val="20"/>
                <w:vertAlign w:val="superscript"/>
              </w:rPr>
              <w:t xml:space="preserve">3</w:t>
            </w:r>
            <w:r>
              <w:rPr>
                <w:sz w:val="20"/>
                <w:szCs w:val="20"/>
                <w:vertAlign w:val="superscript"/>
              </w:rPr>
            </w:r>
            <w:r>
              <w:rPr>
                <w:sz w:val="20"/>
                <w:szCs w:val="20"/>
                <w:vertAlign w:val="superscript"/>
              </w:rPr>
            </w:r>
          </w:p>
        </w:tc>
        <w:tc>
          <w:tcPr>
            <w:tcW w:w="1127" w:type="pct"/>
            <w:vAlign w:val="center"/>
            <w:textDirection w:val="lrTb"/>
            <w:noWrap w:val="false"/>
          </w:tcPr>
          <w:p>
            <w:pPr>
              <w:jc w:val="center"/>
              <w:rPr>
                <w:sz w:val="20"/>
                <w:szCs w:val="20"/>
              </w:rPr>
            </w:pPr>
            <w:r>
              <w:rPr>
                <w:sz w:val="20"/>
                <w:szCs w:val="20"/>
              </w:rPr>
              <w:t xml:space="preserve">429,4</w:t>
            </w:r>
            <w:r>
              <w:rPr>
                <w:sz w:val="20"/>
                <w:szCs w:val="20"/>
              </w:rPr>
            </w:r>
            <w:r>
              <w:rPr>
                <w:sz w:val="20"/>
                <w:szCs w:val="20"/>
              </w:rPr>
            </w:r>
          </w:p>
        </w:tc>
      </w:tr>
    </w:tbl>
    <w:p>
      <w:pPr>
        <w:pStyle w:val="1247"/>
        <w:ind w:left="118" w:right="141" w:firstLine="707"/>
        <w:jc w:val="both"/>
        <w:spacing w:before="116"/>
      </w:pPr>
      <w:r/>
      <w:r/>
    </w:p>
    <w:p>
      <w:pPr>
        <w:pStyle w:val="1247"/>
        <w:ind w:left="118" w:right="148" w:firstLine="707"/>
        <w:jc w:val="both"/>
        <w:spacing w:before="1"/>
        <w:rPr>
          <w:b/>
        </w:rPr>
      </w:pPr>
      <w:r/>
      <w:bookmarkStart w:id="216" w:name="_bookmark137"/>
      <w:r/>
      <w:bookmarkStart w:id="217" w:name="_Toc130231933"/>
      <w:r/>
      <w:bookmarkEnd w:id="216"/>
      <w:r>
        <w:rPr>
          <w:b/>
          <w:lang w:eastAsia="ru-RU"/>
        </w:rPr>
        <w:t xml:space="preserve">1.8.2 </w:t>
      </w:r>
      <w:r>
        <w:rPr>
          <w:b/>
        </w:rPr>
        <w:t xml:space="preserve">Описание видов резервного и аварийного топлива и возможности их обеспечения в соответствии с нормативными требованиями</w:t>
      </w:r>
      <w:bookmarkEnd w:id="217"/>
      <w:r>
        <w:rPr>
          <w:b/>
        </w:rPr>
      </w:r>
      <w:r>
        <w:rPr>
          <w:b/>
        </w:rPr>
      </w:r>
    </w:p>
    <w:p>
      <w:pPr>
        <w:ind w:right="129" w:firstLine="851"/>
        <w:jc w:val="both"/>
        <w:spacing w:before="120"/>
        <w:rPr>
          <w:sz w:val="24"/>
          <w:szCs w:val="24"/>
        </w:rPr>
      </w:pPr>
      <w:r>
        <w:rPr>
          <w:sz w:val="24"/>
          <w:szCs w:val="24"/>
        </w:rPr>
        <w:t xml:space="preserve">На котельной р.п.  Юргамыш, ул. Железнодорожная, территория тягловой подстанции ОАО «РЖД» в качестве резервного вида топлива используется древесина. Аварийное топливо отсутствует. Древесина - твёрдое то</w:t>
      </w:r>
      <w:r>
        <w:rPr>
          <w:sz w:val="24"/>
          <w:szCs w:val="24"/>
        </w:rPr>
        <w:t xml:space="preserve">пливо растительного происхождения, содержит 50-60 % углерода, имеет светло-коричневый цвет в срезе. Используется как местное топливо, а также как химическое сырье. Содержат много воды (43%), и поэтому имеют низкую теплоту сгорания. Кроме того, содержат бол</w:t>
      </w:r>
      <w:r>
        <w:rPr>
          <w:sz w:val="24"/>
          <w:szCs w:val="24"/>
        </w:rPr>
        <w:t xml:space="preserve">ьшое кол-во летучих веществ (до 50%). Древесина состоит в основном из целлюлозы и лигнина. Это сложные молекулы, которые в основном включают в себя углерод в длинных цепочках с кислородом и водородом. Во время горения эти цепочки поэтапно распадаются и обр</w:t>
      </w:r>
      <w:r>
        <w:rPr>
          <w:sz w:val="24"/>
          <w:szCs w:val="24"/>
        </w:rPr>
        <w:t xml:space="preserve">азуют прочие временные химические соединения: С, О2, СО, СО2, Н2. Большое количество химических соединений образуется в течение процесса образования газов и горения, так как топливо горит мало, или даже можно сказать, что оно никогда не сгорает до конца.  </w:t>
      </w:r>
      <w:r>
        <w:rPr>
          <w:sz w:val="24"/>
          <w:szCs w:val="24"/>
        </w:rPr>
      </w:r>
      <w:r>
        <w:rPr>
          <w:sz w:val="24"/>
          <w:szCs w:val="24"/>
        </w:rPr>
      </w:r>
    </w:p>
    <w:p>
      <w:pPr>
        <w:ind w:right="130" w:firstLine="851"/>
        <w:jc w:val="both"/>
        <w:rPr>
          <w:sz w:val="24"/>
          <w:szCs w:val="24"/>
        </w:rPr>
      </w:pPr>
      <w:r>
        <w:rPr>
          <w:sz w:val="24"/>
          <w:szCs w:val="24"/>
        </w:rPr>
        <w:t xml:space="preserve">На остальных централизованных котельных Юргамышского муниципального округа резервное и аварийное топливо не предусмотрено</w:t>
      </w:r>
      <w:r>
        <w:rPr>
          <w:sz w:val="24"/>
          <w:szCs w:val="24"/>
        </w:rPr>
        <w:t xml:space="preserve">.</w:t>
      </w:r>
      <w:r>
        <w:rPr>
          <w:sz w:val="24"/>
          <w:szCs w:val="24"/>
        </w:rPr>
      </w:r>
      <w:r>
        <w:rPr>
          <w:sz w:val="24"/>
          <w:szCs w:val="24"/>
        </w:rPr>
      </w:r>
    </w:p>
    <w:p>
      <w:pPr>
        <w:ind w:right="130" w:firstLine="851"/>
        <w:jc w:val="both"/>
        <w:rPr>
          <w:sz w:val="24"/>
          <w:szCs w:val="24"/>
        </w:rPr>
      </w:pPr>
      <w:r>
        <w:rPr>
          <w:sz w:val="24"/>
          <w:szCs w:val="24"/>
        </w:rPr>
        <w:t xml:space="preserve"> </w:t>
      </w:r>
      <w:r>
        <w:rPr>
          <w:sz w:val="24"/>
          <w:szCs w:val="24"/>
        </w:rPr>
      </w:r>
      <w:r>
        <w:rPr>
          <w:sz w:val="24"/>
          <w:szCs w:val="24"/>
        </w:rPr>
      </w:r>
    </w:p>
    <w:p>
      <w:pPr>
        <w:pStyle w:val="1248"/>
        <w:ind w:left="142" w:firstLine="709"/>
        <w:jc w:val="left"/>
      </w:pPr>
      <w:r/>
      <w:bookmarkStart w:id="218" w:name="_bookmark138"/>
      <w:r/>
      <w:bookmarkStart w:id="219" w:name="_bookmark139"/>
      <w:r/>
      <w:bookmarkStart w:id="220" w:name="_Toc130231934"/>
      <w:r/>
      <w:bookmarkStart w:id="221" w:name="_Toc165540715"/>
      <w:r/>
      <w:bookmarkEnd w:id="218"/>
      <w:r/>
      <w:bookmarkEnd w:id="219"/>
      <w:r>
        <w:rPr>
          <w:lang w:eastAsia="ru-RU"/>
        </w:rPr>
        <w:t xml:space="preserve">1.8.3 </w:t>
      </w:r>
      <w:r>
        <w:t xml:space="preserve">Описание</w:t>
      </w:r>
      <w:r>
        <w:rPr>
          <w:spacing w:val="-7"/>
        </w:rPr>
        <w:t xml:space="preserve"> </w:t>
      </w:r>
      <w:r>
        <w:t xml:space="preserve">особенностей</w:t>
      </w:r>
      <w:r>
        <w:rPr>
          <w:spacing w:val="-4"/>
        </w:rPr>
        <w:t xml:space="preserve"> </w:t>
      </w:r>
      <w:r>
        <w:t xml:space="preserve">характеристик</w:t>
      </w:r>
      <w:r>
        <w:rPr>
          <w:spacing w:val="-4"/>
        </w:rPr>
        <w:t xml:space="preserve"> </w:t>
      </w:r>
      <w:r>
        <w:t xml:space="preserve">видов</w:t>
      </w:r>
      <w:r>
        <w:rPr>
          <w:spacing w:val="-5"/>
        </w:rPr>
        <w:t xml:space="preserve"> </w:t>
      </w:r>
      <w:r>
        <w:t xml:space="preserve">топлива</w:t>
      </w:r>
      <w:r>
        <w:rPr>
          <w:spacing w:val="-6"/>
        </w:rPr>
        <w:t xml:space="preserve"> </w:t>
      </w:r>
      <w:r>
        <w:t xml:space="preserve">в</w:t>
      </w:r>
      <w:r>
        <w:rPr>
          <w:spacing w:val="-5"/>
        </w:rPr>
        <w:t xml:space="preserve"> </w:t>
      </w:r>
      <w:r>
        <w:t xml:space="preserve">зависимости</w:t>
      </w:r>
      <w:r>
        <w:rPr>
          <w:spacing w:val="-4"/>
        </w:rPr>
        <w:t xml:space="preserve"> </w:t>
      </w:r>
      <w:r>
        <w:t xml:space="preserve">от</w:t>
      </w:r>
      <w:r>
        <w:rPr>
          <w:spacing w:val="-3"/>
        </w:rPr>
        <w:t xml:space="preserve"> </w:t>
      </w:r>
      <w:r>
        <w:rPr>
          <w:spacing w:val="-4"/>
        </w:rPr>
        <w:t xml:space="preserve">мест</w:t>
      </w:r>
      <w:bookmarkEnd w:id="220"/>
      <w:r/>
      <w:bookmarkEnd w:id="221"/>
      <w:r/>
      <w:r/>
    </w:p>
    <w:p>
      <w:pPr>
        <w:ind w:left="118"/>
        <w:rPr>
          <w:b/>
          <w:sz w:val="24"/>
        </w:rPr>
      </w:pPr>
      <w:r>
        <w:rPr>
          <w:b/>
          <w:spacing w:val="-2"/>
          <w:sz w:val="24"/>
        </w:rPr>
        <w:t xml:space="preserve">поставки</w:t>
      </w:r>
      <w:r>
        <w:rPr>
          <w:b/>
          <w:sz w:val="24"/>
        </w:rPr>
      </w:r>
      <w:r>
        <w:rPr>
          <w:b/>
          <w:sz w:val="24"/>
        </w:rPr>
      </w:r>
    </w:p>
    <w:p>
      <w:pPr>
        <w:pStyle w:val="1247"/>
        <w:ind w:left="142" w:right="129" w:firstLine="709"/>
        <w:jc w:val="both"/>
        <w:spacing w:before="116"/>
      </w:pPr>
      <w:r>
        <w:t xml:space="preserve">Система газоснабжения Курганской области состоит из проходящего по территории области магистрального газопровода «Уренгой – Челябинск», отходящих от него </w:t>
      </w:r>
      <w:r>
        <w:t xml:space="preserve">газопроводов – отводов, газораспределительных станций, газораспределительных сетей и прочих объектов газораспределения.</w:t>
      </w:r>
      <w:r/>
    </w:p>
    <w:p>
      <w:pPr>
        <w:pStyle w:val="1247"/>
        <w:ind w:left="142" w:right="130" w:firstLine="709"/>
        <w:jc w:val="both"/>
      </w:pPr>
      <w:r>
        <w:t xml:space="preserve">Источником природного газа является магистральный газопровод Мишкино-Юргамыш протяженностью около 40 км. На территории р.п. Юргамыш находится газораспределительная станция.</w:t>
      </w:r>
      <w:r/>
    </w:p>
    <w:p>
      <w:pPr>
        <w:pStyle w:val="1247"/>
        <w:ind w:left="142" w:right="130" w:firstLine="709"/>
        <w:jc w:val="both"/>
      </w:pPr>
      <w:r>
        <w:t xml:space="preserve">Место отправки бурого угля – угольный склад на ст. Жана-Караганда жд. АО НК «Казахстан Темир Жолы». Доставка осуществляется железнодорожным транспортом в полувагонах.</w:t>
      </w:r>
      <w:r/>
    </w:p>
    <w:p>
      <w:pPr>
        <w:pStyle w:val="1247"/>
        <w:ind w:left="142" w:right="130" w:firstLine="709"/>
        <w:jc w:val="both"/>
      </w:pPr>
      <w:r>
        <w:t xml:space="preserve">Бурые угл</w:t>
      </w:r>
      <w:r>
        <w:t xml:space="preserve">и подразделяются на технологические группы по спекающей способности; для указания технологической группы к буквенному обозначению марки прибавляется цифра, указывающая низшее значение толщины пластического слоя в данных углях, например Г6, Г17, КЖ14 и т.п.</w:t>
      </w:r>
      <w:r/>
    </w:p>
    <w:p>
      <w:pPr>
        <w:pStyle w:val="1247"/>
        <w:ind w:left="142" w:right="130" w:firstLine="709"/>
        <w:jc w:val="both"/>
      </w:pPr>
      <w:r>
        <w:t xml:space="preserve">По ГОСТ от 1976 </w:t>
      </w:r>
      <w:r>
        <w:t xml:space="preserve">г бурый уголь подразделяется по степени метаморфизма (углефикации) на три стадии: О1, О2, и О3 и классы 01, 02, 03. Основой такого подразделения принята отражательная способность витринита в масле R°, нормируемая величина ее для стадии О1 – менее 0,30; О2 </w:t>
      </w:r>
      <w:r>
        <w:t xml:space="preserve">– 0,30-0,39; О3 – 0,40-0,49. По международной классификации, принятой Европейской экономической комиссией (1957), бурые угли подразделяются на шесть классов по влажности (до 20, 20-30, 30-40, 40-50, 50-60 и 70 %) и пять групп по выходу смол полукоксования.</w:t>
      </w:r>
      <w:r/>
    </w:p>
    <w:p>
      <w:pPr>
        <w:pStyle w:val="1247"/>
        <w:ind w:left="142" w:right="130" w:firstLine="709"/>
        <w:jc w:val="both"/>
      </w:pPr>
      <w:r>
        <w:t xml:space="preserve">Длиннопламенный каменный угол</w:t>
      </w:r>
      <w:r>
        <w:t xml:space="preserve">ь по праву является лидером среди каменных углей применяемых в бытовых целях. Применяется длиннопламенный уголь для отопления и подходит для всех видов печей и котлов. Зачастую длиннопламенный каменный уголь используют для отопления объектов социально-быто</w:t>
      </w:r>
      <w:r>
        <w:t xml:space="preserve">вого назначения, таких как больницы, лагеря, санатории, школы и интернаты. Длиннопламенный каменный уголь бывает рядовой (марки ДР) и сортовой (Марки ДМСШ, ДО, ДОМ, ДПК и т. д.). Длиннопламенный уголь получил своё название благодаря свойству гореть с высок</w:t>
      </w:r>
      <w:r>
        <w:t xml:space="preserve">им пламенем, подобно дровам, но при этом уголь горит намного дольше обычных дров, и имеет высокий показатель теплотворности. Длиннопламенный уголь легко горит и не требует поддува, поэтому данный вид угля считается лучшим видом топлива для печей и котлов. </w:t>
      </w:r>
      <w:r/>
    </w:p>
    <w:p>
      <w:pPr>
        <w:pStyle w:val="1247"/>
        <w:ind w:left="142" w:right="130" w:firstLine="709"/>
        <w:jc w:val="both"/>
      </w:pPr>
      <w:r>
        <w:t xml:space="preserve">Источником нефти является нефтеперекачивающая станция АО «Транснефть-Урал», расположенная на территории ЛПДС «Юргамыш» Курганского нефтепроводного управления и обеспечивающая транзит нефти по магистральному нефтепроводу.</w:t>
      </w:r>
      <w:r/>
    </w:p>
    <w:p>
      <w:pPr>
        <w:pStyle w:val="1247"/>
        <w:rPr>
          <w:sz w:val="27"/>
        </w:rPr>
      </w:pPr>
      <w:r>
        <w:rPr>
          <w:sz w:val="27"/>
        </w:rPr>
      </w:r>
      <w:r>
        <w:rPr>
          <w:sz w:val="27"/>
        </w:rPr>
      </w:r>
      <w:r>
        <w:rPr>
          <w:sz w:val="27"/>
        </w:rPr>
      </w:r>
    </w:p>
    <w:p>
      <w:pPr>
        <w:pStyle w:val="1248"/>
        <w:ind w:left="1373" w:hanging="522"/>
      </w:pPr>
      <w:r/>
      <w:bookmarkStart w:id="222" w:name="_bookmark140"/>
      <w:r/>
      <w:bookmarkStart w:id="223" w:name="_Toc130231935"/>
      <w:r/>
      <w:bookmarkStart w:id="224" w:name="_Toc165540716"/>
      <w:r/>
      <w:bookmarkEnd w:id="222"/>
      <w:r>
        <w:rPr>
          <w:lang w:eastAsia="ru-RU"/>
        </w:rPr>
        <w:t xml:space="preserve">1.8.4 </w:t>
      </w:r>
      <w:r>
        <w:t xml:space="preserve">Описание</w:t>
      </w:r>
      <w:r>
        <w:rPr>
          <w:spacing w:val="-6"/>
        </w:rPr>
        <w:t xml:space="preserve"> </w:t>
      </w:r>
      <w:r>
        <w:t xml:space="preserve">использования</w:t>
      </w:r>
      <w:r>
        <w:rPr>
          <w:spacing w:val="-2"/>
        </w:rPr>
        <w:t xml:space="preserve"> </w:t>
      </w:r>
      <w:r>
        <w:t xml:space="preserve">местных</w:t>
      </w:r>
      <w:r>
        <w:rPr>
          <w:spacing w:val="-2"/>
        </w:rPr>
        <w:t xml:space="preserve"> </w:t>
      </w:r>
      <w:r>
        <w:t xml:space="preserve">видов</w:t>
      </w:r>
      <w:r>
        <w:rPr>
          <w:spacing w:val="-5"/>
        </w:rPr>
        <w:t xml:space="preserve"> </w:t>
      </w:r>
      <w:r>
        <w:rPr>
          <w:spacing w:val="-2"/>
        </w:rPr>
        <w:t xml:space="preserve">топлива</w:t>
      </w:r>
      <w:bookmarkEnd w:id="223"/>
      <w:r/>
      <w:bookmarkEnd w:id="224"/>
      <w:r/>
      <w:r/>
    </w:p>
    <w:p>
      <w:pPr>
        <w:pStyle w:val="1247"/>
        <w:ind w:left="142" w:right="129" w:firstLine="709"/>
        <w:jc w:val="both"/>
        <w:spacing w:before="120"/>
      </w:pPr>
      <w:r/>
      <w:bookmarkStart w:id="225" w:name="_bookmark141"/>
      <w:r/>
      <w:bookmarkStart w:id="226" w:name="_Toc130231936"/>
      <w:r/>
      <w:bookmarkEnd w:id="225"/>
      <w:r>
        <w:t xml:space="preserve">Данные отражены в пп.1.8.3.</w:t>
      </w:r>
      <w:r/>
    </w:p>
    <w:p>
      <w:pPr>
        <w:pStyle w:val="1248"/>
        <w:ind w:right="145" w:firstLine="733"/>
        <w:rPr>
          <w:lang w:eastAsia="ru-RU"/>
        </w:rPr>
      </w:pPr>
      <w:r>
        <w:rPr>
          <w:lang w:eastAsia="ru-RU"/>
        </w:rPr>
      </w:r>
      <w:r>
        <w:rPr>
          <w:lang w:eastAsia="ru-RU"/>
        </w:rPr>
      </w:r>
      <w:r>
        <w:rPr>
          <w:lang w:eastAsia="ru-RU"/>
        </w:rPr>
      </w:r>
    </w:p>
    <w:p>
      <w:pPr>
        <w:pStyle w:val="1248"/>
        <w:ind w:right="145" w:firstLine="733"/>
      </w:pPr>
      <w:r/>
      <w:bookmarkStart w:id="227" w:name="_Toc165540717"/>
      <w:r>
        <w:rPr>
          <w:lang w:eastAsia="ru-RU"/>
        </w:rPr>
        <w:t xml:space="preserve">1.8.5 </w:t>
      </w:r>
      <w:r>
        <w:t xml:space="preserve">Описание видов топлива (в случае, если топливом является уголь, - вид ископаемого</w:t>
      </w:r>
      <w:r>
        <w:rPr>
          <w:spacing w:val="5"/>
        </w:rPr>
        <w:t xml:space="preserve"> </w:t>
      </w:r>
      <w:r>
        <w:t xml:space="preserve">угля</w:t>
      </w:r>
      <w:r>
        <w:rPr>
          <w:spacing w:val="6"/>
        </w:rPr>
        <w:t xml:space="preserve"> </w:t>
      </w:r>
      <w:r>
        <w:t xml:space="preserve">в</w:t>
      </w:r>
      <w:r>
        <w:rPr>
          <w:spacing w:val="10"/>
        </w:rPr>
        <w:t xml:space="preserve"> </w:t>
      </w:r>
      <w:r>
        <w:t xml:space="preserve">соответствии</w:t>
      </w:r>
      <w:r>
        <w:rPr>
          <w:spacing w:val="8"/>
        </w:rPr>
        <w:t xml:space="preserve"> </w:t>
      </w:r>
      <w:r>
        <w:t xml:space="preserve">с</w:t>
      </w:r>
      <w:r>
        <w:rPr>
          <w:spacing w:val="6"/>
        </w:rPr>
        <w:t xml:space="preserve"> </w:t>
      </w:r>
      <w:r>
        <w:t xml:space="preserve">Межгосударственным</w:t>
      </w:r>
      <w:r>
        <w:rPr>
          <w:spacing w:val="8"/>
        </w:rPr>
        <w:t xml:space="preserve"> </w:t>
      </w:r>
      <w:r>
        <w:t xml:space="preserve">стандартом</w:t>
      </w:r>
      <w:r>
        <w:rPr>
          <w:spacing w:val="7"/>
        </w:rPr>
        <w:t xml:space="preserve"> </w:t>
      </w:r>
      <w:r>
        <w:t xml:space="preserve">ГОСТ</w:t>
      </w:r>
      <w:r>
        <w:rPr>
          <w:spacing w:val="8"/>
        </w:rPr>
        <w:t xml:space="preserve"> </w:t>
      </w:r>
      <w:r>
        <w:t xml:space="preserve">25543-</w:t>
      </w:r>
      <w:r>
        <w:rPr>
          <w:spacing w:val="-4"/>
        </w:rPr>
        <w:t xml:space="preserve">2013</w:t>
      </w:r>
      <w:bookmarkEnd w:id="226"/>
      <w:r/>
      <w:bookmarkEnd w:id="227"/>
      <w:r/>
      <w:r/>
    </w:p>
    <w:p>
      <w:pPr>
        <w:ind w:left="118" w:right="144"/>
        <w:jc w:val="both"/>
        <w:rPr>
          <w:b/>
          <w:sz w:val="24"/>
        </w:rPr>
      </w:pPr>
      <w:r>
        <w:rPr>
          <w:b/>
          <w:sz w:val="24"/>
        </w:rPr>
        <w:t xml:space="preserve">«Угли бурые, каменные и антрациты. Классификация по генетическим и технологическим</w:t>
      </w:r>
      <w:r>
        <w:rPr>
          <w:b/>
          <w:spacing w:val="-2"/>
          <w:sz w:val="24"/>
        </w:rPr>
        <w:t xml:space="preserve"> </w:t>
      </w:r>
      <w:r>
        <w:rPr>
          <w:b/>
          <w:sz w:val="24"/>
        </w:rPr>
        <w:t xml:space="preserve">параметрам»),</w:t>
      </w:r>
      <w:r>
        <w:rPr>
          <w:b/>
          <w:spacing w:val="-2"/>
          <w:sz w:val="24"/>
        </w:rPr>
        <w:t xml:space="preserve"> </w:t>
      </w:r>
      <w:r>
        <w:rPr>
          <w:b/>
          <w:sz w:val="24"/>
        </w:rPr>
        <w:t xml:space="preserve">их</w:t>
      </w:r>
      <w:r>
        <w:rPr>
          <w:b/>
          <w:spacing w:val="-1"/>
          <w:sz w:val="24"/>
        </w:rPr>
        <w:t xml:space="preserve"> </w:t>
      </w:r>
      <w:r>
        <w:rPr>
          <w:b/>
          <w:sz w:val="24"/>
        </w:rPr>
        <w:t xml:space="preserve">доли</w:t>
      </w:r>
      <w:r>
        <w:rPr>
          <w:b/>
          <w:spacing w:val="-1"/>
          <w:sz w:val="24"/>
        </w:rPr>
        <w:t xml:space="preserve"> </w:t>
      </w:r>
      <w:r>
        <w:rPr>
          <w:b/>
          <w:sz w:val="24"/>
        </w:rPr>
        <w:t xml:space="preserve">и</w:t>
      </w:r>
      <w:r>
        <w:rPr>
          <w:b/>
          <w:spacing w:val="-3"/>
          <w:sz w:val="24"/>
        </w:rPr>
        <w:t xml:space="preserve"> </w:t>
      </w:r>
      <w:r>
        <w:rPr>
          <w:b/>
          <w:sz w:val="24"/>
        </w:rPr>
        <w:t xml:space="preserve">значения</w:t>
      </w:r>
      <w:r>
        <w:rPr>
          <w:b/>
          <w:spacing w:val="-2"/>
          <w:sz w:val="24"/>
        </w:rPr>
        <w:t xml:space="preserve"> </w:t>
      </w:r>
      <w:r>
        <w:rPr>
          <w:b/>
          <w:sz w:val="24"/>
        </w:rPr>
        <w:t xml:space="preserve">низшей</w:t>
      </w:r>
      <w:r>
        <w:rPr>
          <w:b/>
          <w:spacing w:val="-1"/>
          <w:sz w:val="24"/>
        </w:rPr>
        <w:t xml:space="preserve"> </w:t>
      </w:r>
      <w:r>
        <w:rPr>
          <w:b/>
          <w:sz w:val="24"/>
        </w:rPr>
        <w:t xml:space="preserve">теплоты</w:t>
      </w:r>
      <w:r>
        <w:rPr>
          <w:b/>
          <w:spacing w:val="-1"/>
          <w:sz w:val="24"/>
        </w:rPr>
        <w:t xml:space="preserve"> </w:t>
      </w:r>
      <w:r>
        <w:rPr>
          <w:b/>
          <w:sz w:val="24"/>
        </w:rPr>
        <w:t xml:space="preserve">сгорания</w:t>
      </w:r>
      <w:r>
        <w:rPr>
          <w:b/>
          <w:spacing w:val="-3"/>
          <w:sz w:val="24"/>
        </w:rPr>
        <w:t xml:space="preserve"> </w:t>
      </w:r>
      <w:r>
        <w:rPr>
          <w:b/>
          <w:sz w:val="24"/>
        </w:rPr>
        <w:t xml:space="preserve">топлива, используемых для производства тепловой энергии по каждой системе теплоснабжения</w:t>
      </w:r>
      <w:r>
        <w:rPr>
          <w:b/>
          <w:sz w:val="24"/>
        </w:rPr>
      </w:r>
      <w:r>
        <w:rPr>
          <w:b/>
          <w:sz w:val="24"/>
        </w:rPr>
      </w:r>
    </w:p>
    <w:p>
      <w:pPr>
        <w:ind w:right="130" w:firstLine="851"/>
        <w:jc w:val="both"/>
        <w:spacing w:before="120"/>
        <w:rPr>
          <w:sz w:val="24"/>
          <w:szCs w:val="24"/>
        </w:rPr>
      </w:pPr>
      <w:r>
        <w:rPr>
          <w:sz w:val="24"/>
          <w:szCs w:val="24"/>
        </w:rPr>
        <w:t xml:space="preserve">Природный газ на 98% состоит из метана СН4, свойства которого почти полностью определяют свойства и характеристики природного газа. Также в его составе присутствуют гомологи метана – пропан С3Н8,</w:t>
      </w:r>
      <w:r>
        <w:rPr>
          <w:sz w:val="24"/>
          <w:szCs w:val="24"/>
        </w:rPr>
        <w:t xml:space="preserve"> этан C2H6 и бутан С4Н10. Иногда природный газ может содержать сероводород, гелий и углекислый газ. Метан (CH4) – газ без цвета и запаха, легче воздуха. Метан горюч, но достаточно легко хранится. Чаще всего используется как горючее в промышленности и быту.</w:t>
      </w:r>
      <w:r>
        <w:rPr>
          <w:sz w:val="24"/>
          <w:szCs w:val="24"/>
        </w:rPr>
      </w:r>
      <w:r>
        <w:rPr>
          <w:sz w:val="24"/>
          <w:szCs w:val="24"/>
        </w:rPr>
      </w:r>
    </w:p>
    <w:p>
      <w:pPr>
        <w:ind w:right="129" w:firstLine="851"/>
        <w:jc w:val="both"/>
        <w:rPr>
          <w:sz w:val="24"/>
          <w:szCs w:val="24"/>
        </w:rPr>
      </w:pPr>
      <w:r>
        <w:rPr>
          <w:sz w:val="24"/>
          <w:szCs w:val="24"/>
        </w:rPr>
        <w:t xml:space="preserve">Пропан (C3H8) – газ, не имеющий запаха и цвета, ядовит. Обладает полезным свойством: при небольшом давлении пропан сжижается, что значительно облегчает процесс отделения от примесей и его транспортировку. Сжиженным пропаном заправляются зажигалки.</w:t>
      </w:r>
      <w:r>
        <w:rPr>
          <w:sz w:val="24"/>
          <w:szCs w:val="24"/>
        </w:rPr>
      </w:r>
      <w:r>
        <w:rPr>
          <w:sz w:val="24"/>
          <w:szCs w:val="24"/>
        </w:rPr>
      </w:r>
    </w:p>
    <w:p>
      <w:pPr>
        <w:ind w:right="129" w:firstLine="851"/>
        <w:jc w:val="both"/>
        <w:rPr>
          <w:sz w:val="24"/>
          <w:szCs w:val="24"/>
        </w:rPr>
      </w:pPr>
      <w:r>
        <w:rPr>
          <w:sz w:val="24"/>
          <w:szCs w:val="24"/>
        </w:rPr>
        <w:t xml:space="preserve">Бутан (C4H10) – очень схож по своим свойствам с пропаном, но обладает более </w:t>
      </w:r>
      <w:r>
        <w:rPr>
          <w:sz w:val="24"/>
          <w:szCs w:val="24"/>
        </w:rPr>
        <w:t xml:space="preserve">высокой плотностью. Тяжелее воздуха в два раза. Углекислый газ (CO2) – малотоксичный бесцветный газ, не имеющий запаха, но обладающий кислым привкусом. В отличие от других компонентов состава природного газа (кроме гелия), углекислый газ не горюч.</w:t>
      </w:r>
      <w:r>
        <w:rPr>
          <w:sz w:val="24"/>
          <w:szCs w:val="24"/>
        </w:rPr>
      </w:r>
      <w:r>
        <w:rPr>
          <w:sz w:val="24"/>
          <w:szCs w:val="24"/>
        </w:rPr>
      </w:r>
    </w:p>
    <w:p>
      <w:pPr>
        <w:ind w:right="129" w:firstLine="851"/>
        <w:jc w:val="both"/>
        <w:rPr>
          <w:sz w:val="24"/>
          <w:szCs w:val="24"/>
        </w:rPr>
      </w:pPr>
      <w:r>
        <w:rPr>
          <w:sz w:val="24"/>
          <w:szCs w:val="24"/>
        </w:rPr>
        <w:t xml:space="preserve">Бурые угл</w:t>
      </w:r>
      <w:r>
        <w:rPr>
          <w:sz w:val="24"/>
          <w:szCs w:val="24"/>
        </w:rPr>
        <w:t xml:space="preserve">и подразделяются на технологические группы по спекающей способности; для указания технологической группы к буквенному обозначению марки прибавляется цифра, указывающая низшее значение толщины пластического слоя в данных углях, например Г6, Г17, КЖ14 и т.п.</w:t>
      </w:r>
      <w:r>
        <w:rPr>
          <w:sz w:val="24"/>
          <w:szCs w:val="24"/>
        </w:rPr>
      </w:r>
      <w:r>
        <w:rPr>
          <w:sz w:val="24"/>
          <w:szCs w:val="24"/>
        </w:rPr>
      </w:r>
    </w:p>
    <w:p>
      <w:pPr>
        <w:ind w:right="129" w:firstLine="851"/>
        <w:jc w:val="both"/>
        <w:rPr>
          <w:sz w:val="24"/>
          <w:szCs w:val="24"/>
        </w:rPr>
      </w:pPr>
      <w:r>
        <w:rPr>
          <w:sz w:val="24"/>
          <w:szCs w:val="24"/>
        </w:rPr>
        <w:t xml:space="preserve">Среди разновидностей неофициально различают мягкие, землистые, матовые, лигнитовые и плотные (блестящие). Выделяют также:</w:t>
      </w:r>
      <w:r>
        <w:rPr>
          <w:sz w:val="24"/>
          <w:szCs w:val="24"/>
        </w:rPr>
      </w:r>
      <w:r>
        <w:rPr>
          <w:sz w:val="24"/>
          <w:szCs w:val="24"/>
        </w:rPr>
      </w:r>
    </w:p>
    <w:p>
      <w:pPr>
        <w:ind w:right="129" w:firstLine="851"/>
        <w:jc w:val="both"/>
        <w:rPr>
          <w:sz w:val="24"/>
          <w:szCs w:val="24"/>
        </w:rPr>
      </w:pPr>
      <w:r>
        <w:rPr>
          <w:sz w:val="24"/>
          <w:szCs w:val="24"/>
        </w:rPr>
        <w:t xml:space="preserve">- плотный бурый уголь – бурого цвета с матовым блеском, землистым изломом;</w:t>
      </w:r>
      <w:r>
        <w:rPr>
          <w:sz w:val="24"/>
          <w:szCs w:val="24"/>
        </w:rPr>
      </w:r>
      <w:r>
        <w:rPr>
          <w:sz w:val="24"/>
          <w:szCs w:val="24"/>
        </w:rPr>
      </w:r>
    </w:p>
    <w:p>
      <w:pPr>
        <w:ind w:right="129" w:firstLine="851"/>
        <w:jc w:val="both"/>
        <w:rPr>
          <w:sz w:val="24"/>
          <w:szCs w:val="24"/>
        </w:rPr>
      </w:pPr>
      <w:r>
        <w:rPr>
          <w:sz w:val="24"/>
          <w:szCs w:val="24"/>
        </w:rPr>
        <w:t xml:space="preserve">- землистый бурый уголь – бурый, легко истирающийся в порошок;</w:t>
      </w:r>
      <w:r>
        <w:rPr>
          <w:sz w:val="24"/>
          <w:szCs w:val="24"/>
        </w:rPr>
      </w:r>
      <w:r>
        <w:rPr>
          <w:sz w:val="24"/>
          <w:szCs w:val="24"/>
        </w:rPr>
      </w:r>
    </w:p>
    <w:p>
      <w:pPr>
        <w:ind w:right="129" w:firstLine="851"/>
        <w:jc w:val="both"/>
        <w:rPr>
          <w:sz w:val="24"/>
          <w:szCs w:val="24"/>
        </w:rPr>
      </w:pPr>
      <w:r>
        <w:rPr>
          <w:sz w:val="24"/>
          <w:szCs w:val="24"/>
        </w:rPr>
        <w:t xml:space="preserve">- смолистый бурый уголь – очень плотный, темно-бурый и даже черный, в изломе блестящий наподобие смолы;</w:t>
      </w:r>
      <w:r>
        <w:rPr>
          <w:sz w:val="24"/>
          <w:szCs w:val="24"/>
        </w:rPr>
      </w:r>
      <w:r>
        <w:rPr>
          <w:sz w:val="24"/>
          <w:szCs w:val="24"/>
        </w:rPr>
      </w:r>
    </w:p>
    <w:p>
      <w:pPr>
        <w:ind w:right="129" w:firstLine="851"/>
        <w:jc w:val="both"/>
        <w:rPr>
          <w:sz w:val="24"/>
          <w:szCs w:val="24"/>
        </w:rPr>
      </w:pPr>
      <w:r>
        <w:rPr>
          <w:sz w:val="24"/>
          <w:szCs w:val="24"/>
        </w:rPr>
        <w:t xml:space="preserve">- бумажный бурый уголь, или дизодил, представляет тонкослоистую истлевшую расти-тельную массу, легко делящуюся на тонкие листики;</w:t>
      </w:r>
      <w:r>
        <w:rPr>
          <w:sz w:val="24"/>
          <w:szCs w:val="24"/>
        </w:rPr>
      </w:r>
      <w:r>
        <w:rPr>
          <w:sz w:val="24"/>
          <w:szCs w:val="24"/>
        </w:rPr>
      </w:r>
    </w:p>
    <w:p>
      <w:pPr>
        <w:ind w:right="129" w:firstLine="851"/>
        <w:jc w:val="both"/>
        <w:rPr>
          <w:sz w:val="24"/>
          <w:szCs w:val="24"/>
        </w:rPr>
      </w:pPr>
      <w:r>
        <w:rPr>
          <w:sz w:val="24"/>
          <w:szCs w:val="24"/>
        </w:rPr>
        <w:t xml:space="preserve">- торфяной уголь, как бы войлочный, похожий на торф, часто содержит много посторонних примесей и иногда переходит в квасцовую землю.</w:t>
      </w:r>
      <w:r>
        <w:rPr>
          <w:sz w:val="24"/>
          <w:szCs w:val="24"/>
        </w:rPr>
      </w:r>
      <w:r>
        <w:rPr>
          <w:sz w:val="24"/>
          <w:szCs w:val="24"/>
        </w:rPr>
      </w:r>
    </w:p>
    <w:p>
      <w:pPr>
        <w:ind w:right="129" w:firstLine="851"/>
        <w:jc w:val="both"/>
        <w:rPr>
          <w:sz w:val="24"/>
          <w:szCs w:val="24"/>
        </w:rPr>
      </w:pPr>
      <w:r>
        <w:rPr>
          <w:sz w:val="24"/>
          <w:szCs w:val="24"/>
        </w:rPr>
        <w:t xml:space="preserve">Разновидности каменного угля:</w:t>
      </w:r>
      <w:r>
        <w:rPr>
          <w:sz w:val="24"/>
          <w:szCs w:val="24"/>
        </w:rPr>
      </w:r>
      <w:r>
        <w:rPr>
          <w:sz w:val="24"/>
          <w:szCs w:val="24"/>
        </w:rPr>
      </w:r>
    </w:p>
    <w:p>
      <w:pPr>
        <w:ind w:right="129" w:firstLine="851"/>
        <w:jc w:val="both"/>
        <w:rPr>
          <w:sz w:val="24"/>
          <w:szCs w:val="24"/>
        </w:rPr>
      </w:pPr>
      <w:r>
        <w:rPr>
          <w:sz w:val="24"/>
          <w:szCs w:val="24"/>
        </w:rPr>
        <w:t xml:space="preserve">1. Длиннопламенный каменный уголь</w:t>
      </w:r>
      <w:r>
        <w:rPr>
          <w:sz w:val="24"/>
          <w:szCs w:val="24"/>
        </w:rPr>
      </w:r>
      <w:r>
        <w:rPr>
          <w:sz w:val="24"/>
          <w:szCs w:val="24"/>
        </w:rPr>
      </w:r>
    </w:p>
    <w:p>
      <w:pPr>
        <w:ind w:right="129" w:firstLine="851"/>
        <w:jc w:val="both"/>
        <w:rPr>
          <w:sz w:val="24"/>
          <w:szCs w:val="24"/>
        </w:rPr>
      </w:pPr>
      <w:r>
        <w:rPr>
          <w:sz w:val="24"/>
          <w:szCs w:val="24"/>
        </w:rPr>
        <w:t xml:space="preserve">Длиннопламенный каменный уголь по праву является лидером среди каменных углей применяемых в бытовых целях. Применяется длинно</w:t>
      </w:r>
      <w:r>
        <w:rPr>
          <w:sz w:val="24"/>
          <w:szCs w:val="24"/>
        </w:rPr>
        <w:t xml:space="preserve">пламенный уголь для отопления и подходит для всех видов печей и котлов. Зачастую длиннопламенный каменный уголь используют для отопления объектов социально-бытового назначения, таких как больницы, лагеря, санатории, школы и интернаты. Длиннопламенный камен</w:t>
      </w:r>
      <w:r>
        <w:rPr>
          <w:sz w:val="24"/>
          <w:szCs w:val="24"/>
        </w:rPr>
        <w:t xml:space="preserve">ный уголь бывает рядовой (марки ДР) и сортовой (Марки ДМСШ, ДО, ДОМ, ДПК и т. д.). Длиннопламенный уголь получил своё название благодаря свойству гореть с высоким пламенем, подобно дровам, но при этом уголь горит намного дольше обычных дров, и имеет высоки</w:t>
      </w:r>
      <w:r>
        <w:rPr>
          <w:sz w:val="24"/>
          <w:szCs w:val="24"/>
        </w:rPr>
        <w:t xml:space="preserve">й показатель теплотворности. Длиннопламенный уголь легко горит и не требует поддува, поэтому данный вид угля считается лучшим видом топлива для печей и котлов. Весомым плюсом является тот факт, что для розжига длиннопламенного угля достаточно немного дров.</w:t>
      </w:r>
      <w:r>
        <w:rPr>
          <w:sz w:val="24"/>
          <w:szCs w:val="24"/>
        </w:rPr>
      </w:r>
      <w:r>
        <w:rPr>
          <w:sz w:val="24"/>
          <w:szCs w:val="24"/>
        </w:rPr>
      </w:r>
    </w:p>
    <w:p>
      <w:pPr>
        <w:ind w:right="129" w:firstLine="851"/>
        <w:jc w:val="both"/>
        <w:rPr>
          <w:sz w:val="24"/>
          <w:szCs w:val="24"/>
        </w:rPr>
      </w:pPr>
      <w:r>
        <w:rPr>
          <w:sz w:val="24"/>
          <w:szCs w:val="24"/>
        </w:rPr>
        <w:t xml:space="preserve">Преимущества длиннопламенного каменного угля:</w:t>
      </w:r>
      <w:r>
        <w:rPr>
          <w:sz w:val="24"/>
          <w:szCs w:val="24"/>
        </w:rPr>
      </w:r>
      <w:r>
        <w:rPr>
          <w:sz w:val="24"/>
          <w:szCs w:val="24"/>
        </w:rPr>
      </w:r>
    </w:p>
    <w:p>
      <w:pPr>
        <w:ind w:right="129" w:firstLine="851"/>
        <w:jc w:val="both"/>
        <w:rPr>
          <w:sz w:val="24"/>
          <w:szCs w:val="24"/>
        </w:rPr>
      </w:pPr>
      <w:r>
        <w:rPr>
          <w:sz w:val="24"/>
          <w:szCs w:val="24"/>
        </w:rPr>
        <w:t xml:space="preserve">Самый распространенный вид угля</w:t>
      </w:r>
      <w:r>
        <w:rPr>
          <w:sz w:val="24"/>
          <w:szCs w:val="24"/>
        </w:rPr>
      </w:r>
      <w:r>
        <w:rPr>
          <w:sz w:val="24"/>
          <w:szCs w:val="24"/>
        </w:rPr>
      </w:r>
    </w:p>
    <w:p>
      <w:pPr>
        <w:ind w:right="129" w:firstLine="851"/>
        <w:jc w:val="both"/>
        <w:rPr>
          <w:sz w:val="24"/>
          <w:szCs w:val="24"/>
        </w:rPr>
      </w:pPr>
      <w:r>
        <w:rPr>
          <w:sz w:val="24"/>
          <w:szCs w:val="24"/>
        </w:rPr>
        <w:t xml:space="preserve">Легко разгорается, достаточно немного дров</w:t>
      </w:r>
      <w:r>
        <w:rPr>
          <w:sz w:val="24"/>
          <w:szCs w:val="24"/>
        </w:rPr>
      </w:r>
      <w:r>
        <w:rPr>
          <w:sz w:val="24"/>
          <w:szCs w:val="24"/>
        </w:rPr>
      </w:r>
    </w:p>
    <w:p>
      <w:pPr>
        <w:ind w:right="129" w:firstLine="851"/>
        <w:jc w:val="both"/>
        <w:rPr>
          <w:sz w:val="24"/>
          <w:szCs w:val="24"/>
        </w:rPr>
      </w:pPr>
      <w:r>
        <w:rPr>
          <w:sz w:val="24"/>
          <w:szCs w:val="24"/>
        </w:rPr>
        <w:t xml:space="preserve">Не требует принудительного поддува, что его делает универсальным топливом для всех котлов и печей</w:t>
      </w:r>
      <w:r>
        <w:rPr>
          <w:sz w:val="24"/>
          <w:szCs w:val="24"/>
        </w:rPr>
      </w:r>
      <w:r>
        <w:rPr>
          <w:sz w:val="24"/>
          <w:szCs w:val="24"/>
        </w:rPr>
      </w:r>
    </w:p>
    <w:p>
      <w:pPr>
        <w:ind w:right="129" w:firstLine="851"/>
        <w:jc w:val="both"/>
        <w:rPr>
          <w:sz w:val="24"/>
          <w:szCs w:val="24"/>
        </w:rPr>
      </w:pPr>
      <w:r>
        <w:rPr>
          <w:sz w:val="24"/>
          <w:szCs w:val="24"/>
        </w:rPr>
        <w:t xml:space="preserve">Доступная цена</w:t>
      </w:r>
      <w:r>
        <w:rPr>
          <w:sz w:val="24"/>
          <w:szCs w:val="24"/>
        </w:rPr>
      </w:r>
      <w:r>
        <w:rPr>
          <w:sz w:val="24"/>
          <w:szCs w:val="24"/>
        </w:rPr>
      </w:r>
    </w:p>
    <w:p>
      <w:pPr>
        <w:ind w:right="129" w:firstLine="851"/>
        <w:jc w:val="both"/>
        <w:rPr>
          <w:sz w:val="24"/>
          <w:szCs w:val="24"/>
        </w:rPr>
      </w:pPr>
      <w:r>
        <w:rPr>
          <w:sz w:val="24"/>
          <w:szCs w:val="24"/>
        </w:rPr>
        <w:t xml:space="preserve">2. Слабоспекающийся каменный уголь</w:t>
      </w:r>
      <w:r>
        <w:rPr>
          <w:sz w:val="24"/>
          <w:szCs w:val="24"/>
        </w:rPr>
      </w:r>
      <w:r>
        <w:rPr>
          <w:sz w:val="24"/>
          <w:szCs w:val="24"/>
        </w:rPr>
      </w:r>
    </w:p>
    <w:p>
      <w:pPr>
        <w:ind w:right="129" w:firstLine="851"/>
        <w:jc w:val="both"/>
        <w:rPr>
          <w:sz w:val="24"/>
          <w:szCs w:val="24"/>
        </w:rPr>
      </w:pPr>
      <w:r>
        <w:rPr>
          <w:sz w:val="24"/>
          <w:szCs w:val="24"/>
        </w:rPr>
        <w:t xml:space="preserve">Слабоспекающийся каменный уголь является углем достигшим высоких степеней метаморфизма, и поэтому относится к коксующейся разновидности угля. Благодаря высок</w:t>
      </w:r>
      <w:r>
        <w:rPr>
          <w:sz w:val="24"/>
          <w:szCs w:val="24"/>
        </w:rPr>
        <w:t xml:space="preserve">им показателям теплотворности, слабоспекающийся каменный уголь применяется как и в бытовых отопительных системах, так и на крупных электростанциях и промышленных котельных. Рекомендуется использовать слабоспекающийся каменный уголь для железных и чугунных </w:t>
      </w:r>
      <w:r>
        <w:rPr>
          <w:sz w:val="24"/>
          <w:szCs w:val="24"/>
        </w:rPr>
        <w:t xml:space="preserve">котлов или каменных печей при естественной и слабой тяге. Один из главных признаков данного вида угля - слабая спекаемость или её фактическое отсутствие, что и определяет название "слабоспекающийся" каменный уголь. Так же можно отнести слабоспекающиеся вид</w:t>
      </w:r>
      <w:r>
        <w:rPr>
          <w:sz w:val="24"/>
          <w:szCs w:val="24"/>
        </w:rPr>
        <w:t xml:space="preserve">ы углей к трудно разжигаемым, но в отличие от длиннопламенного каменного угля, слабоспекающийся долго горит и при этом выделяет большое количество тепла. Отличительной чертой слабоспекающегося каменного угля, является отсутствие пламени и дыма при горении.</w:t>
      </w:r>
      <w:r>
        <w:rPr>
          <w:sz w:val="24"/>
          <w:szCs w:val="24"/>
        </w:rPr>
      </w:r>
      <w:r>
        <w:rPr>
          <w:sz w:val="24"/>
          <w:szCs w:val="24"/>
        </w:rPr>
      </w:r>
    </w:p>
    <w:p>
      <w:pPr>
        <w:ind w:right="129" w:firstLine="851"/>
        <w:jc w:val="both"/>
        <w:rPr>
          <w:sz w:val="24"/>
          <w:szCs w:val="24"/>
        </w:rPr>
      </w:pPr>
      <w:r>
        <w:rPr>
          <w:sz w:val="24"/>
          <w:szCs w:val="24"/>
        </w:rPr>
        <w:t xml:space="preserve">Преимущества слабоспекающегося каменного угля:</w:t>
      </w:r>
      <w:r>
        <w:rPr>
          <w:sz w:val="24"/>
          <w:szCs w:val="24"/>
        </w:rPr>
      </w:r>
      <w:r>
        <w:rPr>
          <w:sz w:val="24"/>
          <w:szCs w:val="24"/>
        </w:rPr>
      </w:r>
    </w:p>
    <w:p>
      <w:pPr>
        <w:ind w:right="129" w:firstLine="851"/>
        <w:jc w:val="both"/>
        <w:rPr>
          <w:sz w:val="24"/>
          <w:szCs w:val="24"/>
        </w:rPr>
      </w:pPr>
      <w:r>
        <w:rPr>
          <w:sz w:val="24"/>
          <w:szCs w:val="24"/>
        </w:rPr>
        <w:t xml:space="preserve">Горит фактически без пламени и дыма</w:t>
      </w:r>
      <w:r>
        <w:rPr>
          <w:sz w:val="24"/>
          <w:szCs w:val="24"/>
        </w:rPr>
      </w:r>
      <w:r>
        <w:rPr>
          <w:sz w:val="24"/>
          <w:szCs w:val="24"/>
        </w:rPr>
      </w:r>
    </w:p>
    <w:p>
      <w:pPr>
        <w:ind w:right="129" w:firstLine="851"/>
        <w:jc w:val="both"/>
        <w:rPr>
          <w:sz w:val="24"/>
          <w:szCs w:val="24"/>
        </w:rPr>
      </w:pPr>
      <w:r>
        <w:rPr>
          <w:sz w:val="24"/>
          <w:szCs w:val="24"/>
        </w:rPr>
        <w:t xml:space="preserve">Выделяет большое количество тепла</w:t>
      </w:r>
      <w:r>
        <w:rPr>
          <w:sz w:val="24"/>
          <w:szCs w:val="24"/>
        </w:rPr>
      </w:r>
      <w:r>
        <w:rPr>
          <w:sz w:val="24"/>
          <w:szCs w:val="24"/>
        </w:rPr>
      </w:r>
    </w:p>
    <w:p>
      <w:pPr>
        <w:ind w:right="129" w:firstLine="851"/>
        <w:jc w:val="both"/>
        <w:rPr>
          <w:sz w:val="24"/>
          <w:szCs w:val="24"/>
        </w:rPr>
      </w:pPr>
      <w:r>
        <w:rPr>
          <w:sz w:val="24"/>
          <w:szCs w:val="24"/>
        </w:rPr>
        <w:t xml:space="preserve">Имеет высокие показатели продолжительности сгорания</w:t>
      </w:r>
      <w:r>
        <w:rPr>
          <w:sz w:val="24"/>
          <w:szCs w:val="24"/>
        </w:rPr>
      </w:r>
      <w:r>
        <w:rPr>
          <w:sz w:val="24"/>
          <w:szCs w:val="24"/>
        </w:rPr>
      </w:r>
    </w:p>
    <w:p>
      <w:pPr>
        <w:ind w:right="129" w:firstLine="851"/>
        <w:jc w:val="both"/>
        <w:rPr>
          <w:sz w:val="24"/>
          <w:szCs w:val="24"/>
        </w:rPr>
      </w:pPr>
      <w:r>
        <w:rPr>
          <w:sz w:val="24"/>
          <w:szCs w:val="24"/>
        </w:rPr>
        <w:t xml:space="preserve">Экономичный расход, позволяет тратить меньше угля</w:t>
      </w:r>
      <w:r>
        <w:rPr>
          <w:sz w:val="24"/>
          <w:szCs w:val="24"/>
        </w:rPr>
      </w:r>
      <w:r>
        <w:rPr>
          <w:sz w:val="24"/>
          <w:szCs w:val="24"/>
        </w:rPr>
      </w:r>
    </w:p>
    <w:p>
      <w:pPr>
        <w:ind w:right="129" w:firstLine="851"/>
        <w:jc w:val="both"/>
        <w:rPr>
          <w:sz w:val="24"/>
          <w:szCs w:val="24"/>
        </w:rPr>
      </w:pPr>
      <w:r>
        <w:rPr>
          <w:sz w:val="24"/>
          <w:szCs w:val="24"/>
        </w:rPr>
        <w:t xml:space="preserve">Подходит для большинства видов котлов и печей</w:t>
      </w:r>
      <w:r>
        <w:rPr>
          <w:sz w:val="24"/>
          <w:szCs w:val="24"/>
        </w:rPr>
      </w:r>
      <w:r>
        <w:rPr>
          <w:sz w:val="24"/>
          <w:szCs w:val="24"/>
        </w:rPr>
      </w:r>
    </w:p>
    <w:p>
      <w:pPr>
        <w:ind w:right="129" w:firstLine="851"/>
        <w:jc w:val="both"/>
        <w:rPr>
          <w:sz w:val="24"/>
          <w:szCs w:val="24"/>
        </w:rPr>
      </w:pPr>
      <w:r>
        <w:rPr>
          <w:sz w:val="24"/>
          <w:szCs w:val="24"/>
        </w:rPr>
        <w:t xml:space="preserve">3. Каменный уголь антрацит</w:t>
      </w:r>
      <w:r>
        <w:rPr>
          <w:sz w:val="24"/>
          <w:szCs w:val="24"/>
        </w:rPr>
      </w:r>
      <w:r>
        <w:rPr>
          <w:sz w:val="24"/>
          <w:szCs w:val="24"/>
        </w:rPr>
      </w:r>
    </w:p>
    <w:p>
      <w:pPr>
        <w:ind w:right="129" w:firstLine="851"/>
        <w:jc w:val="both"/>
        <w:rPr>
          <w:sz w:val="24"/>
          <w:szCs w:val="24"/>
        </w:rPr>
      </w:pPr>
      <w:r>
        <w:rPr>
          <w:sz w:val="24"/>
          <w:szCs w:val="24"/>
        </w:rPr>
        <w:t xml:space="preserve">Каменный уголь Антрац</w:t>
      </w:r>
      <w:r>
        <w:rPr>
          <w:sz w:val="24"/>
          <w:szCs w:val="24"/>
        </w:rPr>
        <w:t xml:space="preserve">ит - является высшей разновидностью и лучшим сортом каменного угля среди всех видов добываемых углей.  Для антрацита характерен черно-серый цвет, с ярко выраженным металлическим блеском. Имеет очень плотную структуру и твердый как камень. Каменный уголь Ан</w:t>
      </w:r>
      <w:r>
        <w:rPr>
          <w:sz w:val="24"/>
          <w:szCs w:val="24"/>
        </w:rPr>
        <w:t xml:space="preserve">трацит обладает высокой степенью углефикации и поэтому содержание углерода в нем более 95%. Также для угля Антрацит характерно гореть без языков пламени, запаха и дыма. Антрацит применяется как и для отопления частных домов так и в тяжелой промышленности. </w:t>
      </w:r>
      <w:r>
        <w:rPr>
          <w:sz w:val="24"/>
          <w:szCs w:val="24"/>
        </w:rPr>
      </w:r>
      <w:r>
        <w:rPr>
          <w:sz w:val="24"/>
          <w:szCs w:val="24"/>
        </w:rPr>
      </w:r>
    </w:p>
    <w:p>
      <w:pPr>
        <w:ind w:right="129" w:firstLine="851"/>
        <w:jc w:val="both"/>
        <w:rPr>
          <w:sz w:val="24"/>
          <w:szCs w:val="24"/>
        </w:rPr>
      </w:pPr>
      <w:r>
        <w:rPr>
          <w:sz w:val="24"/>
          <w:szCs w:val="24"/>
        </w:rPr>
        <w:t xml:space="preserve">Преимущества каменного антрацит:</w:t>
      </w:r>
      <w:r>
        <w:rPr>
          <w:sz w:val="24"/>
          <w:szCs w:val="24"/>
        </w:rPr>
      </w:r>
      <w:r>
        <w:rPr>
          <w:sz w:val="24"/>
          <w:szCs w:val="24"/>
        </w:rPr>
      </w:r>
    </w:p>
    <w:p>
      <w:pPr>
        <w:ind w:right="129" w:firstLine="851"/>
        <w:jc w:val="both"/>
        <w:rPr>
          <w:sz w:val="24"/>
          <w:szCs w:val="24"/>
        </w:rPr>
      </w:pPr>
      <w:r>
        <w:rPr>
          <w:sz w:val="24"/>
          <w:szCs w:val="24"/>
        </w:rPr>
        <w:t xml:space="preserve">Самый качественный и лучший вид угля</w:t>
      </w:r>
      <w:r>
        <w:rPr>
          <w:sz w:val="24"/>
          <w:szCs w:val="24"/>
        </w:rPr>
      </w:r>
      <w:r>
        <w:rPr>
          <w:sz w:val="24"/>
          <w:szCs w:val="24"/>
        </w:rPr>
      </w:r>
    </w:p>
    <w:p>
      <w:pPr>
        <w:ind w:right="129" w:firstLine="851"/>
        <w:jc w:val="both"/>
        <w:rPr>
          <w:sz w:val="24"/>
          <w:szCs w:val="24"/>
        </w:rPr>
      </w:pPr>
      <w:r>
        <w:rPr>
          <w:sz w:val="24"/>
          <w:szCs w:val="24"/>
        </w:rPr>
        <w:t xml:space="preserve">Обладает высшей теплотворностью среди всех марок угля, к примеру способен расплавить чугун</w:t>
      </w:r>
      <w:r>
        <w:rPr>
          <w:sz w:val="24"/>
          <w:szCs w:val="24"/>
        </w:rPr>
      </w:r>
      <w:r>
        <w:rPr>
          <w:sz w:val="24"/>
          <w:szCs w:val="24"/>
        </w:rPr>
      </w:r>
    </w:p>
    <w:p>
      <w:pPr>
        <w:ind w:right="129" w:firstLine="851"/>
        <w:jc w:val="both"/>
        <w:rPr>
          <w:sz w:val="24"/>
          <w:szCs w:val="24"/>
        </w:rPr>
      </w:pPr>
      <w:r>
        <w:rPr>
          <w:sz w:val="24"/>
          <w:szCs w:val="24"/>
        </w:rPr>
        <w:t xml:space="preserve">Горит без пламени и дыма</w:t>
      </w:r>
      <w:r>
        <w:rPr>
          <w:sz w:val="24"/>
          <w:szCs w:val="24"/>
        </w:rPr>
      </w:r>
      <w:r>
        <w:rPr>
          <w:sz w:val="24"/>
          <w:szCs w:val="24"/>
        </w:rPr>
      </w:r>
    </w:p>
    <w:p>
      <w:pPr>
        <w:ind w:right="129" w:firstLine="851"/>
        <w:jc w:val="both"/>
        <w:rPr>
          <w:sz w:val="24"/>
          <w:szCs w:val="24"/>
        </w:rPr>
      </w:pPr>
      <w:r>
        <w:rPr>
          <w:sz w:val="24"/>
          <w:szCs w:val="24"/>
        </w:rPr>
        <w:t xml:space="preserve">Низкий расход топлива в период отопления</w:t>
      </w:r>
      <w:r>
        <w:rPr>
          <w:sz w:val="24"/>
          <w:szCs w:val="24"/>
        </w:rPr>
        <w:t xml:space="preserve">.</w:t>
      </w:r>
      <w:r>
        <w:rPr>
          <w:sz w:val="24"/>
          <w:szCs w:val="24"/>
        </w:rPr>
      </w:r>
      <w:r>
        <w:rPr>
          <w:sz w:val="24"/>
          <w:szCs w:val="24"/>
        </w:rPr>
      </w:r>
    </w:p>
    <w:p>
      <w:pPr>
        <w:ind w:right="129" w:firstLine="851"/>
        <w:jc w:val="both"/>
        <w:rPr>
          <w:sz w:val="24"/>
          <w:szCs w:val="24"/>
        </w:rPr>
      </w:pPr>
      <w:r>
        <w:rPr>
          <w:sz w:val="24"/>
          <w:szCs w:val="24"/>
        </w:rPr>
        <w:t xml:space="preserve">Пеллеты – это гранулированный вид твердого топлива цилиндрической формы, из спрессованных отходов сельскохозяйственного производства деревообрабатывающей промышленности. В ка</w:t>
      </w:r>
      <w:r>
        <w:rPr>
          <w:sz w:val="24"/>
          <w:szCs w:val="24"/>
        </w:rPr>
        <w:t xml:space="preserve">честве базового связующего вещества выступает вещество растительного происхождения – лигнин, природный полимер, содержащийся практически в любом растении, способный пластифицироваться при грануляции под воздействием достаточно высокой рабочей температуры. </w:t>
      </w:r>
      <w:r>
        <w:rPr>
          <w:sz w:val="24"/>
          <w:szCs w:val="24"/>
        </w:rPr>
      </w:r>
      <w:r>
        <w:rPr>
          <w:sz w:val="24"/>
          <w:szCs w:val="24"/>
        </w:rPr>
      </w:r>
    </w:p>
    <w:p>
      <w:pPr>
        <w:ind w:right="129" w:firstLine="851"/>
        <w:jc w:val="both"/>
        <w:rPr>
          <w:sz w:val="24"/>
          <w:szCs w:val="24"/>
        </w:rPr>
      </w:pPr>
      <w:r>
        <w:rPr>
          <w:sz w:val="24"/>
          <w:szCs w:val="24"/>
        </w:rPr>
        <w:t xml:space="preserve">Производство пеллет заключается в прессовании предварительно высушенных до определенной влажности и измельченных до заданной фракции отходов под давлением порядка 300 атмосфер. Их теплота сгорани</w:t>
      </w:r>
      <w:r>
        <w:rPr>
          <w:sz w:val="24"/>
          <w:szCs w:val="24"/>
        </w:rPr>
        <w:t xml:space="preserve">я составляет 4,3 – 4,5 кВт/кг, что в полтора раза больше, чем у древесины, но при этом теплоотдача сравнима с углем. При сгорании выбросы в атмосферу минимальны. Сжигание 2 тонн топливных гранул дает такое же количество тепловой энергии, как сжигание 957 м</w:t>
      </w:r>
      <w:r>
        <w:rPr>
          <w:sz w:val="24"/>
          <w:szCs w:val="24"/>
          <w:vertAlign w:val="superscript"/>
        </w:rPr>
        <w:t xml:space="preserve">3</w:t>
      </w:r>
      <w:r>
        <w:rPr>
          <w:sz w:val="24"/>
          <w:szCs w:val="24"/>
        </w:rPr>
        <w:t xml:space="preserve"> газа, 1000 л дизельного топлива, либо 3,2 тонны древесины.</w:t>
      </w:r>
      <w:r>
        <w:rPr>
          <w:sz w:val="24"/>
          <w:szCs w:val="24"/>
        </w:rPr>
      </w:r>
      <w:r>
        <w:rPr>
          <w:sz w:val="24"/>
          <w:szCs w:val="24"/>
        </w:rPr>
      </w:r>
    </w:p>
    <w:p>
      <w:pPr>
        <w:ind w:right="129" w:firstLine="851"/>
        <w:jc w:val="both"/>
        <w:rPr>
          <w:sz w:val="24"/>
          <w:szCs w:val="24"/>
        </w:rPr>
      </w:pPr>
      <w:r>
        <w:rPr>
          <w:sz w:val="24"/>
          <w:szCs w:val="24"/>
        </w:rPr>
        <w:t xml:space="preserve">Характеристики пеллет из древесины имеют показатели:</w:t>
      </w:r>
      <w:r>
        <w:rPr>
          <w:sz w:val="24"/>
          <w:szCs w:val="24"/>
        </w:rPr>
      </w:r>
      <w:r>
        <w:rPr>
          <w:sz w:val="24"/>
          <w:szCs w:val="24"/>
        </w:rPr>
      </w:r>
    </w:p>
    <w:p>
      <w:pPr>
        <w:ind w:right="129" w:firstLine="851"/>
        <w:jc w:val="both"/>
        <w:rPr>
          <w:sz w:val="24"/>
          <w:szCs w:val="24"/>
        </w:rPr>
      </w:pPr>
      <w:r>
        <w:rPr>
          <w:sz w:val="24"/>
          <w:szCs w:val="24"/>
        </w:rPr>
        <w:t xml:space="preserve">Выделяемая энергия при сгорании — не менее 17,5 кДж/кг</w:t>
      </w:r>
      <w:r>
        <w:rPr>
          <w:sz w:val="24"/>
          <w:szCs w:val="24"/>
        </w:rPr>
      </w:r>
      <w:r>
        <w:rPr>
          <w:sz w:val="24"/>
          <w:szCs w:val="24"/>
        </w:rPr>
      </w:r>
    </w:p>
    <w:p>
      <w:pPr>
        <w:ind w:right="129" w:firstLine="851"/>
        <w:jc w:val="both"/>
        <w:rPr>
          <w:sz w:val="24"/>
          <w:szCs w:val="24"/>
        </w:rPr>
      </w:pPr>
      <w:r>
        <w:rPr>
          <w:sz w:val="24"/>
          <w:szCs w:val="24"/>
        </w:rPr>
        <w:t xml:space="preserve">Зольность рабочего топлива – не более 0,8%.</w:t>
      </w:r>
      <w:r>
        <w:rPr>
          <w:sz w:val="24"/>
          <w:szCs w:val="24"/>
        </w:rPr>
      </w:r>
      <w:r>
        <w:rPr>
          <w:sz w:val="24"/>
          <w:szCs w:val="24"/>
        </w:rPr>
      </w:r>
    </w:p>
    <w:p>
      <w:pPr>
        <w:ind w:right="129" w:firstLine="851"/>
        <w:jc w:val="both"/>
      </w:pPr>
      <w:r>
        <w:t xml:space="preserve"> </w:t>
      </w:r>
      <w:r/>
    </w:p>
    <w:p>
      <w:pPr>
        <w:pStyle w:val="1248"/>
        <w:ind w:right="152" w:firstLine="733"/>
      </w:pPr>
      <w:r/>
      <w:bookmarkStart w:id="228" w:name="_bookmark142"/>
      <w:r/>
      <w:bookmarkStart w:id="229" w:name="_Toc130231937"/>
      <w:r/>
      <w:bookmarkStart w:id="230" w:name="_Toc165540718"/>
      <w:r/>
      <w:bookmarkEnd w:id="228"/>
      <w:r>
        <w:rPr>
          <w:lang w:eastAsia="ru-RU"/>
        </w:rPr>
        <w:t xml:space="preserve">1.8.6 </w:t>
      </w:r>
      <w:r>
        <w:t xml:space="preserve">Описание преобладающего в поселении, </w:t>
      </w:r>
      <w:r>
        <w:t xml:space="preserve">городском округе</w:t>
      </w:r>
      <w:r>
        <w:t xml:space="preserve"> вида топлива, определяемого по совокупности всех систем теплоснабжения, находящихся в соответствующем поселении</w:t>
      </w:r>
      <w:bookmarkEnd w:id="229"/>
      <w:r/>
      <w:bookmarkEnd w:id="230"/>
      <w:r/>
      <w:r/>
    </w:p>
    <w:p>
      <w:pPr>
        <w:pStyle w:val="1247"/>
        <w:ind w:left="142" w:right="129" w:firstLine="684"/>
        <w:jc w:val="both"/>
        <w:spacing w:before="116"/>
      </w:pPr>
      <w:r>
        <w:t xml:space="preserve">Преобладающим видом топлива</w:t>
      </w:r>
      <w:r>
        <w:t xml:space="preserve"> в </w:t>
      </w:r>
      <w:r>
        <w:t xml:space="preserve">централизованных котельных Юргамышского муниципального округа</w:t>
      </w:r>
      <w:r>
        <w:t xml:space="preserve"> является природный газ</w:t>
      </w:r>
      <w:r>
        <w:t xml:space="preserve">, в децентрализованных котельных - пеллеты</w:t>
      </w:r>
      <w:r>
        <w:t xml:space="preserve">.</w:t>
      </w:r>
      <w:r/>
    </w:p>
    <w:p>
      <w:pPr>
        <w:pStyle w:val="1247"/>
        <w:spacing w:before="1"/>
        <w:rPr>
          <w:sz w:val="27"/>
        </w:rPr>
      </w:pPr>
      <w:r>
        <w:rPr>
          <w:sz w:val="27"/>
        </w:rPr>
      </w:r>
      <w:r>
        <w:rPr>
          <w:sz w:val="27"/>
        </w:rPr>
      </w:r>
      <w:r>
        <w:rPr>
          <w:sz w:val="27"/>
        </w:rPr>
      </w:r>
    </w:p>
    <w:p>
      <w:pPr>
        <w:pStyle w:val="1248"/>
        <w:ind w:left="142" w:firstLine="709"/>
        <w:jc w:val="left"/>
        <w:tabs>
          <w:tab w:val="left" w:pos="2671" w:leader="none"/>
          <w:tab w:val="left" w:pos="4522" w:leader="none"/>
          <w:tab w:val="left" w:pos="6174" w:leader="none"/>
          <w:tab w:val="left" w:pos="7403" w:leader="none"/>
          <w:tab w:val="left" w:pos="8889" w:leader="none"/>
        </w:tabs>
      </w:pPr>
      <w:r/>
      <w:bookmarkStart w:id="231" w:name="_bookmark143"/>
      <w:r/>
      <w:bookmarkStart w:id="232" w:name="_Toc130231938"/>
      <w:r/>
      <w:bookmarkStart w:id="233" w:name="_Toc165540719"/>
      <w:r/>
      <w:bookmarkEnd w:id="231"/>
      <w:r>
        <w:rPr>
          <w:lang w:eastAsia="ru-RU"/>
        </w:rPr>
        <w:t xml:space="preserve">1.8.7 </w:t>
      </w:r>
      <w:r>
        <w:rPr>
          <w:spacing w:val="-2"/>
        </w:rPr>
        <w:t xml:space="preserve">Описание</w:t>
      </w:r>
      <w:r>
        <w:tab/>
      </w:r>
      <w:r>
        <w:rPr>
          <w:spacing w:val="-2"/>
        </w:rPr>
        <w:t xml:space="preserve">приоритетного</w:t>
      </w:r>
      <w:r>
        <w:tab/>
      </w:r>
      <w:r>
        <w:rPr>
          <w:spacing w:val="-2"/>
        </w:rPr>
        <w:t xml:space="preserve">направления</w:t>
      </w:r>
      <w:r>
        <w:tab/>
      </w:r>
      <w:r>
        <w:rPr>
          <w:spacing w:val="-2"/>
        </w:rPr>
        <w:t xml:space="preserve">развития</w:t>
      </w:r>
      <w:r>
        <w:tab/>
      </w:r>
      <w:r>
        <w:rPr>
          <w:spacing w:val="-2"/>
        </w:rPr>
        <w:t xml:space="preserve">топливного</w:t>
      </w:r>
      <w:r>
        <w:tab/>
      </w:r>
      <w:r>
        <w:rPr>
          <w:spacing w:val="-2"/>
        </w:rPr>
        <w:t xml:space="preserve">баланса</w:t>
      </w:r>
      <w:bookmarkEnd w:id="232"/>
      <w:r/>
      <w:bookmarkEnd w:id="233"/>
      <w:r/>
      <w:r/>
    </w:p>
    <w:p>
      <w:pPr>
        <w:ind w:left="118"/>
        <w:rPr>
          <w:b/>
          <w:color w:val="7030a0"/>
          <w:sz w:val="24"/>
        </w:rPr>
      </w:pPr>
      <w:r>
        <w:rPr>
          <w:b/>
          <w:spacing w:val="-2"/>
          <w:sz w:val="24"/>
        </w:rPr>
        <w:t xml:space="preserve">п</w:t>
      </w:r>
      <w:r>
        <w:rPr>
          <w:b/>
          <w:spacing w:val="-2"/>
          <w:sz w:val="24"/>
        </w:rPr>
        <w:t xml:space="preserve">оселения</w:t>
      </w:r>
      <w:r>
        <w:rPr>
          <w:b/>
          <w:spacing w:val="-2"/>
          <w:sz w:val="24"/>
        </w:rPr>
        <w:t xml:space="preserve"> </w:t>
      </w:r>
      <w:r>
        <w:rPr>
          <w:b/>
          <w:color w:val="7030a0"/>
          <w:sz w:val="24"/>
        </w:rPr>
      </w:r>
      <w:r>
        <w:rPr>
          <w:b/>
          <w:color w:val="7030a0"/>
          <w:sz w:val="24"/>
        </w:rPr>
      </w:r>
    </w:p>
    <w:p>
      <w:pPr>
        <w:pStyle w:val="1247"/>
        <w:ind w:left="118" w:right="145" w:firstLine="707"/>
        <w:jc w:val="both"/>
        <w:spacing w:before="115"/>
        <w:rPr>
          <w:spacing w:val="-3"/>
        </w:rPr>
      </w:pPr>
      <w:r>
        <w:t xml:space="preserve">Приоритетный вид топлива – газ.</w:t>
      </w:r>
      <w:r>
        <w:t xml:space="preserve"> </w:t>
      </w:r>
      <w:r>
        <w:rPr>
          <w:spacing w:val="-3"/>
        </w:rPr>
      </w:r>
      <w:r>
        <w:rPr>
          <w:spacing w:val="-3"/>
        </w:rPr>
      </w:r>
    </w:p>
    <w:p>
      <w:pPr>
        <w:pStyle w:val="1247"/>
        <w:spacing w:before="1"/>
        <w:rPr>
          <w:sz w:val="27"/>
        </w:rPr>
      </w:pPr>
      <w:r>
        <w:rPr>
          <w:sz w:val="27"/>
        </w:rPr>
      </w:r>
      <w:r>
        <w:rPr>
          <w:sz w:val="27"/>
        </w:rPr>
      </w:r>
      <w:r>
        <w:rPr>
          <w:sz w:val="27"/>
        </w:rPr>
      </w:r>
    </w:p>
    <w:p>
      <w:pPr>
        <w:pStyle w:val="1248"/>
        <w:ind w:right="147" w:firstLine="733"/>
      </w:pPr>
      <w:r/>
      <w:bookmarkStart w:id="234" w:name="_bookmark144"/>
      <w:r/>
      <w:bookmarkStart w:id="235" w:name="_Toc130231939"/>
      <w:r/>
      <w:bookmarkStart w:id="236" w:name="_Toc165540720"/>
      <w:r/>
      <w:bookmarkEnd w:id="234"/>
      <w:r>
        <w:rPr>
          <w:lang w:eastAsia="ru-RU"/>
        </w:rPr>
        <w:t xml:space="preserve">1.8.8 </w:t>
      </w:r>
      <w:r>
        <w:t xml:space="preserve">Описание изменений в топливных балансах источников тепловой энергии для </w:t>
      </w:r>
      <w:r>
        <w:t xml:space="preserve">каждой системы теплоснабжения, в том числе с учётом реализации планов строительства, реконструкции и технического перевооружения источников тепловой энергии, ввод в эксплуатацию которых осуществлён в период, предшествующий актуализации схемы теплоснабжения</w:t>
      </w:r>
      <w:bookmarkEnd w:id="235"/>
      <w:r/>
      <w:bookmarkEnd w:id="236"/>
      <w:r/>
      <w:r/>
    </w:p>
    <w:p>
      <w:pPr>
        <w:pStyle w:val="1247"/>
        <w:ind w:left="119" w:right="108" w:firstLine="709"/>
        <w:jc w:val="both"/>
        <w:spacing w:before="120"/>
      </w:pPr>
      <w:r>
        <w:t xml:space="preserve">Ранее схема теплоснабжения </w:t>
      </w:r>
      <w:r>
        <w:t xml:space="preserve">Юргамышского</w:t>
      </w:r>
      <w:r>
        <w:t xml:space="preserve"> муниципального округа не была разработана.</w:t>
      </w:r>
      <w:r/>
    </w:p>
    <w:p>
      <w:pPr>
        <w:pStyle w:val="1247"/>
        <w:ind w:left="118" w:right="147" w:firstLine="707"/>
        <w:jc w:val="both"/>
        <w:spacing w:before="115"/>
      </w:pPr>
      <w:r/>
      <w:r/>
    </w:p>
    <w:p>
      <w:pPr>
        <w:rPr>
          <w:b/>
          <w:bCs/>
          <w:sz w:val="24"/>
          <w:szCs w:val="24"/>
          <w:lang w:eastAsia="ru-RU"/>
        </w:rPr>
      </w:pPr>
      <w:r/>
      <w:bookmarkStart w:id="237" w:name="_bookmark145"/>
      <w:r/>
      <w:bookmarkStart w:id="238" w:name="_Toc130231940"/>
      <w:r/>
      <w:bookmarkStart w:id="239" w:name="_Toc165540721"/>
      <w:r/>
      <w:bookmarkEnd w:id="237"/>
      <w:r>
        <w:rPr>
          <w:lang w:eastAsia="ru-RU"/>
        </w:rPr>
        <w:br w:type="page" w:clear="all"/>
      </w:r>
      <w:r>
        <w:rPr>
          <w:b/>
          <w:bCs/>
          <w:sz w:val="24"/>
          <w:szCs w:val="24"/>
          <w:lang w:eastAsia="ru-RU"/>
        </w:rPr>
      </w:r>
      <w:r>
        <w:rPr>
          <w:b/>
          <w:bCs/>
          <w:sz w:val="24"/>
          <w:szCs w:val="24"/>
          <w:lang w:eastAsia="ru-RU"/>
        </w:rPr>
      </w:r>
    </w:p>
    <w:p>
      <w:pPr>
        <w:pStyle w:val="1248"/>
        <w:ind w:left="1194" w:hanging="343"/>
      </w:pPr>
      <w:r>
        <w:rPr>
          <w:lang w:eastAsia="ru-RU"/>
        </w:rPr>
        <w:t xml:space="preserve">1.9 </w:t>
      </w:r>
      <w:r>
        <w:t xml:space="preserve">Надёжность</w:t>
      </w:r>
      <w:r>
        <w:rPr>
          <w:spacing w:val="-3"/>
        </w:rPr>
        <w:t xml:space="preserve"> </w:t>
      </w:r>
      <w:r>
        <w:rPr>
          <w:spacing w:val="-2"/>
        </w:rPr>
        <w:t xml:space="preserve">теплоснабжения</w:t>
      </w:r>
      <w:bookmarkEnd w:id="238"/>
      <w:r/>
      <w:bookmarkEnd w:id="239"/>
      <w:r/>
      <w:r/>
    </w:p>
    <w:p>
      <w:pPr>
        <w:pStyle w:val="1248"/>
        <w:ind w:right="152" w:firstLine="733"/>
        <w:spacing w:before="120"/>
      </w:pPr>
      <w:r/>
      <w:bookmarkStart w:id="240" w:name="_bookmark146"/>
      <w:r/>
      <w:bookmarkStart w:id="241" w:name="_Toc130231941"/>
      <w:r/>
      <w:bookmarkStart w:id="242" w:name="_Toc165540722"/>
      <w:r/>
      <w:bookmarkEnd w:id="240"/>
      <w:r>
        <w:rPr>
          <w:lang w:eastAsia="ru-RU"/>
        </w:rPr>
        <w:t xml:space="preserve">1.9.1 </w:t>
      </w:r>
      <w:r>
        <w:t xml:space="preserve">Описание и значения показателей, определяемых в соответствии с методическими указаниями по разработке схем теплоснабжения, и иные сведения</w:t>
      </w:r>
      <w:bookmarkEnd w:id="241"/>
      <w:r/>
      <w:bookmarkEnd w:id="242"/>
      <w:r/>
      <w:r/>
    </w:p>
    <w:p>
      <w:pPr>
        <w:pStyle w:val="1247"/>
        <w:ind w:left="118" w:right="154" w:firstLine="707"/>
        <w:jc w:val="both"/>
        <w:spacing w:before="116"/>
      </w:pPr>
      <w:r>
        <w:t xml:space="preserve">Надёжность работы действующих теплосетей для каждой зоны определяется в соответствии со СНиП 41-02-2003 «Тепловые сети» по двум нормируемым критериям:</w:t>
      </w:r>
      <w:r/>
    </w:p>
    <w:p>
      <w:pPr>
        <w:pStyle w:val="1250"/>
        <w:numPr>
          <w:ilvl w:val="0"/>
          <w:numId w:val="11"/>
        </w:numPr>
        <w:ind w:right="148" w:firstLine="707"/>
        <w:tabs>
          <w:tab w:val="left" w:pos="1007" w:leader="none"/>
        </w:tabs>
        <w:rPr>
          <w:sz w:val="24"/>
        </w:rPr>
      </w:pPr>
      <w:r>
        <w:rPr>
          <w:sz w:val="24"/>
        </w:rPr>
        <w:t xml:space="preserve">вероятность безотказной работы (P) - способно</w:t>
      </w:r>
      <w:r>
        <w:rPr>
          <w:sz w:val="24"/>
        </w:rPr>
        <w:t xml:space="preserve">сть системы не допускать отказов, приводящих к падению температуры в отапливаемых помещениях жилых и общественных зданиях ниже +12°C, в промышленных зданиях ниже 8 °C, более числа раз, установленных нормативами. Нормативная величина для тепловых сетей 0,9;</w:t>
      </w:r>
      <w:r>
        <w:rPr>
          <w:sz w:val="24"/>
        </w:rPr>
      </w:r>
      <w:r>
        <w:rPr>
          <w:sz w:val="24"/>
        </w:rPr>
      </w:r>
    </w:p>
    <w:p>
      <w:pPr>
        <w:pStyle w:val="1250"/>
        <w:numPr>
          <w:ilvl w:val="0"/>
          <w:numId w:val="11"/>
        </w:numPr>
        <w:ind w:right="145" w:firstLine="707"/>
        <w:tabs>
          <w:tab w:val="left" w:pos="1002" w:leader="none"/>
        </w:tabs>
        <w:rPr>
          <w:sz w:val="24"/>
        </w:rPr>
      </w:pPr>
      <w:r>
        <w:rPr>
          <w:sz w:val="24"/>
        </w:rPr>
        <w:t xml:space="preserve">коэф</w:t>
      </w:r>
      <w:r>
        <w:rPr>
          <w:sz w:val="24"/>
        </w:rPr>
        <w:t xml:space="preserve">фициент готовности (качества) системы (Кг) – вероятность работоспособного состояния системы в произвольный момент времени поддерживать в отапливаемых помещениях расчётную внутреннюю температуру, кроме периодов снижения температуры, допускаемых нормативами.</w:t>
      </w:r>
      <w:r>
        <w:rPr>
          <w:sz w:val="24"/>
        </w:rPr>
      </w:r>
      <w:r>
        <w:rPr>
          <w:sz w:val="24"/>
        </w:rPr>
      </w:r>
    </w:p>
    <w:p>
      <w:pPr>
        <w:pStyle w:val="1247"/>
        <w:ind w:left="118" w:right="146" w:firstLine="707"/>
        <w:jc w:val="both"/>
      </w:pPr>
      <w:r>
        <w:t xml:space="preserve">Уровень надёжности поставляемых товаров и оказываемых услуг регулируемой организацией определяется исходя из числа возникающих в результате нарушений, аварий, инцидентов на объектах данной регулируемой организации.</w:t>
      </w:r>
      <w:r/>
    </w:p>
    <w:p>
      <w:pPr>
        <w:pStyle w:val="1247"/>
        <w:spacing w:before="1"/>
        <w:rPr>
          <w:sz w:val="27"/>
        </w:rPr>
      </w:pPr>
      <w:r>
        <w:rPr>
          <w:sz w:val="27"/>
        </w:rPr>
      </w:r>
      <w:r>
        <w:rPr>
          <w:sz w:val="27"/>
        </w:rPr>
      </w:r>
      <w:r>
        <w:rPr>
          <w:sz w:val="27"/>
        </w:rPr>
      </w:r>
    </w:p>
    <w:p>
      <w:pPr>
        <w:pStyle w:val="1248"/>
        <w:ind w:left="1373" w:hanging="522"/>
      </w:pPr>
      <w:r/>
      <w:bookmarkStart w:id="243" w:name="_bookmark147"/>
      <w:r/>
      <w:bookmarkStart w:id="244" w:name="_Toc130231942"/>
      <w:r/>
      <w:bookmarkStart w:id="245" w:name="_Toc165540723"/>
      <w:r/>
      <w:bookmarkEnd w:id="243"/>
      <w:r>
        <w:rPr>
          <w:lang w:eastAsia="ru-RU"/>
        </w:rPr>
        <w:t xml:space="preserve">1.9.2 </w:t>
      </w:r>
      <w:r>
        <w:t xml:space="preserve">Поток</w:t>
      </w:r>
      <w:r>
        <w:rPr>
          <w:spacing w:val="-5"/>
        </w:rPr>
        <w:t xml:space="preserve"> </w:t>
      </w:r>
      <w:r>
        <w:t xml:space="preserve">отказов</w:t>
      </w:r>
      <w:r>
        <w:rPr>
          <w:spacing w:val="-2"/>
        </w:rPr>
        <w:t xml:space="preserve"> </w:t>
      </w:r>
      <w:r>
        <w:t xml:space="preserve">(частота</w:t>
      </w:r>
      <w:r>
        <w:rPr>
          <w:spacing w:val="-2"/>
        </w:rPr>
        <w:t xml:space="preserve"> </w:t>
      </w:r>
      <w:r>
        <w:t xml:space="preserve">отказов)</w:t>
      </w:r>
      <w:r>
        <w:rPr>
          <w:spacing w:val="-4"/>
        </w:rPr>
        <w:t xml:space="preserve"> </w:t>
      </w:r>
      <w:r>
        <w:t xml:space="preserve">участков</w:t>
      </w:r>
      <w:r>
        <w:rPr>
          <w:spacing w:val="-4"/>
        </w:rPr>
        <w:t xml:space="preserve"> </w:t>
      </w:r>
      <w:r>
        <w:t xml:space="preserve">тепловых</w:t>
      </w:r>
      <w:r>
        <w:rPr>
          <w:spacing w:val="-3"/>
        </w:rPr>
        <w:t xml:space="preserve"> </w:t>
      </w:r>
      <w:r>
        <w:rPr>
          <w:spacing w:val="-2"/>
        </w:rPr>
        <w:t xml:space="preserve">сетей</w:t>
      </w:r>
      <w:bookmarkEnd w:id="244"/>
      <w:r/>
      <w:bookmarkEnd w:id="245"/>
      <w:r/>
      <w:r/>
    </w:p>
    <w:p>
      <w:pPr>
        <w:pStyle w:val="1247"/>
        <w:ind w:left="118" w:right="146" w:firstLine="707"/>
        <w:jc w:val="both"/>
        <w:spacing w:before="115"/>
      </w:pPr>
      <w:r>
        <w:t xml:space="preserve">Для определения надёжности системы коммунального теплоснабжения используются критерии, ха</w:t>
      </w:r>
      <w:r>
        <w:t xml:space="preserve">рактеризующие состояние электроснабжения, водоснабжения, топливоснабжения источников теплоты, соответствие мощности теплоисточников и пропускной способности тепловых сетей расчётным тепловым нагрузкам, техническое состояние и резервирование тепловых сетей.</w:t>
      </w:r>
      <w:r/>
    </w:p>
    <w:p>
      <w:pPr>
        <w:ind w:left="1355" w:right="1439"/>
        <w:jc w:val="center"/>
        <w:spacing w:line="189" w:lineRule="auto"/>
        <w:rPr>
          <w:i/>
          <w:sz w:val="14"/>
        </w:rPr>
      </w:pPr>
      <w:r>
        <w:rPr>
          <w:lang w:eastAsia="ru-RU"/>
        </w:rPr>
        <mc:AlternateContent>
          <mc:Choice Requires="wpg">
            <w:drawing>
              <wp:anchor xmlns:wp="http://schemas.openxmlformats.org/drawingml/2006/wordprocessingDrawing" xmlns:wp14="http://schemas.microsoft.com/office/word/2010/wordprocessingDrawing" distT="0" distB="0" distL="114300" distR="114300" simplePos="0" relativeHeight="251658752" behindDoc="1" locked="0" layoutInCell="1" allowOverlap="1">
                <wp:simplePos x="0" y="0"/>
                <wp:positionH relativeFrom="page">
                  <wp:posOffset>3140075</wp:posOffset>
                </wp:positionH>
                <wp:positionV relativeFrom="paragraph">
                  <wp:posOffset>204470</wp:posOffset>
                </wp:positionV>
                <wp:extent cx="1913255" cy="0"/>
                <wp:effectExtent l="0" t="0" r="0" b="0"/>
                <wp:wrapNone/>
                <wp:docPr id="10" name="Line 5"/>
                <wp:cNvGraphicFramePr/>
                <a:graphic xmlns:a="http://schemas.openxmlformats.org/drawingml/2006/main">
                  <a:graphicData uri="http://schemas.microsoft.com/office/word/2010/wordprocessingShape">
                    <wps:wsp>
                      <wps:cNvPr id="0" name=""/>
                      <wps:cNvSpPr/>
                      <wps:spPr bwMode="auto">
                        <a:xfrm>
                          <a:off x="0" y="0"/>
                          <a:ext cx="1913255" cy="0"/>
                        </a:xfrm>
                        <a:prstGeom prst="line">
                          <a:avLst/>
                        </a:prstGeom>
                        <a:noFill/>
                        <a:ln w="6490">
                          <a:solidFill>
                            <a:srgbClr val="000000"/>
                          </a:solidFill>
                          <a:round/>
                          <a:headEnd/>
                          <a:tailEnd/>
                        </a:ln>
                      </wps:spPr>
                      <wps:bodyPr rot="0">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line id="shape 155" o:spid="_x0000_s155" style="position:absolute;left:0;text-align:left;z-index:-251658752;mso-wrap-distance-left:9.00pt;mso-wrap-distance-top:0.00pt;mso-wrap-distance-right:9.00pt;mso-wrap-distance-bottom:0.00pt;visibility:visible;" from="247.2pt,16.1pt" to="397.9pt,16.1pt" filled="f" strokecolor="#000000" strokeweight="0.51pt"/>
            </w:pict>
          </mc:Fallback>
        </mc:AlternateContent>
      </w:r>
      <w:r>
        <w:rPr>
          <w:i/>
          <w:position w:val="-15"/>
          <w:sz w:val="24"/>
        </w:rPr>
        <w:t xml:space="preserve">К</w:t>
      </w:r>
      <w:r>
        <w:rPr>
          <w:i/>
          <w:spacing w:val="22"/>
          <w:position w:val="-15"/>
          <w:sz w:val="24"/>
        </w:rPr>
        <w:t xml:space="preserve"> </w:t>
      </w:r>
      <w:r>
        <w:rPr>
          <w:rFonts w:ascii="Symbol" w:hAnsi="Symbol"/>
          <w:position w:val="-15"/>
          <w:sz w:val="24"/>
        </w:rPr>
        <w:t xml:space="preserve"></w:t>
      </w:r>
      <w:r>
        <w:rPr>
          <w:spacing w:val="25"/>
          <w:position w:val="-15"/>
          <w:sz w:val="24"/>
        </w:rPr>
        <w:t xml:space="preserve"> </w:t>
      </w:r>
      <w:r>
        <w:rPr>
          <w:i/>
          <w:spacing w:val="10"/>
          <w:sz w:val="24"/>
        </w:rPr>
        <w:t xml:space="preserve">К</w:t>
      </w:r>
      <w:r>
        <w:rPr>
          <w:i/>
          <w:spacing w:val="10"/>
          <w:position w:val="-5"/>
          <w:sz w:val="14"/>
        </w:rPr>
        <w:t xml:space="preserve">Э</w:t>
      </w:r>
      <w:r>
        <w:rPr>
          <w:i/>
          <w:spacing w:val="43"/>
          <w:position w:val="-5"/>
          <w:sz w:val="14"/>
        </w:rPr>
        <w:t xml:space="preserve"> </w:t>
      </w:r>
      <w:r>
        <w:rPr>
          <w:rFonts w:ascii="Symbol" w:hAnsi="Symbol"/>
          <w:sz w:val="24"/>
        </w:rPr>
        <w:t xml:space="preserve"></w:t>
      </w:r>
      <w:r>
        <w:rPr>
          <w:spacing w:val="-6"/>
          <w:sz w:val="24"/>
        </w:rPr>
        <w:t xml:space="preserve"> </w:t>
      </w:r>
      <w:r>
        <w:rPr>
          <w:i/>
          <w:spacing w:val="12"/>
          <w:sz w:val="24"/>
        </w:rPr>
        <w:t xml:space="preserve">К</w:t>
      </w:r>
      <w:r>
        <w:rPr>
          <w:i/>
          <w:spacing w:val="12"/>
          <w:position w:val="-5"/>
          <w:sz w:val="14"/>
        </w:rPr>
        <w:t xml:space="preserve">В</w:t>
      </w:r>
      <w:r>
        <w:rPr>
          <w:i/>
          <w:spacing w:val="43"/>
          <w:position w:val="-5"/>
          <w:sz w:val="14"/>
        </w:rPr>
        <w:t xml:space="preserve"> </w:t>
      </w:r>
      <w:r>
        <w:rPr>
          <w:rFonts w:ascii="Symbol" w:hAnsi="Symbol"/>
          <w:sz w:val="24"/>
        </w:rPr>
        <w:t xml:space="preserve"></w:t>
      </w:r>
      <w:r>
        <w:rPr>
          <w:spacing w:val="-5"/>
          <w:sz w:val="24"/>
        </w:rPr>
        <w:t xml:space="preserve"> </w:t>
      </w:r>
      <w:r>
        <w:rPr>
          <w:i/>
          <w:sz w:val="24"/>
        </w:rPr>
        <w:t xml:space="preserve">К</w:t>
      </w:r>
      <w:r>
        <w:rPr>
          <w:i/>
          <w:position w:val="-5"/>
          <w:sz w:val="14"/>
        </w:rPr>
        <w:t xml:space="preserve">Т</w:t>
      </w:r>
      <w:r>
        <w:rPr>
          <w:i/>
          <w:spacing w:val="58"/>
          <w:position w:val="-5"/>
          <w:sz w:val="14"/>
        </w:rPr>
        <w:t xml:space="preserve"> </w:t>
      </w:r>
      <w:r>
        <w:rPr>
          <w:rFonts w:ascii="Symbol" w:hAnsi="Symbol"/>
          <w:sz w:val="24"/>
        </w:rPr>
        <w:t xml:space="preserve"></w:t>
      </w:r>
      <w:r>
        <w:rPr>
          <w:spacing w:val="-6"/>
          <w:sz w:val="24"/>
        </w:rPr>
        <w:t xml:space="preserve"> </w:t>
      </w:r>
      <w:r>
        <w:rPr>
          <w:i/>
          <w:spacing w:val="12"/>
          <w:sz w:val="24"/>
        </w:rPr>
        <w:t xml:space="preserve">К</w:t>
      </w:r>
      <w:r>
        <w:rPr>
          <w:i/>
          <w:spacing w:val="12"/>
          <w:position w:val="-5"/>
          <w:sz w:val="14"/>
        </w:rPr>
        <w:t xml:space="preserve">Б</w:t>
      </w:r>
      <w:r>
        <w:rPr>
          <w:i/>
          <w:spacing w:val="50"/>
          <w:position w:val="-5"/>
          <w:sz w:val="14"/>
        </w:rPr>
        <w:t xml:space="preserve"> </w:t>
      </w:r>
      <w:r>
        <w:rPr>
          <w:rFonts w:ascii="Symbol" w:hAnsi="Symbol"/>
          <w:sz w:val="24"/>
        </w:rPr>
        <w:t xml:space="preserve"></w:t>
      </w:r>
      <w:r>
        <w:rPr>
          <w:spacing w:val="-5"/>
          <w:sz w:val="24"/>
        </w:rPr>
        <w:t xml:space="preserve"> </w:t>
      </w:r>
      <w:r>
        <w:rPr>
          <w:i/>
          <w:spacing w:val="12"/>
          <w:sz w:val="24"/>
        </w:rPr>
        <w:t xml:space="preserve">К</w:t>
      </w:r>
      <w:r>
        <w:rPr>
          <w:i/>
          <w:spacing w:val="12"/>
          <w:position w:val="-5"/>
          <w:sz w:val="14"/>
        </w:rPr>
        <w:t xml:space="preserve">Р</w:t>
      </w:r>
      <w:r>
        <w:rPr>
          <w:i/>
          <w:spacing w:val="43"/>
          <w:position w:val="-5"/>
          <w:sz w:val="14"/>
        </w:rPr>
        <w:t xml:space="preserve"> </w:t>
      </w:r>
      <w:r>
        <w:rPr>
          <w:rFonts w:ascii="Symbol" w:hAnsi="Symbol"/>
          <w:sz w:val="24"/>
        </w:rPr>
        <w:t xml:space="preserve"></w:t>
      </w:r>
      <w:r>
        <w:rPr>
          <w:spacing w:val="-6"/>
          <w:sz w:val="24"/>
        </w:rPr>
        <w:t xml:space="preserve"> </w:t>
      </w:r>
      <w:r>
        <w:rPr>
          <w:i/>
          <w:spacing w:val="-5"/>
          <w:sz w:val="24"/>
        </w:rPr>
        <w:t xml:space="preserve">К</w:t>
      </w:r>
      <w:r>
        <w:rPr>
          <w:i/>
          <w:spacing w:val="-5"/>
          <w:position w:val="-5"/>
          <w:sz w:val="14"/>
        </w:rPr>
        <w:t xml:space="preserve">С</w:t>
      </w:r>
      <w:r>
        <w:rPr>
          <w:i/>
          <w:sz w:val="14"/>
        </w:rPr>
      </w:r>
      <w:r>
        <w:rPr>
          <w:i/>
          <w:sz w:val="14"/>
        </w:rPr>
      </w:r>
    </w:p>
    <w:p>
      <w:pPr>
        <w:ind w:left="401"/>
        <w:jc w:val="center"/>
        <w:spacing w:line="232" w:lineRule="exact"/>
        <w:rPr>
          <w:i/>
          <w:sz w:val="24"/>
        </w:rPr>
      </w:pPr>
      <w:r>
        <w:rPr>
          <w:i/>
          <w:sz w:val="24"/>
        </w:rPr>
        <w:t xml:space="preserve">n</w:t>
      </w:r>
      <w:r>
        <w:rPr>
          <w:i/>
          <w:sz w:val="24"/>
        </w:rPr>
      </w:r>
      <w:r>
        <w:rPr>
          <w:i/>
          <w:sz w:val="24"/>
        </w:rPr>
      </w:r>
    </w:p>
    <w:p>
      <w:pPr>
        <w:pStyle w:val="1247"/>
        <w:ind w:left="826"/>
        <w:spacing w:before="90" w:line="276" w:lineRule="exact"/>
      </w:pPr>
      <w:r>
        <w:rPr>
          <w:spacing w:val="-4"/>
        </w:rPr>
        <w:t xml:space="preserve">где:</w:t>
      </w:r>
      <w:r/>
    </w:p>
    <w:p>
      <w:pPr>
        <w:pStyle w:val="1247"/>
        <w:ind w:left="826" w:right="3188"/>
        <w:spacing w:before="2" w:line="237" w:lineRule="auto"/>
        <w:rPr>
          <w:position w:val="2"/>
        </w:rPr>
      </w:pPr>
      <w:r>
        <w:rPr>
          <w:position w:val="2"/>
        </w:rPr>
        <w:t xml:space="preserve">К</w:t>
      </w:r>
      <w:r>
        <w:rPr>
          <w:sz w:val="16"/>
        </w:rPr>
        <w:t xml:space="preserve">э</w:t>
      </w:r>
      <w:r>
        <w:rPr>
          <w:spacing w:val="13"/>
          <w:sz w:val="16"/>
        </w:rPr>
        <w:t xml:space="preserve"> </w:t>
      </w:r>
      <w:r>
        <w:rPr>
          <w:position w:val="2"/>
        </w:rPr>
        <w:t xml:space="preserve">–</w:t>
      </w:r>
      <w:r>
        <w:rPr>
          <w:spacing w:val="-7"/>
          <w:position w:val="2"/>
        </w:rPr>
        <w:t xml:space="preserve"> </w:t>
      </w:r>
      <w:r>
        <w:rPr>
          <w:position w:val="2"/>
        </w:rPr>
        <w:t xml:space="preserve">надёжность</w:t>
      </w:r>
      <w:r>
        <w:rPr>
          <w:spacing w:val="-6"/>
          <w:position w:val="2"/>
        </w:rPr>
        <w:t xml:space="preserve"> </w:t>
      </w:r>
      <w:r>
        <w:rPr>
          <w:position w:val="2"/>
        </w:rPr>
        <w:t xml:space="preserve">электроснабжения</w:t>
      </w:r>
      <w:r>
        <w:rPr>
          <w:spacing w:val="-7"/>
          <w:position w:val="2"/>
        </w:rPr>
        <w:t xml:space="preserve"> </w:t>
      </w:r>
      <w:r>
        <w:rPr>
          <w:position w:val="2"/>
        </w:rPr>
        <w:t xml:space="preserve">источника</w:t>
      </w:r>
      <w:r>
        <w:rPr>
          <w:spacing w:val="-8"/>
          <w:position w:val="2"/>
        </w:rPr>
        <w:t xml:space="preserve"> </w:t>
      </w:r>
      <w:r>
        <w:rPr>
          <w:position w:val="2"/>
        </w:rPr>
        <w:t xml:space="preserve">теплоты; К</w:t>
      </w:r>
      <w:r>
        <w:rPr>
          <w:sz w:val="16"/>
        </w:rPr>
        <w:t xml:space="preserve">в</w:t>
      </w:r>
      <w:r>
        <w:rPr>
          <w:spacing w:val="40"/>
          <w:sz w:val="16"/>
        </w:rPr>
        <w:t xml:space="preserve"> </w:t>
      </w:r>
      <w:r>
        <w:rPr>
          <w:position w:val="2"/>
        </w:rPr>
        <w:t xml:space="preserve">– надёжность водоснабжения источника теплоты;</w:t>
      </w:r>
      <w:r>
        <w:rPr>
          <w:position w:val="2"/>
        </w:rPr>
      </w:r>
      <w:r>
        <w:rPr>
          <w:position w:val="2"/>
        </w:rPr>
      </w:r>
    </w:p>
    <w:p>
      <w:pPr>
        <w:pStyle w:val="1247"/>
        <w:ind w:left="826" w:right="3188"/>
        <w:spacing w:before="2" w:line="237" w:lineRule="auto"/>
      </w:pPr>
      <w:r>
        <w:rPr>
          <w:position w:val="2"/>
        </w:rPr>
        <w:t xml:space="preserve">К</w:t>
      </w:r>
      <w:r>
        <w:rPr>
          <w:sz w:val="16"/>
        </w:rPr>
        <w:t xml:space="preserve">т</w:t>
      </w:r>
      <w:r>
        <w:rPr>
          <w:spacing w:val="14"/>
          <w:sz w:val="16"/>
        </w:rPr>
        <w:t xml:space="preserve"> </w:t>
      </w:r>
      <w:r>
        <w:rPr>
          <w:position w:val="2"/>
        </w:rPr>
        <w:t xml:space="preserve">–</w:t>
      </w:r>
      <w:r>
        <w:rPr>
          <w:spacing w:val="-2"/>
          <w:position w:val="2"/>
        </w:rPr>
        <w:t xml:space="preserve"> </w:t>
      </w:r>
      <w:r>
        <w:rPr>
          <w:position w:val="2"/>
        </w:rPr>
        <w:t xml:space="preserve">надёжность</w:t>
      </w:r>
      <w:r>
        <w:rPr>
          <w:spacing w:val="-2"/>
          <w:position w:val="2"/>
        </w:rPr>
        <w:t xml:space="preserve"> </w:t>
      </w:r>
      <w:r>
        <w:rPr>
          <w:position w:val="2"/>
        </w:rPr>
        <w:t xml:space="preserve">топливоснабжения</w:t>
      </w:r>
      <w:r>
        <w:rPr>
          <w:spacing w:val="-2"/>
          <w:position w:val="2"/>
        </w:rPr>
        <w:t xml:space="preserve"> </w:t>
      </w:r>
      <w:r>
        <w:rPr>
          <w:position w:val="2"/>
        </w:rPr>
        <w:t xml:space="preserve">источника</w:t>
      </w:r>
      <w:r>
        <w:rPr>
          <w:spacing w:val="-3"/>
          <w:position w:val="2"/>
        </w:rPr>
        <w:t xml:space="preserve"> </w:t>
      </w:r>
      <w:r>
        <w:rPr>
          <w:spacing w:val="-2"/>
          <w:position w:val="2"/>
        </w:rPr>
        <w:t xml:space="preserve">теплоты;</w:t>
      </w:r>
      <w:r/>
    </w:p>
    <w:p>
      <w:pPr>
        <w:pStyle w:val="1247"/>
        <w:ind w:left="118" w:right="153" w:firstLine="707"/>
        <w:jc w:val="both"/>
      </w:pPr>
      <w:r>
        <w:rPr>
          <w:position w:val="2"/>
        </w:rPr>
        <w:t xml:space="preserve">К</w:t>
      </w:r>
      <w:r>
        <w:rPr>
          <w:sz w:val="16"/>
        </w:rPr>
        <w:t xml:space="preserve">б</w:t>
      </w:r>
      <w:r>
        <w:rPr>
          <w:spacing w:val="40"/>
          <w:sz w:val="16"/>
        </w:rPr>
        <w:t xml:space="preserve"> </w:t>
      </w:r>
      <w:r>
        <w:rPr>
          <w:position w:val="2"/>
        </w:rPr>
        <w:t xml:space="preserve">– размер дефицита (соответствие тепловой мощности источников теплоты и </w:t>
      </w:r>
      <w:r>
        <w:t xml:space="preserve">пропускной способности тепловых сетей расчётным тепловым нагрузкам потребителей);</w:t>
      </w:r>
      <w:r/>
    </w:p>
    <w:p>
      <w:pPr>
        <w:pStyle w:val="1247"/>
        <w:ind w:left="118" w:right="146" w:firstLine="707"/>
        <w:jc w:val="both"/>
      </w:pPr>
      <w:r>
        <w:rPr>
          <w:position w:val="2"/>
        </w:rPr>
        <w:t xml:space="preserve">К</w:t>
      </w:r>
      <w:r>
        <w:rPr>
          <w:sz w:val="16"/>
        </w:rPr>
        <w:t xml:space="preserve">р</w:t>
      </w:r>
      <w:r>
        <w:rPr>
          <w:spacing w:val="23"/>
          <w:sz w:val="16"/>
        </w:rPr>
        <w:t xml:space="preserve"> </w:t>
      </w:r>
      <w:r>
        <w:rPr>
          <w:position w:val="2"/>
        </w:rPr>
        <w:t xml:space="preserve">– коэффициент резервирования, который определяется отношением резервируемой </w:t>
      </w:r>
      <w:r>
        <w:t xml:space="preserve">на уровне центрального теплового пункта (квартала, микрорайона) расчётной тепловой нагрузи к сумме расчётных тепловых нагрузок подлежащих резервированию потребителей, подключённых к данному тепловому пункту;</w:t>
      </w:r>
      <w:r/>
    </w:p>
    <w:p>
      <w:pPr>
        <w:pStyle w:val="1247"/>
        <w:ind w:left="118" w:right="152" w:firstLine="707"/>
        <w:jc w:val="both"/>
        <w:spacing w:line="237" w:lineRule="auto"/>
      </w:pPr>
      <w:r>
        <w:rPr>
          <w:position w:val="2"/>
        </w:rPr>
        <w:t xml:space="preserve">К</w:t>
      </w:r>
      <w:r>
        <w:rPr>
          <w:sz w:val="16"/>
        </w:rPr>
        <w:t xml:space="preserve">с</w:t>
      </w:r>
      <w:r>
        <w:rPr>
          <w:spacing w:val="40"/>
          <w:sz w:val="16"/>
        </w:rPr>
        <w:t xml:space="preserve"> </w:t>
      </w:r>
      <w:r>
        <w:rPr>
          <w:position w:val="2"/>
        </w:rPr>
        <w:t xml:space="preserve">– коэффициент состояния тепловых сетей, характеризуемый наличием ветхих, </w:t>
      </w:r>
      <w:r>
        <w:t xml:space="preserve">подлежащих замене трубопроводов.</w:t>
      </w:r>
      <w:r/>
    </w:p>
    <w:p>
      <w:pPr>
        <w:pStyle w:val="1247"/>
        <w:ind w:left="118" w:right="144" w:firstLine="707"/>
        <w:jc w:val="both"/>
      </w:pPr>
      <w:r>
        <w:t xml:space="preserve">Данные критерии зависят от наличия резервного электро-, водо-, топливоснабжения, состояния тепловых сетей и пр., и определяются индивидуально для каждой системы теплоснабжения в соответствие с «Организационно-методичес</w:t>
      </w:r>
      <w:r>
        <w:t xml:space="preserve">кими рекомендациями по подготовке к проведению отопительного периода и повышению надёжности систем коммунального теплоснабжения в городах и населённых пунктах Российской Федерации» МДС 41-6.2000 (утверждён приказом Госстроя РФ от 6 сентября 2000 г. № 203).</w:t>
      </w:r>
      <w:r/>
    </w:p>
    <w:p>
      <w:pPr>
        <w:pStyle w:val="1247"/>
        <w:ind w:left="826"/>
        <w:jc w:val="both"/>
      </w:pPr>
      <w:r>
        <w:t xml:space="preserve">Существует</w:t>
      </w:r>
      <w:r>
        <w:rPr>
          <w:spacing w:val="-5"/>
        </w:rPr>
        <w:t xml:space="preserve"> </w:t>
      </w:r>
      <w:r>
        <w:t xml:space="preserve">несколько</w:t>
      </w:r>
      <w:r>
        <w:rPr>
          <w:spacing w:val="-3"/>
        </w:rPr>
        <w:t xml:space="preserve"> </w:t>
      </w:r>
      <w:r>
        <w:t xml:space="preserve">степеней</w:t>
      </w:r>
      <w:r>
        <w:rPr>
          <w:spacing w:val="-3"/>
        </w:rPr>
        <w:t xml:space="preserve"> </w:t>
      </w:r>
      <w:r>
        <w:t xml:space="preserve">надёжности</w:t>
      </w:r>
      <w:r>
        <w:rPr>
          <w:spacing w:val="-2"/>
        </w:rPr>
        <w:t xml:space="preserve"> </w:t>
      </w:r>
      <w:r>
        <w:t xml:space="preserve">системы</w:t>
      </w:r>
      <w:r>
        <w:rPr>
          <w:spacing w:val="-3"/>
        </w:rPr>
        <w:t xml:space="preserve"> </w:t>
      </w:r>
      <w:r>
        <w:rPr>
          <w:spacing w:val="-2"/>
        </w:rPr>
        <w:t xml:space="preserve">теплоснабжения:</w:t>
      </w:r>
      <w:r/>
    </w:p>
    <w:p>
      <w:pPr>
        <w:pStyle w:val="1250"/>
        <w:numPr>
          <w:ilvl w:val="0"/>
          <w:numId w:val="11"/>
        </w:numPr>
        <w:ind w:left="966" w:hanging="140"/>
        <w:tabs>
          <w:tab w:val="left" w:pos="966" w:leader="none"/>
        </w:tabs>
        <w:rPr>
          <w:sz w:val="24"/>
        </w:rPr>
      </w:pPr>
      <w:r>
        <w:rPr>
          <w:sz w:val="24"/>
        </w:rPr>
        <w:t xml:space="preserve">высоконадёжные</w:t>
      </w:r>
      <w:r>
        <w:rPr>
          <w:spacing w:val="-14"/>
          <w:sz w:val="24"/>
        </w:rPr>
        <w:t xml:space="preserve"> </w:t>
      </w:r>
      <w:r>
        <w:rPr>
          <w:sz w:val="24"/>
        </w:rPr>
        <w:t xml:space="preserve">-</w:t>
      </w:r>
      <w:r>
        <w:rPr>
          <w:spacing w:val="-13"/>
          <w:sz w:val="24"/>
        </w:rPr>
        <w:t xml:space="preserve"> </w:t>
      </w:r>
      <w:r>
        <w:rPr>
          <w:spacing w:val="-2"/>
          <w:sz w:val="24"/>
        </w:rPr>
        <w:t xml:space="preserve">К&gt;0,9;</w:t>
      </w:r>
      <w:r>
        <w:rPr>
          <w:sz w:val="24"/>
        </w:rPr>
      </w:r>
      <w:r>
        <w:rPr>
          <w:sz w:val="24"/>
        </w:rPr>
      </w:r>
    </w:p>
    <w:p>
      <w:pPr>
        <w:pStyle w:val="1247"/>
        <w:ind w:left="826"/>
        <w:jc w:val="both"/>
      </w:pPr>
      <w:r>
        <w:t xml:space="preserve">-</w:t>
      </w:r>
      <w:r>
        <w:rPr>
          <w:spacing w:val="-7"/>
        </w:rPr>
        <w:t xml:space="preserve"> </w:t>
      </w:r>
      <w:r>
        <w:t xml:space="preserve">надёжные</w:t>
      </w:r>
      <w:r>
        <w:rPr>
          <w:spacing w:val="-6"/>
        </w:rPr>
        <w:t xml:space="preserve"> </w:t>
      </w:r>
      <w:r>
        <w:t xml:space="preserve">-</w:t>
      </w:r>
      <w:r>
        <w:rPr>
          <w:spacing w:val="-6"/>
        </w:rPr>
        <w:t xml:space="preserve"> </w:t>
      </w:r>
      <w:r>
        <w:rPr>
          <w:spacing w:val="-2"/>
        </w:rPr>
        <w:t xml:space="preserve">0,75&lt;К&lt;0,89;</w:t>
      </w:r>
      <w:r/>
    </w:p>
    <w:p>
      <w:pPr>
        <w:pStyle w:val="1250"/>
        <w:numPr>
          <w:ilvl w:val="0"/>
          <w:numId w:val="11"/>
        </w:numPr>
        <w:ind w:left="966" w:hanging="140"/>
        <w:tabs>
          <w:tab w:val="left" w:pos="966" w:leader="none"/>
        </w:tabs>
        <w:rPr>
          <w:sz w:val="24"/>
        </w:rPr>
      </w:pPr>
      <w:r>
        <w:rPr>
          <w:sz w:val="24"/>
        </w:rPr>
        <w:t xml:space="preserve">малонадёжные</w:t>
      </w:r>
      <w:r>
        <w:rPr>
          <w:spacing w:val="-10"/>
          <w:sz w:val="24"/>
        </w:rPr>
        <w:t xml:space="preserve"> </w:t>
      </w:r>
      <w:r>
        <w:rPr>
          <w:sz w:val="24"/>
        </w:rPr>
        <w:t xml:space="preserve">-</w:t>
      </w:r>
      <w:r>
        <w:rPr>
          <w:spacing w:val="-11"/>
          <w:sz w:val="24"/>
        </w:rPr>
        <w:t xml:space="preserve"> </w:t>
      </w:r>
      <w:r>
        <w:rPr>
          <w:spacing w:val="-2"/>
          <w:sz w:val="24"/>
        </w:rPr>
        <w:t xml:space="preserve">0,5&lt;К&lt;0,74;</w:t>
      </w:r>
      <w:r>
        <w:rPr>
          <w:sz w:val="24"/>
        </w:rPr>
      </w:r>
      <w:r>
        <w:rPr>
          <w:sz w:val="24"/>
        </w:rPr>
      </w:r>
    </w:p>
    <w:p>
      <w:pPr>
        <w:pStyle w:val="1250"/>
        <w:numPr>
          <w:ilvl w:val="0"/>
          <w:numId w:val="11"/>
        </w:numPr>
        <w:ind w:left="966" w:hanging="140"/>
        <w:tabs>
          <w:tab w:val="left" w:pos="966" w:leader="none"/>
        </w:tabs>
        <w:rPr>
          <w:sz w:val="24"/>
        </w:rPr>
      </w:pPr>
      <w:r>
        <w:rPr>
          <w:sz w:val="24"/>
        </w:rPr>
        <w:t xml:space="preserve">ненадёжные</w:t>
      </w:r>
      <w:r>
        <w:rPr>
          <w:spacing w:val="-10"/>
          <w:sz w:val="24"/>
        </w:rPr>
        <w:t xml:space="preserve"> </w:t>
      </w:r>
      <w:r>
        <w:rPr>
          <w:sz w:val="24"/>
        </w:rPr>
        <w:t xml:space="preserve">-</w:t>
      </w:r>
      <w:r>
        <w:rPr>
          <w:spacing w:val="-10"/>
          <w:sz w:val="24"/>
        </w:rPr>
        <w:t xml:space="preserve"> </w:t>
      </w:r>
      <w:r>
        <w:rPr>
          <w:spacing w:val="-2"/>
          <w:sz w:val="24"/>
        </w:rPr>
        <w:t xml:space="preserve">К&lt;0,5.</w:t>
      </w:r>
      <w:r>
        <w:rPr>
          <w:sz w:val="24"/>
        </w:rPr>
      </w:r>
      <w:r>
        <w:rPr>
          <w:sz w:val="24"/>
        </w:rPr>
      </w:r>
    </w:p>
    <w:p>
      <w:pPr>
        <w:ind w:left="142" w:right="129" w:firstLine="709"/>
        <w:jc w:val="both"/>
        <w:tabs>
          <w:tab w:val="left" w:pos="851" w:leader="none"/>
        </w:tabs>
        <w:rPr>
          <w:sz w:val="24"/>
        </w:rPr>
      </w:pPr>
      <w:r>
        <w:rPr>
          <w:sz w:val="24"/>
        </w:rPr>
        <w:t xml:space="preserve">За рассматриваемый период отказы на участках тепловых сетей не происходили.</w:t>
      </w:r>
      <w:r>
        <w:rPr>
          <w:sz w:val="24"/>
        </w:rPr>
      </w:r>
      <w:r>
        <w:rPr>
          <w:sz w:val="24"/>
        </w:rPr>
      </w:r>
    </w:p>
    <w:p>
      <w:pPr>
        <w:rPr>
          <w:b/>
          <w:bCs/>
          <w:sz w:val="24"/>
          <w:szCs w:val="24"/>
          <w:lang w:eastAsia="ru-RU"/>
        </w:rPr>
      </w:pPr>
      <w:r/>
      <w:bookmarkStart w:id="246" w:name="_bookmark148"/>
      <w:r/>
      <w:bookmarkStart w:id="247" w:name="_bookmark149"/>
      <w:r/>
      <w:bookmarkStart w:id="248" w:name="_Toc130231943"/>
      <w:r/>
      <w:bookmarkStart w:id="249" w:name="_Toc165540724"/>
      <w:r/>
      <w:bookmarkEnd w:id="246"/>
      <w:r/>
      <w:bookmarkEnd w:id="247"/>
      <w:r>
        <w:rPr>
          <w:b/>
          <w:bCs/>
          <w:sz w:val="24"/>
          <w:szCs w:val="24"/>
          <w:lang w:eastAsia="ru-RU"/>
        </w:rPr>
      </w:r>
      <w:r>
        <w:rPr>
          <w:b/>
          <w:bCs/>
          <w:sz w:val="24"/>
          <w:szCs w:val="24"/>
          <w:lang w:eastAsia="ru-RU"/>
        </w:rPr>
      </w:r>
    </w:p>
    <w:p>
      <w:pPr>
        <w:rPr>
          <w:b/>
          <w:bCs/>
          <w:sz w:val="24"/>
          <w:szCs w:val="24"/>
          <w:lang w:eastAsia="ru-RU"/>
        </w:rPr>
      </w:pPr>
      <w:r>
        <w:rPr>
          <w:lang w:eastAsia="ru-RU"/>
        </w:rPr>
        <w:br w:type="page" w:clear="all"/>
      </w:r>
      <w:r>
        <w:rPr>
          <w:b/>
          <w:bCs/>
          <w:sz w:val="24"/>
          <w:szCs w:val="24"/>
          <w:lang w:eastAsia="ru-RU"/>
        </w:rPr>
      </w:r>
      <w:r>
        <w:rPr>
          <w:b/>
          <w:bCs/>
          <w:sz w:val="24"/>
          <w:szCs w:val="24"/>
          <w:lang w:eastAsia="ru-RU"/>
        </w:rPr>
      </w:r>
    </w:p>
    <w:p>
      <w:pPr>
        <w:pStyle w:val="1248"/>
        <w:ind w:left="1373" w:hanging="522"/>
        <w:spacing w:before="0"/>
      </w:pPr>
      <w:r>
        <w:rPr>
          <w:lang w:eastAsia="ru-RU"/>
        </w:rPr>
        <w:t xml:space="preserve">1.9.3 </w:t>
      </w:r>
      <w:r>
        <w:t xml:space="preserve">Частота</w:t>
      </w:r>
      <w:r>
        <w:rPr>
          <w:spacing w:val="-4"/>
        </w:rPr>
        <w:t xml:space="preserve"> </w:t>
      </w:r>
      <w:r>
        <w:t xml:space="preserve">отключений</w:t>
      </w:r>
      <w:r>
        <w:rPr>
          <w:spacing w:val="-4"/>
        </w:rPr>
        <w:t xml:space="preserve"> </w:t>
      </w:r>
      <w:r>
        <w:rPr>
          <w:spacing w:val="-2"/>
        </w:rPr>
        <w:t xml:space="preserve">потребителей</w:t>
      </w:r>
      <w:bookmarkEnd w:id="248"/>
      <w:r/>
      <w:bookmarkEnd w:id="249"/>
      <w:r/>
      <w:r/>
    </w:p>
    <w:p>
      <w:pPr>
        <w:pStyle w:val="1247"/>
        <w:ind w:left="118" w:right="152" w:firstLine="707"/>
        <w:jc w:val="both"/>
        <w:spacing w:before="115"/>
      </w:pPr>
      <w:r>
        <w:t xml:space="preserve">Значительные аварийные отключения потребителей отсутствуют. Перерывы прекращения подачи тепловой энергии не превышали величины 54 ч, что соответствует второй категории потребителей согласно СП 124.13330.2012 «Тепловые сети».</w:t>
      </w:r>
      <w:r/>
    </w:p>
    <w:p>
      <w:pPr>
        <w:pStyle w:val="1247"/>
        <w:spacing w:before="1"/>
        <w:rPr>
          <w:sz w:val="27"/>
        </w:rPr>
      </w:pPr>
      <w:r>
        <w:rPr>
          <w:sz w:val="27"/>
        </w:rPr>
      </w:r>
      <w:r>
        <w:rPr>
          <w:sz w:val="27"/>
        </w:rPr>
      </w:r>
      <w:r>
        <w:rPr>
          <w:sz w:val="27"/>
        </w:rPr>
      </w:r>
    </w:p>
    <w:p>
      <w:pPr>
        <w:pStyle w:val="1248"/>
        <w:ind w:left="119" w:firstLine="731"/>
        <w:jc w:val="left"/>
        <w:spacing w:before="0"/>
      </w:pPr>
      <w:r/>
      <w:bookmarkStart w:id="250" w:name="_bookmark150"/>
      <w:r/>
      <w:bookmarkStart w:id="251" w:name="_Toc130231944"/>
      <w:r/>
      <w:bookmarkStart w:id="252" w:name="_Toc165540725"/>
      <w:r/>
      <w:bookmarkEnd w:id="250"/>
      <w:r>
        <w:rPr>
          <w:lang w:eastAsia="ru-RU"/>
        </w:rPr>
        <w:t xml:space="preserve">1.9.4 </w:t>
      </w:r>
      <w:r>
        <w:t xml:space="preserve">Поток</w:t>
      </w:r>
      <w:r>
        <w:rPr>
          <w:spacing w:val="40"/>
        </w:rPr>
        <w:t xml:space="preserve"> </w:t>
      </w:r>
      <w:r>
        <w:t xml:space="preserve">(частота)</w:t>
      </w:r>
      <w:r>
        <w:rPr>
          <w:spacing w:val="40"/>
        </w:rPr>
        <w:t xml:space="preserve"> </w:t>
      </w:r>
      <w:r>
        <w:t xml:space="preserve">и</w:t>
      </w:r>
      <w:r>
        <w:rPr>
          <w:spacing w:val="40"/>
        </w:rPr>
        <w:t xml:space="preserve"> </w:t>
      </w:r>
      <w:r>
        <w:t xml:space="preserve">время</w:t>
      </w:r>
      <w:r>
        <w:rPr>
          <w:spacing w:val="40"/>
        </w:rPr>
        <w:t xml:space="preserve"> </w:t>
      </w:r>
      <w:r>
        <w:t xml:space="preserve">восстановления</w:t>
      </w:r>
      <w:r>
        <w:rPr>
          <w:spacing w:val="40"/>
        </w:rPr>
        <w:t xml:space="preserve"> </w:t>
      </w:r>
      <w:r>
        <w:t xml:space="preserve">теплоснабжения</w:t>
      </w:r>
      <w:r>
        <w:rPr>
          <w:spacing w:val="80"/>
        </w:rPr>
        <w:t xml:space="preserve"> </w:t>
      </w:r>
      <w:r>
        <w:t xml:space="preserve">потребителей</w:t>
      </w:r>
      <w:r>
        <w:rPr>
          <w:spacing w:val="40"/>
        </w:rPr>
        <w:t xml:space="preserve"> </w:t>
      </w:r>
      <w:r>
        <w:t xml:space="preserve">после отключений</w:t>
      </w:r>
      <w:bookmarkEnd w:id="251"/>
      <w:r/>
      <w:bookmarkEnd w:id="252"/>
      <w:r/>
      <w:r/>
    </w:p>
    <w:p>
      <w:pPr>
        <w:pStyle w:val="1247"/>
        <w:ind w:left="118" w:firstLine="707"/>
        <w:spacing w:before="115"/>
      </w:pPr>
      <w:r>
        <w:t xml:space="preserve">Среднее</w:t>
      </w:r>
      <w:r>
        <w:rPr>
          <w:spacing w:val="80"/>
        </w:rPr>
        <w:t xml:space="preserve"> </w:t>
      </w:r>
      <w:r>
        <w:t xml:space="preserve">время</w:t>
      </w:r>
      <w:r>
        <w:rPr>
          <w:spacing w:val="80"/>
        </w:rPr>
        <w:t xml:space="preserve"> </w:t>
      </w:r>
      <w:r>
        <w:t xml:space="preserve">восстановления</w:t>
      </w:r>
      <w:r>
        <w:rPr>
          <w:spacing w:val="80"/>
        </w:rPr>
        <w:t xml:space="preserve"> </w:t>
      </w:r>
      <w:r>
        <w:t xml:space="preserve">теплоснабжения</w:t>
      </w:r>
      <w:r>
        <w:rPr>
          <w:spacing w:val="80"/>
        </w:rPr>
        <w:t xml:space="preserve"> </w:t>
      </w:r>
      <w:r>
        <w:t xml:space="preserve">потребителей</w:t>
      </w:r>
      <w:r>
        <w:rPr>
          <w:spacing w:val="80"/>
        </w:rPr>
        <w:t xml:space="preserve"> </w:t>
      </w:r>
      <w:r>
        <w:t xml:space="preserve">после</w:t>
      </w:r>
      <w:r>
        <w:rPr>
          <w:spacing w:val="80"/>
        </w:rPr>
        <w:t xml:space="preserve"> </w:t>
      </w:r>
      <w:r>
        <w:t xml:space="preserve">аварийных</w:t>
      </w:r>
      <w:r>
        <w:rPr>
          <w:spacing w:val="40"/>
        </w:rPr>
        <w:t xml:space="preserve"> </w:t>
      </w:r>
      <w:r>
        <w:t xml:space="preserve">отключений</w:t>
      </w:r>
      <w:r>
        <w:rPr>
          <w:spacing w:val="29"/>
        </w:rPr>
        <w:t xml:space="preserve"> </w:t>
      </w:r>
      <w:r>
        <w:t xml:space="preserve">не</w:t>
      </w:r>
      <w:r>
        <w:rPr>
          <w:spacing w:val="29"/>
        </w:rPr>
        <w:t xml:space="preserve"> </w:t>
      </w:r>
      <w:r>
        <w:t xml:space="preserve">превышает</w:t>
      </w:r>
      <w:r>
        <w:rPr>
          <w:spacing w:val="29"/>
        </w:rPr>
        <w:t xml:space="preserve"> </w:t>
      </w:r>
      <w:r>
        <w:t xml:space="preserve">15</w:t>
      </w:r>
      <w:r>
        <w:rPr>
          <w:spacing w:val="29"/>
        </w:rPr>
        <w:t xml:space="preserve"> </w:t>
      </w:r>
      <w:r>
        <w:t xml:space="preserve">ч,</w:t>
      </w:r>
      <w:r>
        <w:rPr>
          <w:spacing w:val="29"/>
        </w:rPr>
        <w:t xml:space="preserve"> </w:t>
      </w:r>
      <w:r>
        <w:t xml:space="preserve">что</w:t>
      </w:r>
      <w:r>
        <w:rPr>
          <w:spacing w:val="29"/>
        </w:rPr>
        <w:t xml:space="preserve"> </w:t>
      </w:r>
      <w:r>
        <w:t xml:space="preserve">соответствует</w:t>
      </w:r>
      <w:r>
        <w:rPr>
          <w:spacing w:val="30"/>
        </w:rPr>
        <w:t xml:space="preserve"> </w:t>
      </w:r>
      <w:r>
        <w:t xml:space="preserve">требованиям</w:t>
      </w:r>
      <w:r>
        <w:rPr>
          <w:spacing w:val="29"/>
        </w:rPr>
        <w:t xml:space="preserve"> </w:t>
      </w:r>
      <w:r>
        <w:t xml:space="preserve">п.</w:t>
      </w:r>
      <w:r>
        <w:rPr>
          <w:spacing w:val="28"/>
        </w:rPr>
        <w:t xml:space="preserve"> </w:t>
      </w:r>
      <w:r>
        <w:t xml:space="preserve">6.10</w:t>
      </w:r>
      <w:r>
        <w:rPr>
          <w:spacing w:val="29"/>
        </w:rPr>
        <w:t xml:space="preserve"> </w:t>
      </w:r>
      <w:r>
        <w:t xml:space="preserve">СП</w:t>
      </w:r>
      <w:r>
        <w:rPr>
          <w:spacing w:val="29"/>
        </w:rPr>
        <w:t xml:space="preserve"> </w:t>
      </w:r>
      <w:r>
        <w:rPr>
          <w:spacing w:val="-2"/>
        </w:rPr>
        <w:t xml:space="preserve">124.13330.2012</w:t>
      </w:r>
      <w:r/>
    </w:p>
    <w:p>
      <w:pPr>
        <w:pStyle w:val="1247"/>
        <w:ind w:left="118"/>
        <w:rPr>
          <w:spacing w:val="-2"/>
        </w:rPr>
      </w:pPr>
      <w:r>
        <w:t xml:space="preserve">«Тепловые</w:t>
      </w:r>
      <w:r>
        <w:rPr>
          <w:spacing w:val="-5"/>
        </w:rPr>
        <w:t xml:space="preserve"> </w:t>
      </w:r>
      <w:r>
        <w:rPr>
          <w:spacing w:val="-2"/>
        </w:rPr>
        <w:t xml:space="preserve">сети».</w:t>
      </w:r>
      <w:bookmarkStart w:id="253" w:name="_bookmark151"/>
      <w:r/>
      <w:bookmarkStart w:id="254" w:name="_Toc130231945"/>
      <w:r/>
      <w:bookmarkEnd w:id="253"/>
      <w:r>
        <w:rPr>
          <w:spacing w:val="-2"/>
        </w:rPr>
      </w:r>
      <w:r>
        <w:rPr>
          <w:spacing w:val="-2"/>
        </w:rPr>
      </w:r>
    </w:p>
    <w:p>
      <w:pPr>
        <w:pStyle w:val="1247"/>
        <w:ind w:left="118"/>
        <w:rPr>
          <w:spacing w:val="-2"/>
        </w:rPr>
      </w:pPr>
      <w:r>
        <w:rPr>
          <w:spacing w:val="-2"/>
        </w:rPr>
      </w:r>
      <w:r>
        <w:rPr>
          <w:spacing w:val="-2"/>
        </w:rPr>
      </w:r>
      <w:r>
        <w:rPr>
          <w:spacing w:val="-2"/>
        </w:rPr>
      </w:r>
    </w:p>
    <w:p>
      <w:pPr>
        <w:pStyle w:val="1247"/>
        <w:ind w:left="118" w:firstLine="733"/>
        <w:rPr>
          <w:b/>
        </w:rPr>
      </w:pPr>
      <w:r>
        <w:rPr>
          <w:b/>
          <w:lang w:eastAsia="ru-RU"/>
        </w:rPr>
        <w:t xml:space="preserve">1.9.5 </w:t>
      </w:r>
      <w:r>
        <w:rPr>
          <w:b/>
        </w:rPr>
        <w:t xml:space="preserve">Графические</w:t>
      </w:r>
      <w:r>
        <w:rPr>
          <w:b/>
          <w:spacing w:val="-15"/>
        </w:rPr>
        <w:t xml:space="preserve"> </w:t>
      </w:r>
      <w:r>
        <w:rPr>
          <w:b/>
        </w:rPr>
        <w:t xml:space="preserve">материалы</w:t>
      </w:r>
      <w:r>
        <w:rPr>
          <w:b/>
          <w:spacing w:val="-15"/>
        </w:rPr>
        <w:t xml:space="preserve"> </w:t>
      </w:r>
      <w:r>
        <w:rPr>
          <w:b/>
        </w:rPr>
        <w:t xml:space="preserve">(карты-схемы</w:t>
      </w:r>
      <w:r>
        <w:rPr>
          <w:b/>
          <w:spacing w:val="-15"/>
        </w:rPr>
        <w:t xml:space="preserve"> </w:t>
      </w:r>
      <w:r>
        <w:rPr>
          <w:b/>
        </w:rPr>
        <w:t xml:space="preserve">тепловых</w:t>
      </w:r>
      <w:r>
        <w:rPr>
          <w:b/>
          <w:spacing w:val="-14"/>
        </w:rPr>
        <w:t xml:space="preserve"> </w:t>
      </w:r>
      <w:r>
        <w:rPr>
          <w:b/>
        </w:rPr>
        <w:t xml:space="preserve">сетей</w:t>
      </w:r>
      <w:r>
        <w:rPr>
          <w:b/>
          <w:spacing w:val="-13"/>
        </w:rPr>
        <w:t xml:space="preserve"> </w:t>
      </w:r>
      <w:r>
        <w:rPr>
          <w:b/>
        </w:rPr>
        <w:t xml:space="preserve">и</w:t>
      </w:r>
      <w:r>
        <w:rPr>
          <w:b/>
          <w:spacing w:val="-13"/>
        </w:rPr>
        <w:t xml:space="preserve"> </w:t>
      </w:r>
      <w:r>
        <w:rPr>
          <w:b/>
        </w:rPr>
        <w:t xml:space="preserve">зон</w:t>
      </w:r>
      <w:r>
        <w:rPr>
          <w:b/>
          <w:spacing w:val="-14"/>
        </w:rPr>
        <w:t xml:space="preserve"> </w:t>
      </w:r>
      <w:r>
        <w:rPr>
          <w:b/>
        </w:rPr>
        <w:t xml:space="preserve">ненормативной надёжности и безопасности теплоснабжения)</w:t>
      </w:r>
      <w:bookmarkEnd w:id="254"/>
      <w:r>
        <w:rPr>
          <w:b/>
        </w:rPr>
      </w:r>
      <w:r>
        <w:rPr>
          <w:b/>
        </w:rPr>
      </w:r>
    </w:p>
    <w:p>
      <w:pPr>
        <w:pStyle w:val="1247"/>
        <w:ind w:left="118" w:right="149" w:firstLine="707"/>
        <w:jc w:val="both"/>
        <w:spacing w:before="115"/>
      </w:pPr>
      <w:r>
        <w:t xml:space="preserve">Зоны ненормативной надёжности тепловых сетей отсутствуют.</w:t>
      </w:r>
      <w:r/>
    </w:p>
    <w:p>
      <w:pPr>
        <w:pStyle w:val="1247"/>
        <w:ind w:left="119" w:right="147" w:firstLine="709"/>
        <w:jc w:val="both"/>
      </w:pPr>
      <w:r/>
      <w:r/>
    </w:p>
    <w:p>
      <w:pPr>
        <w:pStyle w:val="1248"/>
        <w:ind w:left="119" w:right="142" w:firstLine="731"/>
        <w:spacing w:before="0"/>
      </w:pPr>
      <w:r/>
      <w:bookmarkStart w:id="255" w:name="_bookmark152"/>
      <w:r/>
      <w:bookmarkStart w:id="256" w:name="_Toc130231946"/>
      <w:r/>
      <w:bookmarkStart w:id="257" w:name="_Toc165540726"/>
      <w:r/>
      <w:bookmarkEnd w:id="255"/>
      <w:r>
        <w:rPr>
          <w:lang w:eastAsia="ru-RU"/>
        </w:rPr>
        <w:t xml:space="preserve">1.9.6 </w:t>
      </w:r>
      <w:r>
        <w:t xml:space="preserve">Результаты анализа аварийных ситуаций при теплоснабжении, расследование</w:t>
      </w:r>
      <w:r>
        <w:rPr>
          <w:spacing w:val="-7"/>
        </w:rPr>
        <w:t xml:space="preserve"> </w:t>
      </w:r>
      <w:r>
        <w:t xml:space="preserve">причин</w:t>
      </w:r>
      <w:r>
        <w:rPr>
          <w:spacing w:val="-6"/>
        </w:rPr>
        <w:t xml:space="preserve"> </w:t>
      </w:r>
      <w:r>
        <w:t xml:space="preserve">которых</w:t>
      </w:r>
      <w:r>
        <w:rPr>
          <w:spacing w:val="-6"/>
        </w:rPr>
        <w:t xml:space="preserve"> </w:t>
      </w:r>
      <w:r>
        <w:t xml:space="preserve">осуществляется</w:t>
      </w:r>
      <w:r>
        <w:rPr>
          <w:spacing w:val="-6"/>
        </w:rPr>
        <w:t xml:space="preserve"> </w:t>
      </w:r>
      <w:r>
        <w:t xml:space="preserve">федеральным</w:t>
      </w:r>
      <w:r>
        <w:rPr>
          <w:spacing w:val="-6"/>
        </w:rPr>
        <w:t xml:space="preserve"> </w:t>
      </w:r>
      <w:r>
        <w:t xml:space="preserve">органом</w:t>
      </w:r>
      <w:r>
        <w:rPr>
          <w:spacing w:val="-6"/>
        </w:rPr>
        <w:t xml:space="preserve"> </w:t>
      </w:r>
      <w:r>
        <w:t xml:space="preserve">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w:t>
      </w:r>
      <w:r>
        <w:t xml:space="preserve">ждёнными постановлением Правительства Российской Федерации от 17 октября 2015 г. №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bookmarkEnd w:id="256"/>
      <w:r/>
      <w:bookmarkEnd w:id="257"/>
      <w:r/>
      <w:r/>
    </w:p>
    <w:p>
      <w:pPr>
        <w:pStyle w:val="1247"/>
        <w:ind w:left="118" w:right="144" w:firstLine="707"/>
        <w:jc w:val="both"/>
        <w:spacing w:before="116"/>
      </w:pPr>
      <w:r>
        <w:t xml:space="preserve">Аварийные ситуации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w:t>
      </w:r>
      <w:r>
        <w:rPr>
          <w:spacing w:val="-10"/>
        </w:rPr>
        <w:t xml:space="preserve"> </w:t>
      </w:r>
      <w:r>
        <w:t xml:space="preserve">расследования</w:t>
      </w:r>
      <w:r>
        <w:rPr>
          <w:spacing w:val="-13"/>
        </w:rPr>
        <w:t xml:space="preserve"> </w:t>
      </w:r>
      <w:r>
        <w:t xml:space="preserve">причин</w:t>
      </w:r>
      <w:r>
        <w:rPr>
          <w:spacing w:val="-10"/>
        </w:rPr>
        <w:t xml:space="preserve"> </w:t>
      </w:r>
      <w:r>
        <w:t xml:space="preserve">аварийных</w:t>
      </w:r>
      <w:r>
        <w:rPr>
          <w:spacing w:val="-12"/>
        </w:rPr>
        <w:t xml:space="preserve"> </w:t>
      </w:r>
      <w:r>
        <w:t xml:space="preserve">ситуаций</w:t>
      </w:r>
      <w:r>
        <w:rPr>
          <w:spacing w:val="-10"/>
        </w:rPr>
        <w:t xml:space="preserve"> </w:t>
      </w:r>
      <w:r>
        <w:t xml:space="preserve">при</w:t>
      </w:r>
      <w:r>
        <w:rPr>
          <w:spacing w:val="-10"/>
        </w:rPr>
        <w:t xml:space="preserve"> </w:t>
      </w:r>
      <w:r>
        <w:t xml:space="preserve">теплоснабжении,</w:t>
      </w:r>
      <w:r>
        <w:rPr>
          <w:spacing w:val="-9"/>
        </w:rPr>
        <w:t xml:space="preserve"> </w:t>
      </w:r>
      <w:r>
        <w:t xml:space="preserve">утверждёнными постановлением Правительства Российской Федерации от 17 октября 2015 г. № 1114 «О расследовании</w:t>
      </w:r>
      <w:r>
        <w:rPr>
          <w:spacing w:val="-8"/>
        </w:rPr>
        <w:t xml:space="preserve"> </w:t>
      </w:r>
      <w:r>
        <w:t xml:space="preserve">причин</w:t>
      </w:r>
      <w:r>
        <w:rPr>
          <w:spacing w:val="-11"/>
        </w:rPr>
        <w:t xml:space="preserve"> </w:t>
      </w:r>
      <w:r>
        <w:t xml:space="preserve">аварийных</w:t>
      </w:r>
      <w:r>
        <w:rPr>
          <w:spacing w:val="-8"/>
        </w:rPr>
        <w:t xml:space="preserve"> </w:t>
      </w:r>
      <w:r>
        <w:t xml:space="preserve">ситуаций</w:t>
      </w:r>
      <w:r>
        <w:rPr>
          <w:spacing w:val="-8"/>
        </w:rPr>
        <w:t xml:space="preserve"> </w:t>
      </w:r>
      <w:r>
        <w:t xml:space="preserve">при</w:t>
      </w:r>
      <w:r>
        <w:rPr>
          <w:spacing w:val="-8"/>
        </w:rPr>
        <w:t xml:space="preserve"> </w:t>
      </w:r>
      <w:r>
        <w:t xml:space="preserve">теплоснабжении</w:t>
      </w:r>
      <w:r>
        <w:rPr>
          <w:spacing w:val="-8"/>
        </w:rPr>
        <w:t xml:space="preserve"> </w:t>
      </w:r>
      <w:r>
        <w:t xml:space="preserve">и</w:t>
      </w:r>
      <w:r>
        <w:rPr>
          <w:spacing w:val="-8"/>
        </w:rPr>
        <w:t xml:space="preserve"> </w:t>
      </w:r>
      <w:r>
        <w:t xml:space="preserve">о</w:t>
      </w:r>
      <w:r>
        <w:rPr>
          <w:spacing w:val="-12"/>
        </w:rPr>
        <w:t xml:space="preserve"> </w:t>
      </w:r>
      <w:r>
        <w:t xml:space="preserve">признании</w:t>
      </w:r>
      <w:r>
        <w:rPr>
          <w:spacing w:val="-6"/>
        </w:rPr>
        <w:t xml:space="preserve"> </w:t>
      </w:r>
      <w:r>
        <w:t xml:space="preserve">утратившими силу отдельных положений Правил расследования причин аварий в электроэнергетике», за последние 5 лет в </w:t>
      </w:r>
      <w:r>
        <w:t xml:space="preserve">Юргамышско</w:t>
      </w:r>
      <w:r>
        <w:t xml:space="preserve">м муниципальном округе</w:t>
      </w:r>
      <w:r>
        <w:t xml:space="preserve"> не зафиксированы.</w:t>
      </w:r>
      <w:r/>
    </w:p>
    <w:p>
      <w:pPr>
        <w:pStyle w:val="1247"/>
        <w:spacing w:before="1"/>
        <w:rPr>
          <w:sz w:val="27"/>
        </w:rPr>
      </w:pPr>
      <w:r>
        <w:rPr>
          <w:sz w:val="27"/>
        </w:rPr>
      </w:r>
      <w:r>
        <w:rPr>
          <w:sz w:val="27"/>
        </w:rPr>
      </w:r>
      <w:r>
        <w:rPr>
          <w:sz w:val="27"/>
        </w:rPr>
      </w:r>
    </w:p>
    <w:p>
      <w:pPr>
        <w:pStyle w:val="1248"/>
        <w:ind w:firstLine="733"/>
        <w:jc w:val="left"/>
      </w:pPr>
      <w:r/>
      <w:bookmarkStart w:id="258" w:name="_bookmark153"/>
      <w:r/>
      <w:bookmarkStart w:id="259" w:name="_Toc130231947"/>
      <w:r/>
      <w:bookmarkStart w:id="260" w:name="_Toc165540727"/>
      <w:r/>
      <w:bookmarkEnd w:id="258"/>
      <w:r>
        <w:rPr>
          <w:lang w:eastAsia="ru-RU"/>
        </w:rPr>
        <w:t xml:space="preserve">1.9.7 </w:t>
      </w:r>
      <w:r>
        <w:t xml:space="preserve">Результаты</w:t>
      </w:r>
      <w:r>
        <w:rPr>
          <w:spacing w:val="-15"/>
        </w:rPr>
        <w:t xml:space="preserve"> </w:t>
      </w:r>
      <w:r>
        <w:t xml:space="preserve">анализа</w:t>
      </w:r>
      <w:r>
        <w:rPr>
          <w:spacing w:val="-14"/>
        </w:rPr>
        <w:t xml:space="preserve"> </w:t>
      </w:r>
      <w:r>
        <w:t xml:space="preserve">времени</w:t>
      </w:r>
      <w:r>
        <w:rPr>
          <w:spacing w:val="-14"/>
        </w:rPr>
        <w:t xml:space="preserve"> </w:t>
      </w:r>
      <w:r>
        <w:t xml:space="preserve">восстановления</w:t>
      </w:r>
      <w:r>
        <w:rPr>
          <w:spacing w:val="-15"/>
        </w:rPr>
        <w:t xml:space="preserve"> </w:t>
      </w:r>
      <w:r>
        <w:t xml:space="preserve">теплоснабжения</w:t>
      </w:r>
      <w:r>
        <w:rPr>
          <w:spacing w:val="-15"/>
        </w:rPr>
        <w:t xml:space="preserve"> </w:t>
      </w:r>
      <w:r>
        <w:t xml:space="preserve">потребителей, отключённых в результате аварийных ситуаций при теплоснабжении</w:t>
      </w:r>
      <w:bookmarkEnd w:id="259"/>
      <w:r/>
      <w:bookmarkEnd w:id="260"/>
      <w:r/>
      <w:r/>
    </w:p>
    <w:p>
      <w:pPr>
        <w:pStyle w:val="1247"/>
        <w:ind w:left="118" w:firstLine="707"/>
        <w:spacing w:before="116"/>
      </w:pPr>
      <w:r>
        <w:t xml:space="preserve">Аварийно-восстановительные</w:t>
      </w:r>
      <w:r>
        <w:rPr>
          <w:spacing w:val="30"/>
        </w:rPr>
        <w:t xml:space="preserve"> </w:t>
      </w:r>
      <w:r>
        <w:t xml:space="preserve">ремонтные</w:t>
      </w:r>
      <w:r>
        <w:rPr>
          <w:spacing w:val="30"/>
        </w:rPr>
        <w:t xml:space="preserve"> </w:t>
      </w:r>
      <w:r>
        <w:t xml:space="preserve">работы,</w:t>
      </w:r>
      <w:r>
        <w:rPr>
          <w:spacing w:val="31"/>
        </w:rPr>
        <w:t xml:space="preserve"> </w:t>
      </w:r>
      <w:r>
        <w:t xml:space="preserve">как</w:t>
      </w:r>
      <w:r>
        <w:rPr>
          <w:spacing w:val="30"/>
        </w:rPr>
        <w:t xml:space="preserve"> </w:t>
      </w:r>
      <w:r>
        <w:t xml:space="preserve">правило,</w:t>
      </w:r>
      <w:r>
        <w:rPr>
          <w:spacing w:val="29"/>
        </w:rPr>
        <w:t xml:space="preserve"> </w:t>
      </w:r>
      <w:r>
        <w:t xml:space="preserve">проводятся</w:t>
      </w:r>
      <w:r>
        <w:rPr>
          <w:spacing w:val="31"/>
        </w:rPr>
        <w:t xml:space="preserve"> </w:t>
      </w:r>
      <w:r>
        <w:t xml:space="preserve">в</w:t>
      </w:r>
      <w:r>
        <w:rPr>
          <w:spacing w:val="31"/>
        </w:rPr>
        <w:t xml:space="preserve"> </w:t>
      </w:r>
      <w:r>
        <w:t xml:space="preserve">сжатые сроки в пределах средней статистики затрачиваемого времени.</w:t>
      </w:r>
      <w:r/>
    </w:p>
    <w:p>
      <w:pPr>
        <w:pStyle w:val="1247"/>
        <w:ind w:left="118" w:right="129" w:firstLine="707"/>
        <w:jc w:val="both"/>
      </w:pPr>
      <w:r>
        <w:t xml:space="preserve">Среднее</w:t>
      </w:r>
      <w:r>
        <w:rPr>
          <w:spacing w:val="80"/>
        </w:rPr>
        <w:t xml:space="preserve"> </w:t>
      </w:r>
      <w:r>
        <w:t xml:space="preserve">время</w:t>
      </w:r>
      <w:r>
        <w:rPr>
          <w:spacing w:val="80"/>
        </w:rPr>
        <w:t xml:space="preserve"> </w:t>
      </w:r>
      <w:r>
        <w:t xml:space="preserve">восстановления</w:t>
      </w:r>
      <w:r>
        <w:rPr>
          <w:spacing w:val="80"/>
        </w:rPr>
        <w:t xml:space="preserve"> </w:t>
      </w:r>
      <w:r>
        <w:t xml:space="preserve">теплоснабжения</w:t>
      </w:r>
      <w:r>
        <w:rPr>
          <w:spacing w:val="80"/>
        </w:rPr>
        <w:t xml:space="preserve"> </w:t>
      </w:r>
      <w:r>
        <w:t xml:space="preserve">потребителей</w:t>
      </w:r>
      <w:r>
        <w:rPr>
          <w:spacing w:val="80"/>
        </w:rPr>
        <w:t xml:space="preserve"> </w:t>
      </w:r>
      <w:r>
        <w:t xml:space="preserve">после</w:t>
      </w:r>
      <w:r>
        <w:rPr>
          <w:spacing w:val="80"/>
        </w:rPr>
        <w:t xml:space="preserve"> </w:t>
      </w:r>
      <w:r>
        <w:t xml:space="preserve">аварийных</w:t>
      </w:r>
      <w:r>
        <w:rPr>
          <w:spacing w:val="40"/>
        </w:rPr>
        <w:t xml:space="preserve"> </w:t>
      </w:r>
      <w:r>
        <w:t xml:space="preserve">отключений</w:t>
      </w:r>
      <w:r>
        <w:rPr>
          <w:spacing w:val="29"/>
        </w:rPr>
        <w:t xml:space="preserve"> </w:t>
      </w:r>
      <w:r>
        <w:t xml:space="preserve">не</w:t>
      </w:r>
      <w:r>
        <w:rPr>
          <w:spacing w:val="29"/>
        </w:rPr>
        <w:t xml:space="preserve"> </w:t>
      </w:r>
      <w:r>
        <w:t xml:space="preserve">превышает</w:t>
      </w:r>
      <w:r>
        <w:rPr>
          <w:spacing w:val="29"/>
        </w:rPr>
        <w:t xml:space="preserve"> </w:t>
      </w:r>
      <w:r>
        <w:t xml:space="preserve">15</w:t>
      </w:r>
      <w:r>
        <w:rPr>
          <w:spacing w:val="29"/>
        </w:rPr>
        <w:t xml:space="preserve"> </w:t>
      </w:r>
      <w:r>
        <w:t xml:space="preserve">ч,</w:t>
      </w:r>
      <w:r>
        <w:rPr>
          <w:spacing w:val="29"/>
        </w:rPr>
        <w:t xml:space="preserve"> </w:t>
      </w:r>
      <w:r>
        <w:t xml:space="preserve">что</w:t>
      </w:r>
      <w:r>
        <w:rPr>
          <w:spacing w:val="29"/>
        </w:rPr>
        <w:t xml:space="preserve"> </w:t>
      </w:r>
      <w:r>
        <w:t xml:space="preserve">соответствует</w:t>
      </w:r>
      <w:r>
        <w:rPr>
          <w:spacing w:val="30"/>
        </w:rPr>
        <w:t xml:space="preserve"> </w:t>
      </w:r>
      <w:r>
        <w:t xml:space="preserve">требованиям</w:t>
      </w:r>
      <w:r>
        <w:rPr>
          <w:spacing w:val="29"/>
        </w:rPr>
        <w:t xml:space="preserve"> </w:t>
      </w:r>
      <w:r>
        <w:t xml:space="preserve">п.</w:t>
      </w:r>
      <w:r>
        <w:rPr>
          <w:spacing w:val="28"/>
        </w:rPr>
        <w:t xml:space="preserve"> </w:t>
      </w:r>
      <w:r>
        <w:t xml:space="preserve">6.10</w:t>
      </w:r>
      <w:r>
        <w:rPr>
          <w:spacing w:val="29"/>
        </w:rPr>
        <w:t xml:space="preserve"> </w:t>
      </w:r>
      <w:r>
        <w:t xml:space="preserve">СП</w:t>
      </w:r>
      <w:r>
        <w:rPr>
          <w:spacing w:val="29"/>
        </w:rPr>
        <w:t xml:space="preserve"> </w:t>
      </w:r>
      <w:r>
        <w:rPr>
          <w:spacing w:val="-2"/>
        </w:rPr>
        <w:t xml:space="preserve">124.13330.2012</w:t>
      </w:r>
      <w:r/>
    </w:p>
    <w:p>
      <w:pPr>
        <w:pStyle w:val="1247"/>
        <w:ind w:left="118"/>
      </w:pPr>
      <w:r>
        <w:t xml:space="preserve">«Тепловые</w:t>
      </w:r>
      <w:r>
        <w:rPr>
          <w:spacing w:val="-5"/>
        </w:rPr>
        <w:t xml:space="preserve"> </w:t>
      </w:r>
      <w:r>
        <w:rPr>
          <w:spacing w:val="-2"/>
        </w:rPr>
        <w:t xml:space="preserve">сети».</w:t>
      </w:r>
      <w:r/>
    </w:p>
    <w:p>
      <w:pPr>
        <w:rPr>
          <w:b/>
          <w:bCs/>
          <w:sz w:val="24"/>
          <w:szCs w:val="24"/>
          <w:lang w:eastAsia="ru-RU"/>
        </w:rPr>
      </w:pPr>
      <w:r/>
      <w:bookmarkStart w:id="261" w:name="_bookmark154"/>
      <w:r/>
      <w:bookmarkStart w:id="262" w:name="_Toc130231948"/>
      <w:r/>
      <w:bookmarkStart w:id="263" w:name="_Toc165540728"/>
      <w:r/>
      <w:bookmarkEnd w:id="261"/>
      <w:r>
        <w:rPr>
          <w:b/>
          <w:bCs/>
          <w:sz w:val="24"/>
          <w:szCs w:val="24"/>
          <w:lang w:eastAsia="ru-RU"/>
        </w:rPr>
      </w:r>
      <w:r>
        <w:rPr>
          <w:b/>
          <w:bCs/>
          <w:sz w:val="24"/>
          <w:szCs w:val="24"/>
          <w:lang w:eastAsia="ru-RU"/>
        </w:rPr>
      </w:r>
    </w:p>
    <w:p>
      <w:pPr>
        <w:pStyle w:val="1248"/>
        <w:ind w:right="146" w:firstLine="733"/>
      </w:pPr>
      <w:r>
        <w:rPr>
          <w:lang w:eastAsia="ru-RU"/>
        </w:rPr>
        <w:t xml:space="preserve">1.9.8 </w:t>
      </w:r>
      <w:r>
        <w:t xml:space="preserve">Описание изменений в надёжности теплоснабжения для каждой системы теплоснабжения, в том </w:t>
      </w:r>
      <w:r>
        <w:t xml:space="preserve">числе с учётом реализации планов строительства, реконструкции, технического перевооружения и (или) модернизации источников тепловой энергии и тепловых сетей, ввод в эксплуатацию которых осуществлён в период, предшествующий актуализации схемы теплоснабжения</w:t>
      </w:r>
      <w:bookmarkEnd w:id="262"/>
      <w:r/>
      <w:bookmarkEnd w:id="263"/>
      <w:r/>
      <w:r/>
    </w:p>
    <w:p>
      <w:pPr>
        <w:pStyle w:val="1247"/>
        <w:ind w:left="119" w:right="108" w:firstLine="709"/>
        <w:jc w:val="both"/>
        <w:spacing w:before="120"/>
      </w:pPr>
      <w:r>
        <w:t xml:space="preserve">Ранее схема теплоснабжения </w:t>
      </w:r>
      <w:r>
        <w:t xml:space="preserve">Юргамышского</w:t>
      </w:r>
      <w:r>
        <w:t xml:space="preserve"> муниципального округа не была разработана.</w:t>
      </w:r>
      <w:r/>
    </w:p>
    <w:p>
      <w:pPr>
        <w:pStyle w:val="1247"/>
        <w:spacing w:before="1"/>
        <w:rPr>
          <w:sz w:val="27"/>
        </w:rPr>
      </w:pPr>
      <w:r>
        <w:rPr>
          <w:sz w:val="27"/>
        </w:rPr>
      </w:r>
      <w:r>
        <w:rPr>
          <w:sz w:val="27"/>
        </w:rPr>
      </w:r>
      <w:r>
        <w:rPr>
          <w:sz w:val="27"/>
        </w:rPr>
      </w:r>
    </w:p>
    <w:p>
      <w:pPr>
        <w:rPr>
          <w:b/>
          <w:bCs/>
          <w:sz w:val="24"/>
          <w:szCs w:val="24"/>
          <w:lang w:eastAsia="ru-RU"/>
        </w:rPr>
      </w:pPr>
      <w:r/>
      <w:bookmarkStart w:id="264" w:name="_bookmark155"/>
      <w:r/>
      <w:bookmarkStart w:id="265" w:name="_Toc130231949"/>
      <w:r/>
      <w:bookmarkStart w:id="266" w:name="_Toc165540729"/>
      <w:r/>
      <w:bookmarkEnd w:id="264"/>
      <w:r>
        <w:rPr>
          <w:lang w:eastAsia="ru-RU"/>
        </w:rPr>
        <w:br w:type="page" w:clear="all"/>
      </w:r>
      <w:r>
        <w:rPr>
          <w:b/>
          <w:bCs/>
          <w:sz w:val="24"/>
          <w:szCs w:val="24"/>
          <w:lang w:eastAsia="ru-RU"/>
        </w:rPr>
      </w:r>
      <w:r>
        <w:rPr>
          <w:b/>
          <w:bCs/>
          <w:sz w:val="24"/>
          <w:szCs w:val="24"/>
          <w:lang w:eastAsia="ru-RU"/>
        </w:rPr>
      </w:r>
    </w:p>
    <w:p>
      <w:pPr>
        <w:pStyle w:val="1248"/>
        <w:ind w:right="151" w:firstLine="733"/>
      </w:pPr>
      <w:r>
        <w:rPr>
          <w:lang w:eastAsia="ru-RU"/>
        </w:rPr>
        <w:t xml:space="preserve">1.9.9 </w:t>
      </w:r>
      <w:r>
        <w:t xml:space="preserve">Меры по обеспечению надежности теплоснабжения и бесперебойной работы систем теплоснабжения</w:t>
      </w:r>
      <w:bookmarkEnd w:id="265"/>
      <w:r/>
      <w:bookmarkEnd w:id="266"/>
      <w:r/>
      <w:r/>
    </w:p>
    <w:p>
      <w:pPr>
        <w:pStyle w:val="1247"/>
        <w:ind w:left="118" w:right="148" w:firstLine="707"/>
        <w:jc w:val="both"/>
        <w:spacing w:before="116"/>
      </w:pPr>
      <w:r>
        <w:t xml:space="preserve">Повышение надежности систем коммунального теплоснабжения, своевременная и всесторонняя подготовка к отопительному периоду и проведение его во взаимодействии теплоснабжающих</w:t>
      </w:r>
      <w:r>
        <w:rPr>
          <w:spacing w:val="-6"/>
        </w:rPr>
        <w:t xml:space="preserve"> </w:t>
      </w:r>
      <w:r>
        <w:t xml:space="preserve">организаций,</w:t>
      </w:r>
      <w:r>
        <w:rPr>
          <w:spacing w:val="-8"/>
        </w:rPr>
        <w:t xml:space="preserve"> </w:t>
      </w:r>
      <w:r>
        <w:t xml:space="preserve">потребителей</w:t>
      </w:r>
      <w:r>
        <w:rPr>
          <w:spacing w:val="-9"/>
        </w:rPr>
        <w:t xml:space="preserve"> </w:t>
      </w:r>
      <w:r>
        <w:t xml:space="preserve">тепловой</w:t>
      </w:r>
      <w:r>
        <w:rPr>
          <w:spacing w:val="-7"/>
        </w:rPr>
        <w:t xml:space="preserve"> </w:t>
      </w:r>
      <w:r>
        <w:t xml:space="preserve">энергии,</w:t>
      </w:r>
      <w:r>
        <w:rPr>
          <w:spacing w:val="-8"/>
        </w:rPr>
        <w:t xml:space="preserve"> </w:t>
      </w:r>
      <w:r>
        <w:t xml:space="preserve">топливо-,</w:t>
      </w:r>
      <w:r>
        <w:rPr>
          <w:spacing w:val="-8"/>
        </w:rPr>
        <w:t xml:space="preserve"> </w:t>
      </w:r>
      <w:r>
        <w:t xml:space="preserve">водоснабжающих и</w:t>
      </w:r>
      <w:r>
        <w:rPr>
          <w:spacing w:val="80"/>
        </w:rPr>
        <w:t xml:space="preserve"> </w:t>
      </w:r>
      <w:r>
        <w:t xml:space="preserve">других</w:t>
      </w:r>
      <w:r>
        <w:rPr>
          <w:spacing w:val="80"/>
        </w:rPr>
        <w:t xml:space="preserve"> </w:t>
      </w:r>
      <w:r>
        <w:t xml:space="preserve">организаций</w:t>
      </w:r>
      <w:r>
        <w:rPr>
          <w:spacing w:val="80"/>
        </w:rPr>
        <w:t xml:space="preserve"> </w:t>
      </w:r>
      <w:r>
        <w:t xml:space="preserve">являются</w:t>
      </w:r>
      <w:r>
        <w:rPr>
          <w:spacing w:val="79"/>
        </w:rPr>
        <w:t xml:space="preserve"> </w:t>
      </w:r>
      <w:r>
        <w:t xml:space="preserve">важнейшими</w:t>
      </w:r>
      <w:r>
        <w:rPr>
          <w:spacing w:val="80"/>
        </w:rPr>
        <w:t xml:space="preserve"> </w:t>
      </w:r>
      <w:r>
        <w:t xml:space="preserve">мерами</w:t>
      </w:r>
      <w:r>
        <w:rPr>
          <w:spacing w:val="80"/>
        </w:rPr>
        <w:t xml:space="preserve"> </w:t>
      </w:r>
      <w:r>
        <w:t xml:space="preserve">в</w:t>
      </w:r>
      <w:r>
        <w:rPr>
          <w:spacing w:val="79"/>
        </w:rPr>
        <w:t xml:space="preserve"> </w:t>
      </w:r>
      <w:r>
        <w:t xml:space="preserve">обеспечении</w:t>
      </w:r>
      <w:r>
        <w:rPr>
          <w:spacing w:val="80"/>
        </w:rPr>
        <w:t xml:space="preserve"> </w:t>
      </w:r>
      <w:r>
        <w:t xml:space="preserve">бесперебойного</w:t>
      </w:r>
      <w:r>
        <w:t xml:space="preserve"> </w:t>
      </w:r>
      <w:r>
        <w:t xml:space="preserve">теплоснабжения</w:t>
      </w:r>
      <w:r>
        <w:rPr>
          <w:spacing w:val="-3"/>
        </w:rPr>
        <w:t xml:space="preserve"> </w:t>
      </w:r>
      <w:r>
        <w:t xml:space="preserve">в</w:t>
      </w:r>
      <w:r>
        <w:rPr>
          <w:spacing w:val="-3"/>
        </w:rPr>
        <w:t xml:space="preserve"> </w:t>
      </w:r>
      <w:r>
        <w:t xml:space="preserve">населенных</w:t>
      </w:r>
      <w:r>
        <w:rPr>
          <w:spacing w:val="-3"/>
        </w:rPr>
        <w:t xml:space="preserve"> </w:t>
      </w:r>
      <w:r>
        <w:rPr>
          <w:spacing w:val="-2"/>
        </w:rPr>
        <w:t xml:space="preserve">пунктах.</w:t>
      </w:r>
      <w:r/>
    </w:p>
    <w:p>
      <w:pPr>
        <w:pStyle w:val="1247"/>
        <w:ind w:left="118" w:right="149" w:firstLine="707"/>
        <w:jc w:val="both"/>
      </w:pPr>
      <w:r>
        <w:t xml:space="preserve">Подготовка систем теплоснабжения и теплопотребления и их эксплуатация должны отвечать требованиям действующих Пр</w:t>
      </w:r>
      <w:r>
        <w:t xml:space="preserve">авил эксплуатации теплопотребляющих установок и тепловых сетей потребителей, Правил технической эксплуатации коммунальных отопительных котельных, других нормативно - технических документов по эксплуатации теплоэнергетического оборудования и тепловых сетей.</w:t>
      </w:r>
      <w:r/>
    </w:p>
    <w:p>
      <w:pPr>
        <w:pStyle w:val="1247"/>
        <w:ind w:left="284" w:right="318" w:firstLine="567"/>
        <w:jc w:val="both"/>
      </w:pPr>
      <w:r>
        <w:t xml:space="preserve">Теплоснабжающие</w:t>
      </w:r>
      <w:r>
        <w:rPr>
          <w:spacing w:val="-6"/>
        </w:rPr>
        <w:t xml:space="preserve"> </w:t>
      </w:r>
      <w:r>
        <w:t xml:space="preserve">организации</w:t>
      </w:r>
      <w:r>
        <w:rPr>
          <w:spacing w:val="-4"/>
        </w:rPr>
        <w:t xml:space="preserve"> </w:t>
      </w:r>
      <w:r>
        <w:t xml:space="preserve">и</w:t>
      </w:r>
      <w:r>
        <w:rPr>
          <w:spacing w:val="-3"/>
        </w:rPr>
        <w:t xml:space="preserve"> </w:t>
      </w:r>
      <w:r>
        <w:t xml:space="preserve">теплосетевые</w:t>
      </w:r>
      <w:r>
        <w:rPr>
          <w:spacing w:val="-4"/>
        </w:rPr>
        <w:t xml:space="preserve"> </w:t>
      </w:r>
      <w:r>
        <w:t xml:space="preserve">организации,</w:t>
      </w:r>
      <w:r>
        <w:rPr>
          <w:spacing w:val="-3"/>
        </w:rPr>
        <w:t xml:space="preserve"> </w:t>
      </w:r>
      <w:r>
        <w:t xml:space="preserve">кроме</w:t>
      </w:r>
      <w:r>
        <w:rPr>
          <w:spacing w:val="-3"/>
        </w:rPr>
        <w:t xml:space="preserve"> </w:t>
      </w:r>
      <w:r>
        <w:t xml:space="preserve">того,</w:t>
      </w:r>
      <w:r>
        <w:rPr>
          <w:spacing w:val="-2"/>
        </w:rPr>
        <w:t xml:space="preserve"> обязаны:</w:t>
      </w:r>
      <w:r/>
    </w:p>
    <w:p>
      <w:pPr>
        <w:pStyle w:val="1250"/>
        <w:numPr>
          <w:ilvl w:val="0"/>
          <w:numId w:val="10"/>
        </w:numPr>
        <w:ind w:left="142" w:right="318" w:firstLine="709"/>
        <w:jc w:val="both"/>
        <w:tabs>
          <w:tab w:val="left" w:pos="1134" w:leader="none"/>
        </w:tabs>
        <w:rPr>
          <w:sz w:val="24"/>
          <w:szCs w:val="24"/>
        </w:rPr>
      </w:pPr>
      <w:r>
        <w:rPr>
          <w:sz w:val="24"/>
          <w:szCs w:val="24"/>
        </w:rPr>
        <w:t xml:space="preserve">обеспечивать</w:t>
      </w:r>
      <w:r>
        <w:rPr>
          <w:spacing w:val="49"/>
          <w:sz w:val="24"/>
          <w:szCs w:val="24"/>
        </w:rPr>
        <w:t xml:space="preserve"> </w:t>
      </w:r>
      <w:r>
        <w:rPr>
          <w:sz w:val="24"/>
          <w:szCs w:val="24"/>
        </w:rPr>
        <w:t xml:space="preserve">функционирование</w:t>
      </w:r>
      <w:r>
        <w:rPr>
          <w:spacing w:val="50"/>
          <w:sz w:val="24"/>
          <w:szCs w:val="24"/>
        </w:rPr>
        <w:t xml:space="preserve"> </w:t>
      </w:r>
      <w:r>
        <w:rPr>
          <w:sz w:val="24"/>
          <w:szCs w:val="24"/>
        </w:rPr>
        <w:t xml:space="preserve">эксплуатационной,</w:t>
      </w:r>
      <w:r>
        <w:rPr>
          <w:spacing w:val="49"/>
          <w:sz w:val="24"/>
          <w:szCs w:val="24"/>
        </w:rPr>
        <w:t xml:space="preserve"> </w:t>
      </w:r>
      <w:r>
        <w:rPr>
          <w:sz w:val="24"/>
          <w:szCs w:val="24"/>
        </w:rPr>
        <w:t xml:space="preserve">диспетчерской</w:t>
      </w:r>
      <w:r>
        <w:rPr>
          <w:spacing w:val="51"/>
          <w:sz w:val="24"/>
          <w:szCs w:val="24"/>
        </w:rPr>
        <w:t xml:space="preserve"> </w:t>
      </w:r>
      <w:r>
        <w:rPr>
          <w:sz w:val="24"/>
          <w:szCs w:val="24"/>
        </w:rPr>
        <w:t xml:space="preserve">и</w:t>
      </w:r>
      <w:r>
        <w:rPr>
          <w:spacing w:val="51"/>
          <w:sz w:val="24"/>
          <w:szCs w:val="24"/>
        </w:rPr>
        <w:t xml:space="preserve"> </w:t>
      </w:r>
      <w:r>
        <w:rPr>
          <w:spacing w:val="-2"/>
          <w:sz w:val="24"/>
          <w:szCs w:val="24"/>
        </w:rPr>
        <w:t xml:space="preserve">аварийной служб;</w:t>
      </w:r>
      <w:r>
        <w:rPr>
          <w:sz w:val="24"/>
          <w:szCs w:val="24"/>
        </w:rPr>
      </w:r>
      <w:r>
        <w:rPr>
          <w:sz w:val="24"/>
          <w:szCs w:val="24"/>
        </w:rPr>
      </w:r>
    </w:p>
    <w:p>
      <w:pPr>
        <w:pStyle w:val="1250"/>
        <w:numPr>
          <w:ilvl w:val="0"/>
          <w:numId w:val="10"/>
        </w:numPr>
        <w:ind w:left="142" w:right="318" w:firstLine="709"/>
        <w:jc w:val="both"/>
        <w:tabs>
          <w:tab w:val="left" w:pos="231" w:leader="none"/>
          <w:tab w:val="left" w:pos="1134" w:leader="none"/>
        </w:tabs>
        <w:rPr>
          <w:sz w:val="24"/>
          <w:szCs w:val="24"/>
        </w:rPr>
      </w:pPr>
      <w:r>
        <w:rPr>
          <w:sz w:val="24"/>
          <w:szCs w:val="24"/>
        </w:rPr>
        <w:t xml:space="preserve">организовать</w:t>
      </w:r>
      <w:r>
        <w:rPr>
          <w:spacing w:val="-5"/>
          <w:sz w:val="24"/>
          <w:szCs w:val="24"/>
        </w:rPr>
        <w:t xml:space="preserve"> </w:t>
      </w:r>
      <w:r>
        <w:rPr>
          <w:sz w:val="24"/>
          <w:szCs w:val="24"/>
        </w:rPr>
        <w:t xml:space="preserve">наладку</w:t>
      </w:r>
      <w:r>
        <w:rPr>
          <w:spacing w:val="-5"/>
          <w:sz w:val="24"/>
          <w:szCs w:val="24"/>
        </w:rPr>
        <w:t xml:space="preserve"> </w:t>
      </w:r>
      <w:r>
        <w:rPr>
          <w:sz w:val="24"/>
          <w:szCs w:val="24"/>
        </w:rPr>
        <w:t xml:space="preserve">принадлежащих</w:t>
      </w:r>
      <w:r>
        <w:rPr>
          <w:spacing w:val="-1"/>
          <w:sz w:val="24"/>
          <w:szCs w:val="24"/>
        </w:rPr>
        <w:t xml:space="preserve"> </w:t>
      </w:r>
      <w:r>
        <w:rPr>
          <w:sz w:val="24"/>
          <w:szCs w:val="24"/>
        </w:rPr>
        <w:t xml:space="preserve">им</w:t>
      </w:r>
      <w:r>
        <w:rPr>
          <w:spacing w:val="-4"/>
          <w:sz w:val="24"/>
          <w:szCs w:val="24"/>
        </w:rPr>
        <w:t xml:space="preserve"> </w:t>
      </w:r>
      <w:r>
        <w:rPr>
          <w:sz w:val="24"/>
          <w:szCs w:val="24"/>
        </w:rPr>
        <w:t xml:space="preserve">тепловых</w:t>
      </w:r>
      <w:r>
        <w:rPr>
          <w:spacing w:val="-2"/>
          <w:sz w:val="24"/>
          <w:szCs w:val="24"/>
        </w:rPr>
        <w:t xml:space="preserve"> сетей;</w:t>
      </w:r>
      <w:r>
        <w:rPr>
          <w:sz w:val="24"/>
          <w:szCs w:val="24"/>
        </w:rPr>
      </w:r>
      <w:r>
        <w:rPr>
          <w:sz w:val="24"/>
          <w:szCs w:val="24"/>
        </w:rPr>
      </w:r>
    </w:p>
    <w:p>
      <w:pPr>
        <w:pStyle w:val="1250"/>
        <w:numPr>
          <w:ilvl w:val="0"/>
          <w:numId w:val="10"/>
        </w:numPr>
        <w:ind w:left="142" w:right="318" w:firstLine="709"/>
        <w:jc w:val="both"/>
        <w:tabs>
          <w:tab w:val="left" w:pos="231" w:leader="none"/>
          <w:tab w:val="left" w:pos="1134" w:leader="none"/>
        </w:tabs>
        <w:rPr>
          <w:sz w:val="24"/>
          <w:szCs w:val="24"/>
        </w:rPr>
      </w:pPr>
      <w:r>
        <w:rPr>
          <w:sz w:val="24"/>
          <w:szCs w:val="24"/>
        </w:rPr>
        <w:t xml:space="preserve">осуществлять</w:t>
      </w:r>
      <w:r>
        <w:rPr>
          <w:spacing w:val="-4"/>
          <w:sz w:val="24"/>
          <w:szCs w:val="24"/>
        </w:rPr>
        <w:t xml:space="preserve"> </w:t>
      </w:r>
      <w:r>
        <w:rPr>
          <w:sz w:val="24"/>
          <w:szCs w:val="24"/>
        </w:rPr>
        <w:t xml:space="preserve">контроль</w:t>
      </w:r>
      <w:r>
        <w:rPr>
          <w:spacing w:val="-2"/>
          <w:sz w:val="24"/>
          <w:szCs w:val="24"/>
        </w:rPr>
        <w:t xml:space="preserve"> </w:t>
      </w:r>
      <w:r>
        <w:rPr>
          <w:sz w:val="24"/>
          <w:szCs w:val="24"/>
        </w:rPr>
        <w:t xml:space="preserve">режимов</w:t>
      </w:r>
      <w:r>
        <w:rPr>
          <w:spacing w:val="-3"/>
          <w:sz w:val="24"/>
          <w:szCs w:val="24"/>
        </w:rPr>
        <w:t xml:space="preserve"> </w:t>
      </w:r>
      <w:r>
        <w:rPr>
          <w:sz w:val="24"/>
          <w:szCs w:val="24"/>
        </w:rPr>
        <w:t xml:space="preserve">потребления</w:t>
      </w:r>
      <w:r>
        <w:rPr>
          <w:spacing w:val="-2"/>
          <w:sz w:val="24"/>
          <w:szCs w:val="24"/>
        </w:rPr>
        <w:t xml:space="preserve"> </w:t>
      </w:r>
      <w:r>
        <w:rPr>
          <w:sz w:val="24"/>
          <w:szCs w:val="24"/>
        </w:rPr>
        <w:t xml:space="preserve">тепловой</w:t>
      </w:r>
      <w:r>
        <w:rPr>
          <w:spacing w:val="-2"/>
          <w:sz w:val="24"/>
          <w:szCs w:val="24"/>
        </w:rPr>
        <w:t xml:space="preserve"> энергии;</w:t>
      </w:r>
      <w:r>
        <w:rPr>
          <w:sz w:val="24"/>
          <w:szCs w:val="24"/>
        </w:rPr>
      </w:r>
      <w:r>
        <w:rPr>
          <w:sz w:val="24"/>
          <w:szCs w:val="24"/>
        </w:rPr>
      </w:r>
    </w:p>
    <w:p>
      <w:pPr>
        <w:pStyle w:val="1250"/>
        <w:numPr>
          <w:ilvl w:val="0"/>
          <w:numId w:val="10"/>
        </w:numPr>
        <w:ind w:left="142" w:right="318" w:firstLine="709"/>
        <w:jc w:val="both"/>
        <w:tabs>
          <w:tab w:val="left" w:pos="231" w:leader="none"/>
          <w:tab w:val="left" w:pos="1134" w:leader="none"/>
        </w:tabs>
        <w:rPr>
          <w:sz w:val="24"/>
          <w:szCs w:val="24"/>
        </w:rPr>
      </w:pPr>
      <w:r>
        <w:rPr>
          <w:sz w:val="24"/>
          <w:szCs w:val="24"/>
        </w:rPr>
        <w:t xml:space="preserve">обеспечивать</w:t>
      </w:r>
      <w:r>
        <w:rPr>
          <w:spacing w:val="-5"/>
          <w:sz w:val="24"/>
          <w:szCs w:val="24"/>
        </w:rPr>
        <w:t xml:space="preserve"> </w:t>
      </w:r>
      <w:r>
        <w:rPr>
          <w:sz w:val="24"/>
          <w:szCs w:val="24"/>
        </w:rPr>
        <w:t xml:space="preserve">качество</w:t>
      </w:r>
      <w:r>
        <w:rPr>
          <w:spacing w:val="-4"/>
          <w:sz w:val="24"/>
          <w:szCs w:val="24"/>
        </w:rPr>
        <w:t xml:space="preserve"> </w:t>
      </w:r>
      <w:r>
        <w:rPr>
          <w:spacing w:val="-2"/>
          <w:sz w:val="24"/>
          <w:szCs w:val="24"/>
        </w:rPr>
        <w:t xml:space="preserve">теплоносителей;</w:t>
      </w:r>
      <w:r>
        <w:rPr>
          <w:sz w:val="24"/>
          <w:szCs w:val="24"/>
        </w:rPr>
      </w:r>
      <w:r>
        <w:rPr>
          <w:sz w:val="24"/>
          <w:szCs w:val="24"/>
        </w:rPr>
      </w:r>
    </w:p>
    <w:p>
      <w:pPr>
        <w:pStyle w:val="1250"/>
        <w:numPr>
          <w:ilvl w:val="0"/>
          <w:numId w:val="10"/>
        </w:numPr>
        <w:ind w:left="142" w:right="318" w:firstLine="709"/>
        <w:jc w:val="both"/>
        <w:tabs>
          <w:tab w:val="left" w:pos="259" w:leader="none"/>
          <w:tab w:val="left" w:pos="1134" w:leader="none"/>
        </w:tabs>
        <w:rPr>
          <w:sz w:val="24"/>
          <w:szCs w:val="24"/>
        </w:rPr>
      </w:pPr>
      <w:r>
        <w:rPr>
          <w:sz w:val="24"/>
          <w:szCs w:val="24"/>
        </w:rPr>
        <w:t xml:space="preserve">организовать</w:t>
      </w:r>
      <w:r>
        <w:rPr>
          <w:spacing w:val="21"/>
          <w:sz w:val="24"/>
          <w:szCs w:val="24"/>
        </w:rPr>
        <w:t xml:space="preserve"> </w:t>
      </w:r>
      <w:r>
        <w:rPr>
          <w:sz w:val="24"/>
          <w:szCs w:val="24"/>
        </w:rPr>
        <w:t xml:space="preserve">коммерческий</w:t>
      </w:r>
      <w:r>
        <w:rPr>
          <w:spacing w:val="26"/>
          <w:sz w:val="24"/>
          <w:szCs w:val="24"/>
        </w:rPr>
        <w:t xml:space="preserve"> </w:t>
      </w:r>
      <w:r>
        <w:rPr>
          <w:sz w:val="24"/>
          <w:szCs w:val="24"/>
        </w:rPr>
        <w:t xml:space="preserve">учет</w:t>
      </w:r>
      <w:r>
        <w:rPr>
          <w:spacing w:val="25"/>
          <w:sz w:val="24"/>
          <w:szCs w:val="24"/>
        </w:rPr>
        <w:t xml:space="preserve"> </w:t>
      </w:r>
      <w:r>
        <w:rPr>
          <w:sz w:val="24"/>
          <w:szCs w:val="24"/>
        </w:rPr>
        <w:t xml:space="preserve">приобретаемой</w:t>
      </w:r>
      <w:r>
        <w:rPr>
          <w:spacing w:val="25"/>
          <w:sz w:val="24"/>
          <w:szCs w:val="24"/>
        </w:rPr>
        <w:t xml:space="preserve"> </w:t>
      </w:r>
      <w:r>
        <w:rPr>
          <w:sz w:val="24"/>
          <w:szCs w:val="24"/>
        </w:rPr>
        <w:t xml:space="preserve">тепловой</w:t>
      </w:r>
      <w:r>
        <w:rPr>
          <w:spacing w:val="25"/>
          <w:sz w:val="24"/>
          <w:szCs w:val="24"/>
        </w:rPr>
        <w:t xml:space="preserve"> </w:t>
      </w:r>
      <w:r>
        <w:rPr>
          <w:sz w:val="24"/>
          <w:szCs w:val="24"/>
        </w:rPr>
        <w:t xml:space="preserve">энергии</w:t>
      </w:r>
      <w:r>
        <w:rPr>
          <w:spacing w:val="25"/>
          <w:sz w:val="24"/>
          <w:szCs w:val="24"/>
        </w:rPr>
        <w:t xml:space="preserve"> </w:t>
      </w:r>
      <w:r>
        <w:rPr>
          <w:sz w:val="24"/>
          <w:szCs w:val="24"/>
        </w:rPr>
        <w:t xml:space="preserve">и</w:t>
      </w:r>
      <w:r>
        <w:rPr>
          <w:spacing w:val="24"/>
          <w:sz w:val="24"/>
          <w:szCs w:val="24"/>
        </w:rPr>
        <w:t xml:space="preserve"> </w:t>
      </w:r>
      <w:r>
        <w:rPr>
          <w:spacing w:val="-2"/>
          <w:sz w:val="24"/>
          <w:szCs w:val="24"/>
        </w:rPr>
        <w:t xml:space="preserve">реализуемой </w:t>
      </w:r>
      <w:r>
        <w:t xml:space="preserve">тепловой </w:t>
      </w:r>
      <w:r>
        <w:rPr>
          <w:spacing w:val="-2"/>
        </w:rPr>
        <w:t xml:space="preserve">энергии;</w:t>
      </w:r>
      <w:r>
        <w:rPr>
          <w:sz w:val="24"/>
          <w:szCs w:val="24"/>
        </w:rPr>
      </w:r>
      <w:r>
        <w:rPr>
          <w:sz w:val="24"/>
          <w:szCs w:val="24"/>
        </w:rPr>
      </w:r>
    </w:p>
    <w:p>
      <w:pPr>
        <w:pStyle w:val="1250"/>
        <w:numPr>
          <w:ilvl w:val="0"/>
          <w:numId w:val="10"/>
        </w:numPr>
        <w:ind w:left="142" w:right="318" w:firstLine="709"/>
        <w:jc w:val="both"/>
        <w:tabs>
          <w:tab w:val="left" w:pos="1087" w:leader="none"/>
          <w:tab w:val="left" w:pos="1134" w:leader="none"/>
        </w:tabs>
        <w:rPr>
          <w:sz w:val="24"/>
          <w:szCs w:val="24"/>
        </w:rPr>
      </w:pPr>
      <w:r>
        <w:rPr>
          <w:sz w:val="24"/>
          <w:szCs w:val="24"/>
        </w:rPr>
        <w:t xml:space="preserve">обеспечивать</w:t>
      </w:r>
      <w:r>
        <w:rPr>
          <w:spacing w:val="-2"/>
          <w:sz w:val="24"/>
          <w:szCs w:val="24"/>
        </w:rPr>
        <w:t xml:space="preserve"> </w:t>
      </w:r>
      <w:r>
        <w:rPr>
          <w:sz w:val="24"/>
          <w:szCs w:val="24"/>
        </w:rPr>
        <w:t xml:space="preserve">проверку</w:t>
      </w:r>
      <w:r>
        <w:rPr>
          <w:spacing w:val="-6"/>
          <w:sz w:val="24"/>
          <w:szCs w:val="24"/>
        </w:rPr>
        <w:t xml:space="preserve"> </w:t>
      </w:r>
      <w:r>
        <w:rPr>
          <w:sz w:val="24"/>
          <w:szCs w:val="24"/>
        </w:rPr>
        <w:t xml:space="preserve">качества</w:t>
      </w:r>
      <w:r>
        <w:rPr>
          <w:spacing w:val="-2"/>
          <w:sz w:val="24"/>
          <w:szCs w:val="24"/>
        </w:rPr>
        <w:t xml:space="preserve"> </w:t>
      </w:r>
      <w:r>
        <w:rPr>
          <w:sz w:val="24"/>
          <w:szCs w:val="24"/>
        </w:rPr>
        <w:t xml:space="preserve">строительства</w:t>
      </w:r>
      <w:r>
        <w:rPr>
          <w:spacing w:val="-2"/>
          <w:sz w:val="24"/>
          <w:szCs w:val="24"/>
        </w:rPr>
        <w:t xml:space="preserve"> </w:t>
      </w:r>
      <w:r>
        <w:rPr>
          <w:sz w:val="24"/>
          <w:szCs w:val="24"/>
        </w:rPr>
        <w:t xml:space="preserve">принадлежащих</w:t>
      </w:r>
      <w:r>
        <w:rPr>
          <w:spacing w:val="1"/>
          <w:sz w:val="24"/>
          <w:szCs w:val="24"/>
        </w:rPr>
        <w:t xml:space="preserve"> </w:t>
      </w:r>
      <w:r>
        <w:rPr>
          <w:sz w:val="24"/>
          <w:szCs w:val="24"/>
        </w:rPr>
        <w:t xml:space="preserve">им</w:t>
      </w:r>
      <w:r>
        <w:rPr>
          <w:spacing w:val="-5"/>
          <w:sz w:val="24"/>
          <w:szCs w:val="24"/>
        </w:rPr>
        <w:t xml:space="preserve"> </w:t>
      </w:r>
      <w:r>
        <w:rPr>
          <w:sz w:val="24"/>
          <w:szCs w:val="24"/>
        </w:rPr>
        <w:t xml:space="preserve">тепловых</w:t>
      </w:r>
      <w:r>
        <w:rPr>
          <w:spacing w:val="1"/>
          <w:sz w:val="24"/>
          <w:szCs w:val="24"/>
        </w:rPr>
        <w:t xml:space="preserve"> </w:t>
      </w:r>
      <w:r>
        <w:rPr>
          <w:spacing w:val="-2"/>
          <w:sz w:val="24"/>
          <w:szCs w:val="24"/>
        </w:rPr>
        <w:t xml:space="preserve">сетей;</w:t>
      </w:r>
      <w:r>
        <w:rPr>
          <w:sz w:val="24"/>
          <w:szCs w:val="24"/>
        </w:rPr>
      </w:r>
      <w:r>
        <w:rPr>
          <w:sz w:val="24"/>
          <w:szCs w:val="24"/>
        </w:rPr>
      </w:r>
    </w:p>
    <w:p>
      <w:pPr>
        <w:pStyle w:val="1250"/>
        <w:numPr>
          <w:ilvl w:val="0"/>
          <w:numId w:val="10"/>
        </w:numPr>
        <w:ind w:left="142" w:right="318" w:firstLine="709"/>
        <w:jc w:val="both"/>
        <w:tabs>
          <w:tab w:val="left" w:pos="1087" w:leader="none"/>
          <w:tab w:val="left" w:pos="1134" w:leader="none"/>
        </w:tabs>
        <w:rPr>
          <w:sz w:val="24"/>
          <w:szCs w:val="24"/>
        </w:rPr>
      </w:pPr>
      <w:r>
        <w:rPr>
          <w:sz w:val="24"/>
          <w:szCs w:val="24"/>
        </w:rPr>
        <w:t xml:space="preserve">обеспечить</w:t>
      </w:r>
      <w:r>
        <w:rPr>
          <w:spacing w:val="-3"/>
          <w:sz w:val="24"/>
          <w:szCs w:val="24"/>
        </w:rPr>
        <w:t xml:space="preserve"> </w:t>
      </w:r>
      <w:r>
        <w:rPr>
          <w:sz w:val="24"/>
          <w:szCs w:val="24"/>
        </w:rPr>
        <w:t xml:space="preserve">безаварийную</w:t>
      </w:r>
      <w:r>
        <w:rPr>
          <w:spacing w:val="-3"/>
          <w:sz w:val="24"/>
          <w:szCs w:val="24"/>
        </w:rPr>
        <w:t xml:space="preserve"> </w:t>
      </w:r>
      <w:r>
        <w:rPr>
          <w:sz w:val="24"/>
          <w:szCs w:val="24"/>
        </w:rPr>
        <w:t xml:space="preserve">работу</w:t>
      </w:r>
      <w:r>
        <w:rPr>
          <w:spacing w:val="-7"/>
          <w:sz w:val="24"/>
          <w:szCs w:val="24"/>
        </w:rPr>
        <w:t xml:space="preserve"> </w:t>
      </w:r>
      <w:r>
        <w:rPr>
          <w:sz w:val="24"/>
          <w:szCs w:val="24"/>
        </w:rPr>
        <w:t xml:space="preserve">объектов</w:t>
      </w:r>
      <w:r>
        <w:rPr>
          <w:spacing w:val="-3"/>
          <w:sz w:val="24"/>
          <w:szCs w:val="24"/>
        </w:rPr>
        <w:t xml:space="preserve"> </w:t>
      </w:r>
      <w:r>
        <w:rPr>
          <w:spacing w:val="-2"/>
          <w:sz w:val="24"/>
          <w:szCs w:val="24"/>
        </w:rPr>
        <w:t xml:space="preserve">теплоснабжения;</w:t>
      </w:r>
      <w:r>
        <w:rPr>
          <w:sz w:val="24"/>
          <w:szCs w:val="24"/>
        </w:rPr>
      </w:r>
      <w:r>
        <w:rPr>
          <w:sz w:val="24"/>
          <w:szCs w:val="24"/>
        </w:rPr>
      </w:r>
    </w:p>
    <w:p>
      <w:pPr>
        <w:pStyle w:val="1250"/>
        <w:numPr>
          <w:ilvl w:val="0"/>
          <w:numId w:val="10"/>
        </w:numPr>
        <w:ind w:left="142" w:right="318" w:firstLine="709"/>
        <w:jc w:val="both"/>
        <w:tabs>
          <w:tab w:val="left" w:pos="1087" w:leader="none"/>
          <w:tab w:val="left" w:pos="1134" w:leader="none"/>
        </w:tabs>
        <w:rPr>
          <w:sz w:val="24"/>
          <w:szCs w:val="24"/>
        </w:rPr>
      </w:pPr>
      <w:r>
        <w:rPr>
          <w:sz w:val="24"/>
          <w:szCs w:val="24"/>
        </w:rPr>
        <w:t xml:space="preserve">обеспечить</w:t>
      </w:r>
      <w:r>
        <w:rPr>
          <w:spacing w:val="-3"/>
          <w:sz w:val="24"/>
          <w:szCs w:val="24"/>
        </w:rPr>
        <w:t xml:space="preserve"> </w:t>
      </w:r>
      <w:r>
        <w:rPr>
          <w:sz w:val="24"/>
          <w:szCs w:val="24"/>
        </w:rPr>
        <w:t xml:space="preserve">надежное</w:t>
      </w:r>
      <w:r>
        <w:rPr>
          <w:spacing w:val="-4"/>
          <w:sz w:val="24"/>
          <w:szCs w:val="24"/>
        </w:rPr>
        <w:t xml:space="preserve"> </w:t>
      </w:r>
      <w:r>
        <w:rPr>
          <w:sz w:val="24"/>
          <w:szCs w:val="24"/>
        </w:rPr>
        <w:t xml:space="preserve">теплоснабжение</w:t>
      </w:r>
      <w:r>
        <w:rPr>
          <w:spacing w:val="-4"/>
          <w:sz w:val="24"/>
          <w:szCs w:val="24"/>
        </w:rPr>
        <w:t xml:space="preserve"> </w:t>
      </w:r>
      <w:r>
        <w:rPr>
          <w:spacing w:val="-2"/>
          <w:sz w:val="24"/>
          <w:szCs w:val="24"/>
        </w:rPr>
        <w:t xml:space="preserve">потребителей.</w:t>
      </w:r>
      <w:r>
        <w:rPr>
          <w:sz w:val="24"/>
          <w:szCs w:val="24"/>
        </w:rPr>
      </w:r>
      <w:r>
        <w:rPr>
          <w:sz w:val="24"/>
          <w:szCs w:val="24"/>
        </w:rPr>
      </w:r>
    </w:p>
    <w:p>
      <w:pPr>
        <w:pStyle w:val="1247"/>
        <w:ind w:left="118" w:right="147" w:firstLine="707"/>
        <w:jc w:val="both"/>
      </w:pPr>
      <w:r>
        <w:t xml:space="preserve">Проверка готовности к отопительному периоду потребителей тепловой энергии </w:t>
      </w:r>
      <w:r>
        <w:rPr>
          <w:spacing w:val="-2"/>
        </w:rPr>
        <w:t xml:space="preserve">осуществляется в целях определения их соответствия требованиям, установленным правилами </w:t>
      </w:r>
      <w:r>
        <w:t xml:space="preserve">оценки</w:t>
      </w:r>
      <w:r>
        <w:rPr>
          <w:spacing w:val="-5"/>
        </w:rPr>
        <w:t xml:space="preserve"> </w:t>
      </w:r>
      <w:r>
        <w:t xml:space="preserve">готовности</w:t>
      </w:r>
      <w:r>
        <w:rPr>
          <w:spacing w:val="-5"/>
        </w:rPr>
        <w:t xml:space="preserve"> </w:t>
      </w:r>
      <w:r>
        <w:t xml:space="preserve">к</w:t>
      </w:r>
      <w:r>
        <w:rPr>
          <w:spacing w:val="-3"/>
        </w:rPr>
        <w:t xml:space="preserve"> </w:t>
      </w:r>
      <w:r>
        <w:t xml:space="preserve">отопительному</w:t>
      </w:r>
      <w:r>
        <w:rPr>
          <w:spacing w:val="-11"/>
        </w:rPr>
        <w:t xml:space="preserve"> </w:t>
      </w:r>
      <w:r>
        <w:t xml:space="preserve">периоду,</w:t>
      </w:r>
      <w:r>
        <w:rPr>
          <w:spacing w:val="-1"/>
        </w:rPr>
        <w:t xml:space="preserve"> </w:t>
      </w:r>
      <w:r>
        <w:t xml:space="preserve">в</w:t>
      </w:r>
      <w:r>
        <w:rPr>
          <w:spacing w:val="-4"/>
        </w:rPr>
        <w:t xml:space="preserve"> </w:t>
      </w:r>
      <w:r>
        <w:t xml:space="preserve">том</w:t>
      </w:r>
      <w:r>
        <w:rPr>
          <w:spacing w:val="-3"/>
        </w:rPr>
        <w:t xml:space="preserve"> </w:t>
      </w:r>
      <w:r>
        <w:t xml:space="preserve">числе</w:t>
      </w:r>
      <w:r>
        <w:rPr>
          <w:spacing w:val="-4"/>
        </w:rPr>
        <w:t xml:space="preserve"> </w:t>
      </w:r>
      <w:r>
        <w:t xml:space="preserve">готовности</w:t>
      </w:r>
      <w:r>
        <w:rPr>
          <w:spacing w:val="-6"/>
        </w:rPr>
        <w:t xml:space="preserve"> </w:t>
      </w:r>
      <w:r>
        <w:t xml:space="preserve">их</w:t>
      </w:r>
      <w:r>
        <w:rPr>
          <w:spacing w:val="-3"/>
        </w:rPr>
        <w:t xml:space="preserve"> </w:t>
      </w:r>
      <w:r>
        <w:t xml:space="preserve">теплопотребляющих установок к работе, а такж</w:t>
      </w:r>
      <w:r>
        <w:t xml:space="preserve">е в целях определения их готовности к обеспечению указанного в договоре теплоснабжения режима потребления, отсутствию задолженности за поставленные тепловую энергию (мощность), теплоноситель, организации коммерческого учета тепловой энергии, теплоносителя.</w:t>
      </w:r>
      <w:r/>
    </w:p>
    <w:p>
      <w:pPr>
        <w:pStyle w:val="1247"/>
        <w:ind w:left="118" w:right="145" w:firstLine="707"/>
        <w:jc w:val="both"/>
      </w:pPr>
      <w:r>
        <w:t xml:space="preserve">В целях обеспечения бесперебойной работы систем теплоснабжения, своевреме</w:t>
      </w:r>
      <w:r>
        <w:t xml:space="preserve">нной локализации аварий и недопущения длительного расстройства гидравлического и теплового режимов теплоснабжающим организациям следует разрабатывать и представлять на утверждение органа местного самоуправления документ (положение; инструкция), устанавлива</w:t>
      </w:r>
      <w:r>
        <w:t xml:space="preserve">ющий порядок ликвидации аварий и взаимодействия тепло-, топливо-, водоснабжающих организаций, абонентов (потребителей), ремонтных, строительных, транспортных предприятий, а также служб жилищно - коммунального хозяйства и других органов в устранении аварий.</w:t>
      </w:r>
      <w:r/>
    </w:p>
    <w:p>
      <w:pPr>
        <w:pStyle w:val="1247"/>
        <w:ind w:left="118" w:right="148" w:firstLine="707"/>
        <w:jc w:val="both"/>
        <w:spacing w:before="1"/>
      </w:pPr>
      <w:r>
        <w:t xml:space="preserve">Теплоснабжающими организациями должны разрабатываться мероприятия по ликвидации аварийных ситуаций, которые должны охватывать каждый источник тепла и его тепловую сеть.</w:t>
      </w:r>
      <w:r/>
    </w:p>
    <w:p>
      <w:pPr>
        <w:pStyle w:val="1247"/>
        <w:ind w:left="118" w:right="146" w:firstLine="707"/>
        <w:jc w:val="both"/>
      </w:pPr>
      <w:r>
        <w:t xml:space="preserve">В мероприятиях должны быть предусмотрены четкие обя</w:t>
      </w:r>
      <w:r>
        <w:t xml:space="preserve">занности производственных подразделений и персонала и порядок действия по переключениям в тепловых сетях, использованию техники, оповещению аварийно - спасательных и других специальных служб и руководства предприятия, способы связи с другими организациями.</w:t>
      </w:r>
      <w:r/>
    </w:p>
    <w:p>
      <w:pPr>
        <w:pStyle w:val="1247"/>
        <w:ind w:left="118" w:right="154" w:firstLine="707"/>
        <w:jc w:val="both"/>
      </w:pPr>
      <w:r>
        <w:t xml:space="preserve">Надежность системы коммунального теплоснабжения должна обеспечивать бесперебойное снабжение потребителей тепловой энергией и теплоносителями в течение заданного периода, недопущение опасных для людей и окружающей среды ситуаций.</w:t>
      </w:r>
      <w:r/>
    </w:p>
    <w:p>
      <w:pPr>
        <w:pStyle w:val="1247"/>
        <w:ind w:left="118" w:right="154" w:firstLine="707"/>
        <w:jc w:val="both"/>
      </w:pPr>
      <w:r/>
      <w:r/>
    </w:p>
    <w:p>
      <w:pPr>
        <w:rPr>
          <w:b/>
          <w:bCs/>
          <w:sz w:val="24"/>
          <w:szCs w:val="24"/>
          <w:lang w:eastAsia="ru-RU"/>
        </w:rPr>
      </w:pPr>
      <w:r/>
      <w:bookmarkStart w:id="267" w:name="_bookmark156"/>
      <w:r/>
      <w:bookmarkStart w:id="268" w:name="_Toc130231950"/>
      <w:r/>
      <w:bookmarkStart w:id="269" w:name="_Toc165540730"/>
      <w:r/>
      <w:bookmarkEnd w:id="267"/>
      <w:r>
        <w:rPr>
          <w:lang w:eastAsia="ru-RU"/>
        </w:rPr>
        <w:br w:type="page" w:clear="all"/>
      </w:r>
      <w:r>
        <w:rPr>
          <w:b/>
          <w:bCs/>
          <w:sz w:val="24"/>
          <w:szCs w:val="24"/>
          <w:lang w:eastAsia="ru-RU"/>
        </w:rPr>
      </w:r>
      <w:r>
        <w:rPr>
          <w:b/>
          <w:bCs/>
          <w:sz w:val="24"/>
          <w:szCs w:val="24"/>
          <w:lang w:eastAsia="ru-RU"/>
        </w:rPr>
      </w:r>
    </w:p>
    <w:p>
      <w:pPr>
        <w:pStyle w:val="1248"/>
        <w:ind w:right="152" w:firstLine="733"/>
        <w:spacing w:before="71"/>
      </w:pPr>
      <w:r>
        <w:rPr>
          <w:lang w:eastAsia="ru-RU"/>
        </w:rPr>
        <w:t xml:space="preserve">1.10 </w:t>
      </w:r>
      <w:r>
        <w:t xml:space="preserve">Технико-экономические показатели теплоснабжающих и теплосетевых </w:t>
      </w:r>
      <w:r>
        <w:rPr>
          <w:spacing w:val="-2"/>
        </w:rPr>
        <w:t xml:space="preserve">организаций</w:t>
      </w:r>
      <w:bookmarkEnd w:id="268"/>
      <w:r/>
      <w:bookmarkEnd w:id="269"/>
      <w:r/>
      <w:r/>
    </w:p>
    <w:p>
      <w:pPr>
        <w:pStyle w:val="1248"/>
        <w:ind w:right="143" w:firstLine="733"/>
        <w:spacing w:before="120"/>
      </w:pPr>
      <w:r/>
      <w:bookmarkStart w:id="270" w:name="_bookmark157"/>
      <w:r/>
      <w:bookmarkStart w:id="271" w:name="_Toc130231951"/>
      <w:r/>
      <w:bookmarkStart w:id="272" w:name="_Toc165540731"/>
      <w:r/>
      <w:bookmarkEnd w:id="270"/>
      <w:r>
        <w:rPr>
          <w:lang w:eastAsia="ru-RU"/>
        </w:rPr>
        <w:t xml:space="preserve">1.10.1 </w:t>
      </w:r>
      <w:r>
        <w:t xml:space="preserve">Описание показателей хоз</w:t>
      </w:r>
      <w:r>
        <w:t xml:space="preserve">яйственной деятельности теплоснабжающих и теплосетевых организаций в соответствии с требованиями, устанавливаемыми Правительством Российской Федерации в стандартах раскрытия информации теплоснабжающими организациями, теплосетевыми организациями и органами </w:t>
      </w:r>
      <w:r>
        <w:rPr>
          <w:spacing w:val="-2"/>
        </w:rPr>
        <w:t xml:space="preserve">регулирования</w:t>
      </w:r>
      <w:bookmarkEnd w:id="271"/>
      <w:r/>
      <w:bookmarkEnd w:id="272"/>
      <w:r/>
      <w:r/>
    </w:p>
    <w:p>
      <w:pPr>
        <w:pStyle w:val="1247"/>
        <w:ind w:left="119" w:right="147" w:firstLine="709"/>
        <w:jc w:val="both"/>
        <w:spacing w:before="120"/>
      </w:pPr>
      <w:r>
        <w:t xml:space="preserve">Согласно постановлению Правительства РФ № 570 от 05.07.2013 года «О стандартах раскрытия информации теплоснабжающими организациями, теплосетевыми организациями и органами регулирования», раскрытию подлежит информация:</w:t>
      </w:r>
      <w:r/>
    </w:p>
    <w:p>
      <w:pPr>
        <w:pStyle w:val="1247"/>
        <w:ind w:left="119" w:right="147" w:firstLine="709"/>
        <w:jc w:val="both"/>
      </w:pPr>
      <w:r>
        <w:t xml:space="preserve">а) о ценах (тарифах) на регулируемые товары и услуги;</w:t>
      </w:r>
      <w:r/>
    </w:p>
    <w:p>
      <w:pPr>
        <w:pStyle w:val="1247"/>
        <w:ind w:left="119" w:right="147" w:firstLine="709"/>
        <w:jc w:val="both"/>
      </w:pPr>
      <w:r>
        <w:t xml:space="preserve">б) об основных показателях финансово-хозяйственной деятельности регулируемых организаций, включая структуру основных производственных затрат (в части регулируемой деятельности);</w:t>
      </w:r>
      <w:r/>
    </w:p>
    <w:p>
      <w:pPr>
        <w:pStyle w:val="1247"/>
        <w:ind w:left="119" w:right="147" w:firstLine="709"/>
        <w:jc w:val="both"/>
      </w:pPr>
      <w:r>
        <w:t xml:space="preserve">в) об основных потребительских характеристиках регулируемых товаров и услуг регулируемой организации;</w:t>
      </w:r>
      <w:r/>
    </w:p>
    <w:p>
      <w:pPr>
        <w:pStyle w:val="1247"/>
        <w:ind w:left="119" w:right="147" w:firstLine="709"/>
        <w:jc w:val="both"/>
      </w:pPr>
      <w:r>
        <w:t xml:space="preserve">г) об инвестиционных программах регулируемой организации и отчетах об их реализации;</w:t>
      </w:r>
      <w:r/>
    </w:p>
    <w:p>
      <w:pPr>
        <w:pStyle w:val="1247"/>
        <w:ind w:left="119" w:right="147" w:firstLine="709"/>
        <w:jc w:val="both"/>
      </w:pPr>
      <w:r>
        <w:t xml:space="preserve">д) о наличии (отсутствии) технической возможности подключения (технологического присоединения) к системе теплоснабжения, а также о регистрации и ходе реализации заявок на подключение (технологическое присоединение) к системе теплоснабжения;</w:t>
      </w:r>
      <w:r/>
    </w:p>
    <w:p>
      <w:pPr>
        <w:pStyle w:val="1247"/>
        <w:ind w:left="119" w:right="147" w:firstLine="709"/>
        <w:jc w:val="both"/>
      </w:pPr>
      <w:r>
        <w:t xml:space="preserve">е) о порядке выполнения технологических, технических и других мероприятий, связанных с подключением (технологическим присоединением) к системе теплоснабжения;</w:t>
      </w:r>
      <w:r/>
    </w:p>
    <w:p>
      <w:pPr>
        <w:pStyle w:val="1247"/>
        <w:ind w:left="119" w:right="147" w:firstLine="709"/>
        <w:jc w:val="both"/>
      </w:pPr>
      <w:r>
        <w:t xml:space="preserve">ж) о способах приобретения, стоимости и объемах товаров, необходимых для производства регулируемых товаров и (или) оказания регулируемых услуг регулируемой организацией;</w:t>
      </w:r>
      <w:r/>
    </w:p>
    <w:p>
      <w:pPr>
        <w:pStyle w:val="1247"/>
        <w:ind w:left="119" w:right="147" w:firstLine="709"/>
        <w:jc w:val="both"/>
      </w:pPr>
      <w:r>
        <w:t xml:space="preserve">з) о предложении регулируемой организации об установлении цен (тарифов) в сфере теплоснабжения.</w:t>
      </w:r>
      <w:r/>
    </w:p>
    <w:p>
      <w:pPr>
        <w:pStyle w:val="1247"/>
        <w:ind w:left="119" w:right="147" w:firstLine="709"/>
        <w:jc w:val="both"/>
      </w:pPr>
      <w:r>
        <w:t xml:space="preserve">Представленные сведения, подлежащие раскрытию предоставлены в таблиц</w:t>
      </w:r>
      <w:r>
        <w:t xml:space="preserve">ах</w:t>
      </w:r>
      <w:r>
        <w:t xml:space="preserve"> </w:t>
      </w:r>
      <w:r>
        <w:t xml:space="preserve">1.10.1.1-1.10.1.7</w:t>
      </w:r>
      <w:r>
        <w:t xml:space="preserve">.</w:t>
      </w:r>
      <w:r/>
    </w:p>
    <w:p>
      <w:pPr>
        <w:pStyle w:val="1247"/>
        <w:ind w:left="119" w:right="147" w:firstLine="709"/>
        <w:jc w:val="right"/>
        <w:spacing w:before="120"/>
      </w:pPr>
      <w:r>
        <w:t xml:space="preserve">Таблица 1.10.1.1</w:t>
      </w:r>
      <w:r/>
    </w:p>
    <w:p>
      <w:pPr>
        <w:pStyle w:val="1247"/>
        <w:ind w:left="119" w:right="147" w:firstLine="23"/>
        <w:jc w:val="center"/>
      </w:pPr>
      <w:r>
        <w:t xml:space="preserve">Общая информация о регулируемой организации ООО «Новомировское домоуправление»</w:t>
      </w:r>
      <w:r/>
    </w:p>
    <w:tbl>
      <w:tblPr>
        <w:tblW w:w="4937" w:type="pct"/>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73" w:type="dxa"/>
          <w:right w:w="73" w:type="dxa"/>
        </w:tblCellMar>
        <w:tblLook w:val="0000" w:firstRow="0" w:lastRow="0" w:firstColumn="0" w:lastColumn="0" w:noHBand="0" w:noVBand="0"/>
      </w:tblPr>
      <w:tblGrid>
        <w:gridCol w:w="5239"/>
        <w:gridCol w:w="4536"/>
      </w:tblGrid>
      <w:tr>
        <w:tblPrEx/>
        <w:trPr/>
        <w:tc>
          <w:tcPr>
            <w:tcW w:w="2680" w:type="pct"/>
            <w:textDirection w:val="lrTb"/>
            <w:noWrap w:val="false"/>
          </w:tcPr>
          <w:p>
            <w:pPr>
              <w:jc w:val="both"/>
              <w:rPr>
                <w:sz w:val="20"/>
                <w:szCs w:val="20"/>
              </w:rPr>
            </w:pPr>
            <w:r>
              <w:rPr>
                <w:sz w:val="20"/>
                <w:szCs w:val="20"/>
              </w:rPr>
              <w:t xml:space="preserve">Наименование юридического лица </w:t>
            </w:r>
            <w:r>
              <w:rPr>
                <w:sz w:val="20"/>
                <w:szCs w:val="20"/>
              </w:rPr>
            </w:r>
            <w:r>
              <w:rPr>
                <w:sz w:val="20"/>
                <w:szCs w:val="20"/>
              </w:rPr>
            </w:r>
          </w:p>
        </w:tc>
        <w:tc>
          <w:tcPr>
            <w:tcW w:w="2320" w:type="pct"/>
            <w:textDirection w:val="lrTb"/>
            <w:noWrap w:val="false"/>
          </w:tcPr>
          <w:p>
            <w:pPr>
              <w:rPr>
                <w:sz w:val="20"/>
                <w:szCs w:val="20"/>
              </w:rPr>
            </w:pPr>
            <w:r>
              <w:rPr>
                <w:sz w:val="20"/>
                <w:szCs w:val="20"/>
              </w:rPr>
              <w:t xml:space="preserve">Общество с ограниченной ответственностью «Новомировское домоуправление»</w:t>
            </w:r>
            <w:r>
              <w:rPr>
                <w:sz w:val="20"/>
                <w:szCs w:val="20"/>
              </w:rPr>
            </w:r>
            <w:r>
              <w:rPr>
                <w:sz w:val="20"/>
                <w:szCs w:val="20"/>
              </w:rPr>
            </w:r>
          </w:p>
        </w:tc>
      </w:tr>
      <w:tr>
        <w:tblPrEx/>
        <w:trPr/>
        <w:tc>
          <w:tcPr>
            <w:tcW w:w="2680" w:type="pct"/>
            <w:textDirection w:val="lrTb"/>
            <w:noWrap w:val="false"/>
          </w:tcPr>
          <w:p>
            <w:pPr>
              <w:jc w:val="both"/>
              <w:rPr>
                <w:sz w:val="20"/>
                <w:szCs w:val="20"/>
              </w:rPr>
            </w:pPr>
            <w:r>
              <w:rPr>
                <w:sz w:val="20"/>
                <w:szCs w:val="20"/>
              </w:rPr>
              <w:t xml:space="preserve">Фамилия, имя и отчество руководителя регулируемой организации</w:t>
            </w:r>
            <w:r>
              <w:rPr>
                <w:sz w:val="20"/>
                <w:szCs w:val="20"/>
              </w:rPr>
            </w:r>
            <w:r>
              <w:rPr>
                <w:sz w:val="20"/>
                <w:szCs w:val="20"/>
              </w:rPr>
            </w:r>
          </w:p>
        </w:tc>
        <w:tc>
          <w:tcPr>
            <w:tcW w:w="2320" w:type="pct"/>
            <w:textDirection w:val="lrTb"/>
            <w:noWrap w:val="false"/>
          </w:tcPr>
          <w:p>
            <w:pPr>
              <w:rPr>
                <w:sz w:val="20"/>
                <w:szCs w:val="20"/>
              </w:rPr>
            </w:pPr>
            <w:r>
              <w:rPr>
                <w:sz w:val="20"/>
                <w:szCs w:val="20"/>
              </w:rPr>
              <w:t xml:space="preserve">Ковалёв Андрей Михайлович (Генеральный директор)</w:t>
            </w:r>
            <w:r>
              <w:rPr>
                <w:sz w:val="20"/>
                <w:szCs w:val="20"/>
              </w:rPr>
            </w:r>
            <w:r>
              <w:rPr>
                <w:sz w:val="20"/>
                <w:szCs w:val="20"/>
              </w:rPr>
            </w:r>
          </w:p>
        </w:tc>
      </w:tr>
      <w:tr>
        <w:tblPrEx/>
        <w:trPr/>
        <w:tc>
          <w:tcPr>
            <w:tcW w:w="2680" w:type="pct"/>
            <w:textDirection w:val="lrTb"/>
            <w:noWrap w:val="false"/>
          </w:tcPr>
          <w:p>
            <w:pPr>
              <w:jc w:val="both"/>
              <w:rPr>
                <w:sz w:val="20"/>
                <w:szCs w:val="20"/>
              </w:rPr>
            </w:pPr>
            <w:r>
              <w:rPr>
                <w:sz w:val="20"/>
                <w:szCs w:val="20"/>
              </w:rPr>
              <w:t xml:space="preserve">Основной государственный регистрационный номер, дата его присвоения и наименование органа, принявшего решение о регистрации в качестве юридического лица</w:t>
            </w:r>
            <w:r>
              <w:rPr>
                <w:sz w:val="20"/>
                <w:szCs w:val="20"/>
              </w:rPr>
            </w:r>
            <w:r>
              <w:rPr>
                <w:sz w:val="20"/>
                <w:szCs w:val="20"/>
              </w:rPr>
            </w:r>
          </w:p>
        </w:tc>
        <w:tc>
          <w:tcPr>
            <w:tcW w:w="2320" w:type="pct"/>
            <w:textDirection w:val="lrTb"/>
            <w:noWrap w:val="false"/>
          </w:tcPr>
          <w:p>
            <w:pPr>
              <w:rPr>
                <w:sz w:val="20"/>
                <w:szCs w:val="20"/>
              </w:rPr>
            </w:pPr>
            <w:r>
              <w:rPr>
                <w:sz w:val="20"/>
                <w:szCs w:val="20"/>
              </w:rPr>
              <w:t xml:space="preserve">ОГРН </w:t>
            </w:r>
            <w:r>
              <w:rPr>
                <w:sz w:val="20"/>
                <w:szCs w:val="20"/>
              </w:rPr>
              <w:t xml:space="preserve">№ </w:t>
            </w:r>
            <w:r>
              <w:t xml:space="preserve">1244500003769</w:t>
            </w:r>
            <w:r>
              <w:rPr>
                <w:sz w:val="20"/>
                <w:szCs w:val="20"/>
              </w:rPr>
              <w:t xml:space="preserve"> от 02.11.2024 г.</w:t>
            </w:r>
            <w:r>
              <w:rPr>
                <w:sz w:val="20"/>
                <w:szCs w:val="20"/>
              </w:rPr>
              <w:t xml:space="preserve">,</w:t>
            </w:r>
            <w:r>
              <w:rPr>
                <w:sz w:val="20"/>
                <w:szCs w:val="20"/>
              </w:rPr>
              <w:t xml:space="preserve">  </w:t>
            </w:r>
            <w:r>
              <w:rPr>
                <w:sz w:val="20"/>
                <w:szCs w:val="20"/>
              </w:rPr>
            </w:r>
            <w:r>
              <w:rPr>
                <w:sz w:val="20"/>
                <w:szCs w:val="20"/>
              </w:rPr>
            </w:r>
          </w:p>
          <w:p>
            <w:pPr>
              <w:rPr>
                <w:sz w:val="20"/>
                <w:szCs w:val="20"/>
              </w:rPr>
            </w:pPr>
            <w:r>
              <w:rPr>
                <w:sz w:val="20"/>
                <w:szCs w:val="20"/>
              </w:rPr>
              <w:t xml:space="preserve">Управление ФНС России по Курганской области</w:t>
            </w:r>
            <w:r>
              <w:rPr>
                <w:sz w:val="20"/>
                <w:szCs w:val="20"/>
              </w:rPr>
            </w:r>
            <w:r>
              <w:rPr>
                <w:sz w:val="20"/>
                <w:szCs w:val="20"/>
              </w:rPr>
            </w:r>
          </w:p>
        </w:tc>
      </w:tr>
      <w:tr>
        <w:tblPrEx/>
        <w:trPr/>
        <w:tc>
          <w:tcPr>
            <w:tcW w:w="2680" w:type="pct"/>
            <w:textDirection w:val="lrTb"/>
            <w:noWrap w:val="false"/>
          </w:tcPr>
          <w:p>
            <w:pPr>
              <w:jc w:val="both"/>
              <w:rPr>
                <w:sz w:val="20"/>
                <w:szCs w:val="20"/>
              </w:rPr>
            </w:pPr>
            <w:r>
              <w:rPr>
                <w:sz w:val="20"/>
                <w:szCs w:val="20"/>
              </w:rPr>
              <w:t xml:space="preserve">Почтовый адрес регулируемой организации</w:t>
            </w:r>
            <w:r>
              <w:rPr>
                <w:sz w:val="20"/>
                <w:szCs w:val="20"/>
              </w:rPr>
            </w:r>
            <w:r>
              <w:rPr>
                <w:sz w:val="20"/>
                <w:szCs w:val="20"/>
              </w:rPr>
            </w:r>
          </w:p>
        </w:tc>
        <w:tc>
          <w:tcPr>
            <w:tcW w:w="2320" w:type="pct"/>
            <w:textDirection w:val="lrTb"/>
            <w:noWrap w:val="false"/>
          </w:tcPr>
          <w:p>
            <w:pPr>
              <w:rPr>
                <w:sz w:val="20"/>
                <w:szCs w:val="20"/>
              </w:rPr>
            </w:pPr>
            <w:r>
              <w:rPr>
                <w:sz w:val="20"/>
                <w:szCs w:val="20"/>
              </w:rPr>
              <w:t xml:space="preserve">641210, Курганская область, Юргамышский район, пос. Новый Мир, ул. Советская 1.</w:t>
            </w:r>
            <w:r>
              <w:rPr>
                <w:sz w:val="20"/>
                <w:szCs w:val="20"/>
              </w:rPr>
            </w:r>
            <w:r>
              <w:rPr>
                <w:sz w:val="20"/>
                <w:szCs w:val="20"/>
              </w:rPr>
            </w:r>
          </w:p>
        </w:tc>
      </w:tr>
      <w:tr>
        <w:tblPrEx/>
        <w:trPr/>
        <w:tc>
          <w:tcPr>
            <w:tcW w:w="2680" w:type="pct"/>
            <w:textDirection w:val="lrTb"/>
            <w:noWrap w:val="false"/>
          </w:tcPr>
          <w:p>
            <w:pPr>
              <w:jc w:val="both"/>
              <w:rPr>
                <w:sz w:val="20"/>
                <w:szCs w:val="20"/>
              </w:rPr>
            </w:pPr>
            <w:r>
              <w:rPr>
                <w:sz w:val="20"/>
                <w:szCs w:val="20"/>
              </w:rPr>
              <w:t xml:space="preserve">Адрес фактического местонахождения органов управления регулируемой организации</w:t>
            </w:r>
            <w:r>
              <w:rPr>
                <w:sz w:val="20"/>
                <w:szCs w:val="20"/>
              </w:rPr>
            </w:r>
            <w:r>
              <w:rPr>
                <w:sz w:val="20"/>
                <w:szCs w:val="20"/>
              </w:rPr>
            </w:r>
          </w:p>
        </w:tc>
        <w:tc>
          <w:tcPr>
            <w:tcW w:w="2320" w:type="pct"/>
            <w:textDirection w:val="lrTb"/>
            <w:noWrap w:val="false"/>
          </w:tcPr>
          <w:p>
            <w:pPr>
              <w:rPr>
                <w:sz w:val="20"/>
                <w:szCs w:val="20"/>
              </w:rPr>
            </w:pPr>
            <w:r>
              <w:rPr>
                <w:sz w:val="20"/>
                <w:szCs w:val="20"/>
              </w:rPr>
              <w:t xml:space="preserve">Курганская область, Юргамышский район, пос. Новый Мир, ул. Советская 1.</w:t>
            </w:r>
            <w:r>
              <w:rPr>
                <w:sz w:val="20"/>
                <w:szCs w:val="20"/>
              </w:rPr>
            </w:r>
            <w:r>
              <w:rPr>
                <w:sz w:val="20"/>
                <w:szCs w:val="20"/>
              </w:rPr>
            </w:r>
          </w:p>
        </w:tc>
      </w:tr>
      <w:tr>
        <w:tblPrEx/>
        <w:trPr/>
        <w:tc>
          <w:tcPr>
            <w:tcW w:w="2680" w:type="pct"/>
            <w:textDirection w:val="lrTb"/>
            <w:noWrap w:val="false"/>
          </w:tcPr>
          <w:p>
            <w:pPr>
              <w:jc w:val="both"/>
              <w:rPr>
                <w:sz w:val="20"/>
                <w:szCs w:val="20"/>
              </w:rPr>
            </w:pPr>
            <w:r>
              <w:rPr>
                <w:sz w:val="20"/>
                <w:szCs w:val="20"/>
              </w:rPr>
              <w:t xml:space="preserve">Контактные телефоны </w:t>
            </w:r>
            <w:r>
              <w:rPr>
                <w:sz w:val="20"/>
                <w:szCs w:val="20"/>
              </w:rPr>
            </w:r>
            <w:r>
              <w:rPr>
                <w:sz w:val="20"/>
                <w:szCs w:val="20"/>
              </w:rPr>
            </w:r>
          </w:p>
        </w:tc>
        <w:tc>
          <w:tcPr>
            <w:tcW w:w="2320" w:type="pct"/>
            <w:textDirection w:val="lrTb"/>
            <w:noWrap w:val="false"/>
          </w:tcPr>
          <w:p>
            <w:pPr>
              <w:rPr>
                <w:sz w:val="20"/>
                <w:szCs w:val="20"/>
              </w:rPr>
            </w:pPr>
            <w:r>
              <w:rPr>
                <w:sz w:val="20"/>
                <w:szCs w:val="20"/>
              </w:rPr>
              <w:t xml:space="preserve"> 8 35 248 9 – 30 – 91, 8 35 248 9 – 30 – 00</w:t>
            </w:r>
            <w:r>
              <w:rPr>
                <w:sz w:val="20"/>
                <w:szCs w:val="20"/>
              </w:rPr>
            </w:r>
            <w:r>
              <w:rPr>
                <w:sz w:val="20"/>
                <w:szCs w:val="20"/>
              </w:rPr>
            </w:r>
          </w:p>
        </w:tc>
      </w:tr>
      <w:tr>
        <w:tblPrEx/>
        <w:trPr/>
        <w:tc>
          <w:tcPr>
            <w:tcW w:w="2680" w:type="pct"/>
            <w:textDirection w:val="lrTb"/>
            <w:noWrap w:val="false"/>
          </w:tcPr>
          <w:p>
            <w:pPr>
              <w:jc w:val="both"/>
              <w:rPr>
                <w:sz w:val="20"/>
                <w:szCs w:val="20"/>
              </w:rPr>
            </w:pPr>
            <w:r>
              <w:rPr>
                <w:sz w:val="20"/>
                <w:szCs w:val="20"/>
              </w:rPr>
              <w:t xml:space="preserve">Адрес электронной почты регулируемой организации</w:t>
            </w:r>
            <w:r>
              <w:rPr>
                <w:sz w:val="20"/>
                <w:szCs w:val="20"/>
              </w:rPr>
            </w:r>
            <w:r>
              <w:rPr>
                <w:sz w:val="20"/>
                <w:szCs w:val="20"/>
              </w:rPr>
            </w:r>
          </w:p>
        </w:tc>
        <w:tc>
          <w:tcPr>
            <w:tcW w:w="2320" w:type="pct"/>
            <w:textDirection w:val="lrTb"/>
            <w:noWrap w:val="false"/>
          </w:tcPr>
          <w:p>
            <w:pPr>
              <w:rPr>
                <w:sz w:val="20"/>
                <w:szCs w:val="20"/>
                <w:lang w:val="en-US"/>
              </w:rPr>
            </w:pPr>
            <w:r>
              <w:rPr>
                <w:sz w:val="20"/>
                <w:szCs w:val="20"/>
                <w:lang w:val="en-US"/>
              </w:rPr>
              <w:t xml:space="preserve">MUPNOVMIR@yandex.ru</w:t>
            </w:r>
            <w:r>
              <w:rPr>
                <w:sz w:val="20"/>
                <w:szCs w:val="20"/>
                <w:lang w:val="en-US"/>
              </w:rPr>
            </w:r>
            <w:r>
              <w:rPr>
                <w:sz w:val="20"/>
                <w:szCs w:val="20"/>
                <w:lang w:val="en-US"/>
              </w:rPr>
            </w:r>
          </w:p>
        </w:tc>
      </w:tr>
      <w:tr>
        <w:tblPrEx/>
        <w:trPr/>
        <w:tc>
          <w:tcPr>
            <w:tcW w:w="2680" w:type="pct"/>
            <w:textDirection w:val="lrTb"/>
            <w:noWrap w:val="false"/>
          </w:tcPr>
          <w:p>
            <w:pPr>
              <w:jc w:val="both"/>
              <w:rPr>
                <w:sz w:val="20"/>
                <w:szCs w:val="20"/>
              </w:rPr>
            </w:pPr>
            <w:r>
              <w:rPr>
                <w:sz w:val="20"/>
                <w:szCs w:val="20"/>
              </w:rPr>
              <w:t xml:space="preserve">Режим работы регулируемой организации (абонентских отделов, сбытовых подразделений, диспетчерских служб)</w:t>
            </w:r>
            <w:r>
              <w:rPr>
                <w:sz w:val="20"/>
                <w:szCs w:val="20"/>
              </w:rPr>
            </w:r>
            <w:r>
              <w:rPr>
                <w:sz w:val="20"/>
                <w:szCs w:val="20"/>
              </w:rPr>
            </w:r>
          </w:p>
        </w:tc>
        <w:tc>
          <w:tcPr>
            <w:tcW w:w="2320" w:type="pct"/>
            <w:textDirection w:val="lrTb"/>
            <w:noWrap w:val="false"/>
          </w:tcPr>
          <w:p>
            <w:pPr>
              <w:rPr>
                <w:sz w:val="20"/>
                <w:szCs w:val="20"/>
              </w:rPr>
            </w:pPr>
            <w:r>
              <w:rPr>
                <w:sz w:val="20"/>
                <w:szCs w:val="20"/>
              </w:rPr>
              <w:t xml:space="preserve">Пн – Чт с 8.00 до 17.00</w:t>
            </w:r>
            <w:r>
              <w:rPr>
                <w:sz w:val="20"/>
                <w:szCs w:val="20"/>
              </w:rPr>
            </w:r>
            <w:r>
              <w:rPr>
                <w:sz w:val="20"/>
                <w:szCs w:val="20"/>
              </w:rPr>
            </w:r>
          </w:p>
          <w:p>
            <w:pPr>
              <w:rPr>
                <w:sz w:val="20"/>
                <w:szCs w:val="20"/>
              </w:rPr>
            </w:pPr>
            <w:r>
              <w:rPr>
                <w:sz w:val="20"/>
                <w:szCs w:val="20"/>
              </w:rPr>
              <w:t xml:space="preserve">Пт</w:t>
            </w:r>
            <w:r>
              <w:rPr>
                <w:sz w:val="20"/>
                <w:szCs w:val="20"/>
              </w:rPr>
              <w:t xml:space="preserve"> – с 8.00 до 16.00</w:t>
            </w:r>
            <w:r>
              <w:rPr>
                <w:sz w:val="20"/>
                <w:szCs w:val="20"/>
              </w:rPr>
            </w:r>
            <w:r>
              <w:rPr>
                <w:sz w:val="20"/>
                <w:szCs w:val="20"/>
              </w:rPr>
            </w:r>
          </w:p>
          <w:p>
            <w:pPr>
              <w:rPr>
                <w:sz w:val="20"/>
                <w:szCs w:val="20"/>
              </w:rPr>
            </w:pPr>
            <w:r>
              <w:rPr>
                <w:sz w:val="20"/>
                <w:szCs w:val="20"/>
              </w:rPr>
              <w:t xml:space="preserve">Перерыв с 12-13 часов.</w:t>
            </w:r>
            <w:r>
              <w:rPr>
                <w:sz w:val="20"/>
                <w:szCs w:val="20"/>
              </w:rPr>
            </w:r>
            <w:r>
              <w:rPr>
                <w:sz w:val="20"/>
                <w:szCs w:val="20"/>
              </w:rPr>
            </w:r>
          </w:p>
        </w:tc>
      </w:tr>
      <w:tr>
        <w:tblPrEx/>
        <w:trPr/>
        <w:tc>
          <w:tcPr>
            <w:tcW w:w="2680" w:type="pct"/>
            <w:textDirection w:val="lrTb"/>
            <w:noWrap w:val="false"/>
          </w:tcPr>
          <w:p>
            <w:pPr>
              <w:jc w:val="both"/>
              <w:rPr>
                <w:sz w:val="20"/>
                <w:szCs w:val="20"/>
              </w:rPr>
            </w:pPr>
            <w:r>
              <w:rPr>
                <w:sz w:val="20"/>
                <w:szCs w:val="20"/>
              </w:rPr>
              <w:t xml:space="preserve">Регулируемый вид деятельности</w:t>
            </w:r>
            <w:r>
              <w:rPr>
                <w:sz w:val="20"/>
                <w:szCs w:val="20"/>
              </w:rPr>
            </w:r>
            <w:r>
              <w:rPr>
                <w:sz w:val="20"/>
                <w:szCs w:val="20"/>
              </w:rPr>
            </w:r>
          </w:p>
        </w:tc>
        <w:tc>
          <w:tcPr>
            <w:tcW w:w="2320" w:type="pct"/>
            <w:textDirection w:val="lrTb"/>
            <w:noWrap w:val="false"/>
          </w:tcPr>
          <w:p>
            <w:pPr>
              <w:rPr>
                <w:sz w:val="20"/>
                <w:szCs w:val="20"/>
              </w:rPr>
            </w:pPr>
            <w:r>
              <w:rPr>
                <w:sz w:val="20"/>
                <w:szCs w:val="20"/>
              </w:rPr>
              <w:t xml:space="preserve">Передача и сбыт тепловой энергии</w:t>
            </w:r>
            <w:r>
              <w:rPr>
                <w:sz w:val="20"/>
                <w:szCs w:val="20"/>
              </w:rPr>
            </w:r>
            <w:r>
              <w:rPr>
                <w:sz w:val="20"/>
                <w:szCs w:val="20"/>
              </w:rPr>
            </w:r>
          </w:p>
        </w:tc>
      </w:tr>
      <w:tr>
        <w:tblPrEx/>
        <w:trPr/>
        <w:tc>
          <w:tcPr>
            <w:tcW w:w="2680" w:type="pct"/>
            <w:textDirection w:val="lrTb"/>
            <w:noWrap w:val="false"/>
          </w:tcPr>
          <w:p>
            <w:pPr>
              <w:jc w:val="both"/>
              <w:rPr>
                <w:sz w:val="20"/>
                <w:szCs w:val="20"/>
              </w:rPr>
            </w:pPr>
            <w:r>
              <w:rPr>
                <w:sz w:val="20"/>
                <w:szCs w:val="20"/>
              </w:rPr>
              <w:t xml:space="preserve">Протяженность сетей (в однотрубном исчислении) (километров)</w:t>
            </w:r>
            <w:r>
              <w:rPr>
                <w:sz w:val="20"/>
                <w:szCs w:val="20"/>
              </w:rPr>
            </w:r>
            <w:r>
              <w:rPr>
                <w:sz w:val="20"/>
                <w:szCs w:val="20"/>
              </w:rPr>
            </w:r>
          </w:p>
        </w:tc>
        <w:tc>
          <w:tcPr>
            <w:tcW w:w="2320" w:type="pct"/>
            <w:textDirection w:val="lrTb"/>
            <w:noWrap w:val="false"/>
          </w:tcPr>
          <w:p>
            <w:pPr>
              <w:rPr>
                <w:sz w:val="20"/>
                <w:szCs w:val="20"/>
              </w:rPr>
            </w:pPr>
            <w:r>
              <w:rPr>
                <w:sz w:val="20"/>
                <w:szCs w:val="20"/>
              </w:rPr>
              <w:t xml:space="preserve">10,603</w:t>
            </w:r>
            <w:r>
              <w:rPr>
                <w:sz w:val="20"/>
                <w:szCs w:val="20"/>
              </w:rPr>
            </w:r>
            <w:r>
              <w:rPr>
                <w:sz w:val="20"/>
                <w:szCs w:val="20"/>
              </w:rPr>
            </w:r>
          </w:p>
        </w:tc>
      </w:tr>
      <w:tr>
        <w:tblPrEx/>
        <w:trPr/>
        <w:tc>
          <w:tcPr>
            <w:tcW w:w="2680" w:type="pct"/>
            <w:textDirection w:val="lrTb"/>
            <w:noWrap w:val="false"/>
          </w:tcPr>
          <w:p>
            <w:pPr>
              <w:jc w:val="both"/>
              <w:rPr>
                <w:sz w:val="20"/>
                <w:szCs w:val="20"/>
              </w:rPr>
            </w:pPr>
            <w:r>
              <w:rPr>
                <w:sz w:val="20"/>
                <w:szCs w:val="20"/>
              </w:rPr>
              <w:t xml:space="preserve">Количество котельных с указанием их установленной тепловой мощности (штук)</w:t>
            </w:r>
            <w:r>
              <w:rPr>
                <w:sz w:val="20"/>
                <w:szCs w:val="20"/>
              </w:rPr>
            </w:r>
            <w:r>
              <w:rPr>
                <w:sz w:val="20"/>
                <w:szCs w:val="20"/>
              </w:rPr>
            </w:r>
          </w:p>
        </w:tc>
        <w:tc>
          <w:tcPr>
            <w:tcW w:w="2320" w:type="pct"/>
            <w:textDirection w:val="lrTb"/>
            <w:noWrap w:val="false"/>
          </w:tcPr>
          <w:p>
            <w:pPr>
              <w:rPr>
                <w:sz w:val="20"/>
                <w:szCs w:val="20"/>
              </w:rPr>
            </w:pPr>
            <w:r>
              <w:rPr>
                <w:sz w:val="20"/>
                <w:szCs w:val="20"/>
              </w:rPr>
              <w:t xml:space="preserve">0</w:t>
            </w:r>
            <w:r>
              <w:rPr>
                <w:sz w:val="20"/>
                <w:szCs w:val="20"/>
              </w:rPr>
            </w:r>
            <w:r>
              <w:rPr>
                <w:sz w:val="20"/>
                <w:szCs w:val="20"/>
              </w:rPr>
            </w:r>
          </w:p>
        </w:tc>
      </w:tr>
    </w:tbl>
    <w:p>
      <w:pPr>
        <w:pStyle w:val="1247"/>
        <w:ind w:left="119" w:right="147" w:firstLine="709"/>
        <w:jc w:val="right"/>
      </w:pPr>
      <w:r/>
      <w:r/>
    </w:p>
    <w:p>
      <w:pPr>
        <w:pStyle w:val="1247"/>
        <w:ind w:left="119" w:right="147" w:firstLine="709"/>
        <w:jc w:val="right"/>
      </w:pPr>
      <w:r>
        <w:t xml:space="preserve">Таблица 1.10.1.2</w:t>
      </w:r>
      <w:r/>
    </w:p>
    <w:p>
      <w:pPr>
        <w:pStyle w:val="1247"/>
        <w:ind w:left="119" w:right="147" w:firstLine="23"/>
        <w:jc w:val="center"/>
        <w:rPr>
          <w:rFonts w:ascii="Liberation Serif" w:hAnsi="Liberation Serif" w:cs="Liberation Serif"/>
        </w:rPr>
      </w:pPr>
      <w:r>
        <w:t xml:space="preserve">Общая информация о регулируемой организации </w:t>
      </w:r>
      <w:r>
        <w:rPr>
          <w:rFonts w:ascii="Liberation Serif" w:hAnsi="Liberation Serif" w:cs="Liberation Serif"/>
        </w:rPr>
        <w:t xml:space="preserve">Южно-Уральская дирекции по тепловодоснабжению – СП ЦДТВ - филиала ОАО «РЖД»</w:t>
      </w:r>
      <w:r>
        <w:rPr>
          <w:rFonts w:ascii="Liberation Serif" w:hAnsi="Liberation Serif" w:cs="Liberation Serif"/>
        </w:rPr>
      </w:r>
      <w:r>
        <w:rPr>
          <w:rFonts w:ascii="Liberation Serif" w:hAnsi="Liberation Serif" w:cs="Liberation Serif"/>
        </w:rPr>
      </w:r>
    </w:p>
    <w:tbl>
      <w:tblPr>
        <w:tblW w:w="4937" w:type="pct"/>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73" w:type="dxa"/>
          <w:right w:w="73" w:type="dxa"/>
        </w:tblCellMar>
        <w:tblLook w:val="0000" w:firstRow="0" w:lastRow="0" w:firstColumn="0" w:lastColumn="0" w:noHBand="0" w:noVBand="0"/>
      </w:tblPr>
      <w:tblGrid>
        <w:gridCol w:w="5239"/>
        <w:gridCol w:w="4536"/>
      </w:tblGrid>
      <w:tr>
        <w:tblPrEx/>
        <w:trPr/>
        <w:tc>
          <w:tcPr>
            <w:tcW w:w="2680" w:type="pct"/>
            <w:textDirection w:val="lrTb"/>
            <w:noWrap w:val="false"/>
          </w:tcPr>
          <w:p>
            <w:pPr>
              <w:jc w:val="both"/>
              <w:rPr>
                <w:sz w:val="20"/>
                <w:szCs w:val="20"/>
              </w:rPr>
            </w:pPr>
            <w:r>
              <w:rPr>
                <w:sz w:val="20"/>
                <w:szCs w:val="20"/>
              </w:rPr>
              <w:t xml:space="preserve">Наименование юридического лица </w:t>
            </w:r>
            <w:r>
              <w:rPr>
                <w:sz w:val="20"/>
                <w:szCs w:val="20"/>
              </w:rPr>
            </w:r>
            <w:r>
              <w:rPr>
                <w:sz w:val="20"/>
                <w:szCs w:val="20"/>
              </w:rPr>
            </w:r>
          </w:p>
        </w:tc>
        <w:tc>
          <w:tcPr>
            <w:tcW w:w="2320" w:type="pct"/>
            <w:textDirection w:val="lrTb"/>
            <w:noWrap w:val="false"/>
          </w:tcPr>
          <w:p>
            <w:pPr>
              <w:rPr>
                <w:sz w:val="20"/>
                <w:szCs w:val="20"/>
              </w:rPr>
            </w:pPr>
            <w:r>
              <w:rPr>
                <w:sz w:val="20"/>
                <w:szCs w:val="20"/>
              </w:rPr>
              <w:t xml:space="preserve">Открытое акционерное общество «Российские железные дороги» (филиал Центральная дирекция по тепловодоснабжению - структурное подразделение Южно-Уральс</w:t>
            </w:r>
            <w:r>
              <w:rPr>
                <w:sz w:val="20"/>
                <w:szCs w:val="20"/>
              </w:rPr>
              <w:t xml:space="preserve">кая дирекция по тепловодоснабжению, Курганский территориальный участок)</w:t>
            </w:r>
            <w:r>
              <w:rPr>
                <w:sz w:val="20"/>
                <w:szCs w:val="20"/>
              </w:rPr>
            </w:r>
            <w:r>
              <w:rPr>
                <w:sz w:val="20"/>
                <w:szCs w:val="20"/>
              </w:rPr>
            </w:r>
          </w:p>
        </w:tc>
      </w:tr>
      <w:tr>
        <w:tblPrEx/>
        <w:trPr/>
        <w:tc>
          <w:tcPr>
            <w:tcW w:w="2680" w:type="pct"/>
            <w:textDirection w:val="lrTb"/>
            <w:noWrap w:val="false"/>
          </w:tcPr>
          <w:p>
            <w:pPr>
              <w:jc w:val="both"/>
              <w:rPr>
                <w:sz w:val="20"/>
                <w:szCs w:val="20"/>
              </w:rPr>
            </w:pPr>
            <w:r>
              <w:rPr>
                <w:sz w:val="20"/>
                <w:szCs w:val="20"/>
              </w:rPr>
              <w:t xml:space="preserve">Фамилия, имя и отчество руководителя регулируемой организации</w:t>
            </w:r>
            <w:r>
              <w:rPr>
                <w:sz w:val="20"/>
                <w:szCs w:val="20"/>
              </w:rPr>
            </w:r>
            <w:r>
              <w:rPr>
                <w:sz w:val="20"/>
                <w:szCs w:val="20"/>
              </w:rPr>
            </w:r>
          </w:p>
        </w:tc>
        <w:tc>
          <w:tcPr>
            <w:tcW w:w="2320" w:type="pct"/>
            <w:textDirection w:val="lrTb"/>
            <w:noWrap w:val="false"/>
          </w:tcPr>
          <w:p>
            <w:pPr>
              <w:rPr>
                <w:sz w:val="20"/>
                <w:szCs w:val="20"/>
              </w:rPr>
            </w:pPr>
            <w:r>
              <w:rPr>
                <w:sz w:val="20"/>
                <w:szCs w:val="20"/>
              </w:rPr>
              <w:t xml:space="preserve">Бейсенов Роман Рымтаевич</w:t>
            </w:r>
            <w:r>
              <w:rPr>
                <w:sz w:val="20"/>
                <w:szCs w:val="20"/>
              </w:rPr>
            </w:r>
            <w:r>
              <w:rPr>
                <w:sz w:val="20"/>
                <w:szCs w:val="20"/>
              </w:rPr>
            </w:r>
          </w:p>
        </w:tc>
      </w:tr>
      <w:tr>
        <w:tblPrEx/>
        <w:trPr/>
        <w:tc>
          <w:tcPr>
            <w:tcW w:w="2680" w:type="pct"/>
            <w:textDirection w:val="lrTb"/>
            <w:noWrap w:val="false"/>
          </w:tcPr>
          <w:p>
            <w:pPr>
              <w:jc w:val="both"/>
              <w:rPr>
                <w:sz w:val="20"/>
                <w:szCs w:val="20"/>
              </w:rPr>
            </w:pPr>
            <w:r>
              <w:rPr>
                <w:sz w:val="20"/>
                <w:szCs w:val="20"/>
              </w:rPr>
              <w:t xml:space="preserve">Основной государственный регистрационный номер, дата его присвоения и наименование органа, принявшего решение о регистрации в качестве юридического лица</w:t>
            </w:r>
            <w:r>
              <w:rPr>
                <w:sz w:val="20"/>
                <w:szCs w:val="20"/>
              </w:rPr>
            </w:r>
            <w:r>
              <w:rPr>
                <w:sz w:val="20"/>
                <w:szCs w:val="20"/>
              </w:rPr>
            </w:r>
          </w:p>
        </w:tc>
        <w:tc>
          <w:tcPr>
            <w:tcW w:w="2320" w:type="pct"/>
            <w:textDirection w:val="lrTb"/>
            <w:noWrap w:val="false"/>
          </w:tcPr>
          <w:p>
            <w:pPr>
              <w:rPr>
                <w:sz w:val="20"/>
                <w:szCs w:val="20"/>
              </w:rPr>
            </w:pPr>
            <w:r>
              <w:rPr>
                <w:sz w:val="20"/>
                <w:szCs w:val="20"/>
              </w:rPr>
              <w:t xml:space="preserve">ОГРН  № 1037739877295 от 23.09.2003г., </w:t>
            </w:r>
            <w:r>
              <w:rPr>
                <w:sz w:val="20"/>
                <w:szCs w:val="20"/>
              </w:rPr>
              <w:t xml:space="preserve">Инспекция ФНС России № 8 по г. Москве</w:t>
            </w:r>
            <w:r>
              <w:rPr>
                <w:sz w:val="20"/>
                <w:szCs w:val="20"/>
              </w:rPr>
            </w:r>
            <w:r>
              <w:rPr>
                <w:sz w:val="20"/>
                <w:szCs w:val="20"/>
              </w:rPr>
            </w:r>
          </w:p>
        </w:tc>
      </w:tr>
      <w:tr>
        <w:tblPrEx/>
        <w:trPr/>
        <w:tc>
          <w:tcPr>
            <w:tcW w:w="2680" w:type="pct"/>
            <w:textDirection w:val="lrTb"/>
            <w:noWrap w:val="false"/>
          </w:tcPr>
          <w:p>
            <w:pPr>
              <w:jc w:val="both"/>
              <w:rPr>
                <w:sz w:val="20"/>
                <w:szCs w:val="20"/>
              </w:rPr>
            </w:pPr>
            <w:r>
              <w:rPr>
                <w:sz w:val="20"/>
                <w:szCs w:val="20"/>
              </w:rPr>
              <w:t xml:space="preserve">Почтовый адрес регулируемой организации</w:t>
            </w:r>
            <w:r>
              <w:rPr>
                <w:sz w:val="20"/>
                <w:szCs w:val="20"/>
              </w:rPr>
            </w:r>
            <w:r>
              <w:rPr>
                <w:sz w:val="20"/>
                <w:szCs w:val="20"/>
              </w:rPr>
            </w:r>
          </w:p>
        </w:tc>
        <w:tc>
          <w:tcPr>
            <w:tcW w:w="2320" w:type="pct"/>
            <w:textDirection w:val="lrTb"/>
            <w:noWrap w:val="false"/>
          </w:tcPr>
          <w:p>
            <w:pPr>
              <w:rPr>
                <w:sz w:val="20"/>
                <w:szCs w:val="20"/>
              </w:rPr>
            </w:pPr>
            <w:r>
              <w:rPr>
                <w:sz w:val="20"/>
                <w:szCs w:val="20"/>
              </w:rPr>
              <w:t xml:space="preserve">Южно-Уральская дирекция по тепловодоснабжению, </w:t>
            </w:r>
            <w:r>
              <w:rPr>
                <w:sz w:val="20"/>
                <w:szCs w:val="20"/>
              </w:rPr>
              <w:t xml:space="preserve">454078, г</w:t>
            </w:r>
            <w:r>
              <w:rPr>
                <w:sz w:val="20"/>
                <w:szCs w:val="20"/>
              </w:rPr>
              <w:t xml:space="preserve">. Челябинск, ул. Вагнера, д.78-а</w:t>
            </w:r>
            <w:r>
              <w:rPr>
                <w:sz w:val="20"/>
                <w:szCs w:val="20"/>
              </w:rPr>
            </w:r>
            <w:r>
              <w:rPr>
                <w:sz w:val="20"/>
                <w:szCs w:val="20"/>
              </w:rPr>
            </w:r>
          </w:p>
        </w:tc>
      </w:tr>
      <w:tr>
        <w:tblPrEx/>
        <w:trPr/>
        <w:tc>
          <w:tcPr>
            <w:tcW w:w="2680" w:type="pct"/>
            <w:textDirection w:val="lrTb"/>
            <w:noWrap w:val="false"/>
          </w:tcPr>
          <w:p>
            <w:pPr>
              <w:jc w:val="both"/>
              <w:rPr>
                <w:sz w:val="20"/>
                <w:szCs w:val="20"/>
              </w:rPr>
            </w:pPr>
            <w:r>
              <w:rPr>
                <w:sz w:val="20"/>
                <w:szCs w:val="20"/>
              </w:rPr>
              <w:t xml:space="preserve">Адрес фактического местонахождения органов управления регулируемой организации</w:t>
            </w:r>
            <w:r>
              <w:rPr>
                <w:sz w:val="20"/>
                <w:szCs w:val="20"/>
              </w:rPr>
            </w:r>
            <w:r>
              <w:rPr>
                <w:sz w:val="20"/>
                <w:szCs w:val="20"/>
              </w:rPr>
            </w:r>
          </w:p>
        </w:tc>
        <w:tc>
          <w:tcPr>
            <w:tcW w:w="2320" w:type="pct"/>
            <w:textDirection w:val="lrTb"/>
            <w:noWrap w:val="false"/>
          </w:tcPr>
          <w:p>
            <w:pPr>
              <w:rPr>
                <w:sz w:val="20"/>
                <w:szCs w:val="20"/>
              </w:rPr>
            </w:pPr>
            <w:r>
              <w:rPr>
                <w:sz w:val="20"/>
                <w:szCs w:val="20"/>
              </w:rPr>
              <w:t xml:space="preserve">640007, г. Курган, ул. Омская, д.68</w:t>
            </w:r>
            <w:r>
              <w:rPr>
                <w:sz w:val="20"/>
                <w:szCs w:val="20"/>
              </w:rPr>
            </w:r>
            <w:r>
              <w:rPr>
                <w:sz w:val="20"/>
                <w:szCs w:val="20"/>
              </w:rPr>
            </w:r>
          </w:p>
        </w:tc>
      </w:tr>
      <w:tr>
        <w:tblPrEx/>
        <w:trPr/>
        <w:tc>
          <w:tcPr>
            <w:tcW w:w="2680" w:type="pct"/>
            <w:textDirection w:val="lrTb"/>
            <w:noWrap w:val="false"/>
          </w:tcPr>
          <w:p>
            <w:pPr>
              <w:jc w:val="both"/>
              <w:rPr>
                <w:sz w:val="20"/>
                <w:szCs w:val="20"/>
              </w:rPr>
            </w:pPr>
            <w:r>
              <w:rPr>
                <w:sz w:val="20"/>
                <w:szCs w:val="20"/>
              </w:rPr>
              <w:t xml:space="preserve">Контактные телефоны </w:t>
            </w:r>
            <w:r>
              <w:rPr>
                <w:sz w:val="20"/>
                <w:szCs w:val="20"/>
              </w:rPr>
            </w:r>
            <w:r>
              <w:rPr>
                <w:sz w:val="20"/>
                <w:szCs w:val="20"/>
              </w:rPr>
            </w:r>
          </w:p>
        </w:tc>
        <w:tc>
          <w:tcPr>
            <w:tcW w:w="2320" w:type="pct"/>
            <w:textDirection w:val="lrTb"/>
            <w:noWrap w:val="false"/>
          </w:tcPr>
          <w:p>
            <w:pPr>
              <w:rPr>
                <w:sz w:val="20"/>
                <w:szCs w:val="20"/>
              </w:rPr>
            </w:pPr>
            <w:r>
              <w:rPr>
                <w:sz w:val="20"/>
                <w:szCs w:val="20"/>
                <w:lang w:val="en-US"/>
              </w:rPr>
              <w:t xml:space="preserve">( 8-3522) 49-2</w:t>
            </w:r>
            <w:r>
              <w:rPr>
                <w:sz w:val="20"/>
                <w:szCs w:val="20"/>
              </w:rPr>
              <w:t xml:space="preserve">2</w:t>
            </w:r>
            <w:r>
              <w:rPr>
                <w:sz w:val="20"/>
                <w:szCs w:val="20"/>
                <w:lang w:val="en-US"/>
              </w:rPr>
              <w:t xml:space="preserve">-7</w:t>
            </w:r>
            <w:r>
              <w:rPr>
                <w:sz w:val="20"/>
                <w:szCs w:val="20"/>
              </w:rPr>
              <w:t xml:space="preserve">5 (приемная)</w:t>
            </w:r>
            <w:r>
              <w:rPr>
                <w:sz w:val="20"/>
                <w:szCs w:val="20"/>
              </w:rPr>
            </w:r>
            <w:r>
              <w:rPr>
                <w:sz w:val="20"/>
                <w:szCs w:val="20"/>
              </w:rPr>
            </w:r>
          </w:p>
        </w:tc>
      </w:tr>
      <w:tr>
        <w:tblPrEx/>
        <w:trPr/>
        <w:tc>
          <w:tcPr>
            <w:tcW w:w="2680" w:type="pct"/>
            <w:textDirection w:val="lrTb"/>
            <w:noWrap w:val="false"/>
          </w:tcPr>
          <w:p>
            <w:pPr>
              <w:jc w:val="both"/>
              <w:rPr>
                <w:sz w:val="20"/>
                <w:szCs w:val="20"/>
              </w:rPr>
            </w:pPr>
            <w:r>
              <w:rPr>
                <w:sz w:val="20"/>
                <w:szCs w:val="20"/>
              </w:rPr>
              <w:t xml:space="preserve">Официальный сайт регулируемой организации в сети Интернет</w:t>
            </w:r>
            <w:r>
              <w:rPr>
                <w:sz w:val="20"/>
                <w:szCs w:val="20"/>
              </w:rPr>
            </w:r>
            <w:r>
              <w:rPr>
                <w:sz w:val="20"/>
                <w:szCs w:val="20"/>
              </w:rPr>
            </w:r>
          </w:p>
        </w:tc>
        <w:tc>
          <w:tcPr>
            <w:tcW w:w="2320" w:type="pct"/>
            <w:textDirection w:val="lrTb"/>
            <w:noWrap w:val="false"/>
          </w:tcPr>
          <w:p>
            <w:pPr>
              <w:rPr>
                <w:sz w:val="20"/>
                <w:szCs w:val="20"/>
              </w:rPr>
            </w:pPr>
            <w:r>
              <w:rPr>
                <w:sz w:val="20"/>
                <w:szCs w:val="20"/>
              </w:rPr>
              <w:t xml:space="preserve">https://www.rzd.ru/</w:t>
            </w:r>
            <w:r>
              <w:rPr>
                <w:sz w:val="20"/>
                <w:szCs w:val="20"/>
              </w:rPr>
            </w:r>
            <w:r>
              <w:rPr>
                <w:sz w:val="20"/>
                <w:szCs w:val="20"/>
              </w:rPr>
            </w:r>
          </w:p>
        </w:tc>
      </w:tr>
      <w:tr>
        <w:tblPrEx/>
        <w:trPr/>
        <w:tc>
          <w:tcPr>
            <w:tcW w:w="2680" w:type="pct"/>
            <w:textDirection w:val="lrTb"/>
            <w:noWrap w:val="false"/>
          </w:tcPr>
          <w:p>
            <w:pPr>
              <w:jc w:val="both"/>
              <w:rPr>
                <w:sz w:val="20"/>
                <w:szCs w:val="20"/>
              </w:rPr>
            </w:pPr>
            <w:r>
              <w:rPr>
                <w:sz w:val="20"/>
                <w:szCs w:val="20"/>
              </w:rPr>
              <w:t xml:space="preserve">Адрес электронной почты регулируемой организации</w:t>
            </w:r>
            <w:r>
              <w:rPr>
                <w:sz w:val="20"/>
                <w:szCs w:val="20"/>
              </w:rPr>
            </w:r>
            <w:r>
              <w:rPr>
                <w:sz w:val="20"/>
                <w:szCs w:val="20"/>
              </w:rPr>
            </w:r>
          </w:p>
        </w:tc>
        <w:tc>
          <w:tcPr>
            <w:tcW w:w="2320" w:type="pct"/>
            <w:textDirection w:val="lrTb"/>
            <w:noWrap w:val="false"/>
          </w:tcPr>
          <w:p>
            <w:pPr>
              <w:rPr>
                <w:sz w:val="20"/>
                <w:szCs w:val="20"/>
              </w:rPr>
            </w:pPr>
            <w:r/>
            <w:hyperlink r:id="rId19" w:tooltip="mailto:YUR-DTVU3@surw.ru" w:history="1">
              <w:r>
                <w:rPr>
                  <w:rStyle w:val="1267"/>
                  <w:color w:val="auto"/>
                  <w:sz w:val="20"/>
                  <w:szCs w:val="20"/>
                  <w:u w:val="none"/>
                  <w:lang w:val="en-US"/>
                </w:rPr>
                <w:t xml:space="preserve">YUR</w:t>
              </w:r>
              <w:r>
                <w:rPr>
                  <w:rStyle w:val="1267"/>
                  <w:color w:val="auto"/>
                  <w:sz w:val="20"/>
                  <w:szCs w:val="20"/>
                  <w:u w:val="none"/>
                </w:rPr>
                <w:t xml:space="preserve">-</w:t>
              </w:r>
              <w:r>
                <w:rPr>
                  <w:rStyle w:val="1267"/>
                  <w:color w:val="auto"/>
                  <w:sz w:val="20"/>
                  <w:szCs w:val="20"/>
                  <w:u w:val="none"/>
                  <w:lang w:val="en-US"/>
                </w:rPr>
                <w:t xml:space="preserve">DTVU</w:t>
              </w:r>
              <w:r>
                <w:rPr>
                  <w:rStyle w:val="1267"/>
                  <w:color w:val="auto"/>
                  <w:sz w:val="20"/>
                  <w:szCs w:val="20"/>
                  <w:u w:val="none"/>
                </w:rPr>
                <w:t xml:space="preserve">3@</w:t>
              </w:r>
              <w:r>
                <w:rPr>
                  <w:rStyle w:val="1267"/>
                  <w:color w:val="auto"/>
                  <w:sz w:val="20"/>
                  <w:szCs w:val="20"/>
                  <w:u w:val="none"/>
                  <w:lang w:val="en-US"/>
                </w:rPr>
                <w:t xml:space="preserve">surw</w:t>
              </w:r>
              <w:r>
                <w:rPr>
                  <w:rStyle w:val="1267"/>
                  <w:color w:val="auto"/>
                  <w:sz w:val="20"/>
                  <w:szCs w:val="20"/>
                  <w:u w:val="none"/>
                </w:rPr>
                <w:t xml:space="preserve">.</w:t>
              </w:r>
              <w:r>
                <w:rPr>
                  <w:rStyle w:val="1267"/>
                  <w:color w:val="auto"/>
                  <w:sz w:val="20"/>
                  <w:szCs w:val="20"/>
                  <w:u w:val="none"/>
                  <w:lang w:val="en-US"/>
                </w:rPr>
                <w:t xml:space="preserve">ru</w:t>
              </w:r>
            </w:hyperlink>
            <w:r>
              <w:rPr>
                <w:sz w:val="20"/>
                <w:szCs w:val="20"/>
              </w:rPr>
              <w:t xml:space="preserve"> (приемная)</w:t>
            </w:r>
            <w:r>
              <w:rPr>
                <w:sz w:val="20"/>
                <w:szCs w:val="20"/>
              </w:rPr>
            </w:r>
            <w:r>
              <w:rPr>
                <w:sz w:val="20"/>
                <w:szCs w:val="20"/>
              </w:rPr>
            </w:r>
          </w:p>
          <w:p>
            <w:pPr>
              <w:rPr>
                <w:sz w:val="20"/>
                <w:szCs w:val="20"/>
              </w:rPr>
            </w:pPr>
            <w:r/>
            <w:hyperlink r:id="rId20" w:tooltip="mailto:kurgan-ngchvbuh@surw.ru" w:history="1">
              <w:r>
                <w:rPr>
                  <w:rStyle w:val="1267"/>
                  <w:color w:val="auto"/>
                  <w:sz w:val="20"/>
                  <w:szCs w:val="20"/>
                  <w:u w:val="none"/>
                  <w:lang w:val="en-US"/>
                </w:rPr>
                <w:t xml:space="preserve">kurgan</w:t>
              </w:r>
              <w:r>
                <w:rPr>
                  <w:rStyle w:val="1267"/>
                  <w:color w:val="auto"/>
                  <w:sz w:val="20"/>
                  <w:szCs w:val="20"/>
                  <w:u w:val="none"/>
                </w:rPr>
                <w:t xml:space="preserve">-</w:t>
              </w:r>
              <w:r>
                <w:rPr>
                  <w:rStyle w:val="1267"/>
                  <w:color w:val="auto"/>
                  <w:sz w:val="20"/>
                  <w:szCs w:val="20"/>
                  <w:u w:val="none"/>
                  <w:lang w:val="en-US"/>
                </w:rPr>
                <w:t xml:space="preserve">ngchvbuh</w:t>
              </w:r>
              <w:r>
                <w:rPr>
                  <w:rStyle w:val="1267"/>
                  <w:color w:val="auto"/>
                  <w:sz w:val="20"/>
                  <w:szCs w:val="20"/>
                  <w:u w:val="none"/>
                </w:rPr>
                <w:t xml:space="preserve">@</w:t>
              </w:r>
              <w:r>
                <w:rPr>
                  <w:rStyle w:val="1267"/>
                  <w:color w:val="auto"/>
                  <w:sz w:val="20"/>
                  <w:szCs w:val="20"/>
                  <w:u w:val="none"/>
                  <w:lang w:val="en-US"/>
                </w:rPr>
                <w:t xml:space="preserve">surw</w:t>
              </w:r>
              <w:r>
                <w:rPr>
                  <w:rStyle w:val="1267"/>
                  <w:color w:val="auto"/>
                  <w:sz w:val="20"/>
                  <w:szCs w:val="20"/>
                  <w:u w:val="none"/>
                </w:rPr>
                <w:t xml:space="preserve">.</w:t>
              </w:r>
              <w:r>
                <w:rPr>
                  <w:rStyle w:val="1267"/>
                  <w:color w:val="auto"/>
                  <w:sz w:val="20"/>
                  <w:szCs w:val="20"/>
                  <w:u w:val="none"/>
                  <w:lang w:val="en-US"/>
                </w:rPr>
                <w:t xml:space="preserve">ru</w:t>
              </w:r>
            </w:hyperlink>
            <w:r>
              <w:rPr>
                <w:sz w:val="20"/>
                <w:szCs w:val="20"/>
              </w:rPr>
              <w:t xml:space="preserve"> (экономист)</w:t>
            </w:r>
            <w:r>
              <w:rPr>
                <w:sz w:val="20"/>
                <w:szCs w:val="20"/>
              </w:rPr>
            </w:r>
            <w:r>
              <w:rPr>
                <w:sz w:val="20"/>
                <w:szCs w:val="20"/>
              </w:rPr>
            </w:r>
          </w:p>
        </w:tc>
      </w:tr>
      <w:tr>
        <w:tblPrEx/>
        <w:trPr/>
        <w:tc>
          <w:tcPr>
            <w:tcW w:w="2680" w:type="pct"/>
            <w:textDirection w:val="lrTb"/>
            <w:noWrap w:val="false"/>
          </w:tcPr>
          <w:p>
            <w:pPr>
              <w:jc w:val="both"/>
              <w:rPr>
                <w:sz w:val="20"/>
                <w:szCs w:val="20"/>
              </w:rPr>
            </w:pPr>
            <w:r>
              <w:rPr>
                <w:sz w:val="20"/>
                <w:szCs w:val="20"/>
              </w:rPr>
              <w:t xml:space="preserve">Режим работы регулируемой организации (абонентских отделов, сбытовых подразделений, диспетчерских служб)</w:t>
            </w:r>
            <w:r>
              <w:rPr>
                <w:sz w:val="20"/>
                <w:szCs w:val="20"/>
              </w:rPr>
            </w:r>
            <w:r>
              <w:rPr>
                <w:sz w:val="20"/>
                <w:szCs w:val="20"/>
              </w:rPr>
            </w:r>
          </w:p>
        </w:tc>
        <w:tc>
          <w:tcPr>
            <w:tcW w:w="2320" w:type="pct"/>
            <w:textDirection w:val="lrTb"/>
            <w:noWrap w:val="false"/>
          </w:tcPr>
          <w:p>
            <w:pPr>
              <w:rPr>
                <w:sz w:val="20"/>
                <w:szCs w:val="20"/>
              </w:rPr>
            </w:pPr>
            <w:r>
              <w:rPr>
                <w:sz w:val="20"/>
                <w:szCs w:val="20"/>
              </w:rPr>
              <w:t xml:space="preserve">Пн – Пят – с 8.00 до 17.00</w:t>
            </w:r>
            <w:r>
              <w:rPr>
                <w:sz w:val="20"/>
                <w:szCs w:val="20"/>
              </w:rPr>
            </w:r>
            <w:r>
              <w:rPr>
                <w:sz w:val="20"/>
                <w:szCs w:val="20"/>
              </w:rPr>
            </w:r>
          </w:p>
          <w:p>
            <w:pPr>
              <w:rPr>
                <w:sz w:val="20"/>
                <w:szCs w:val="20"/>
              </w:rPr>
            </w:pPr>
            <w:r>
              <w:rPr>
                <w:sz w:val="20"/>
                <w:szCs w:val="20"/>
              </w:rPr>
              <w:t xml:space="preserve">Перерыв с 12:30-13:30 часов.</w:t>
            </w:r>
            <w:r>
              <w:rPr>
                <w:sz w:val="20"/>
                <w:szCs w:val="20"/>
              </w:rPr>
            </w:r>
            <w:r>
              <w:rPr>
                <w:sz w:val="20"/>
                <w:szCs w:val="20"/>
              </w:rPr>
            </w:r>
          </w:p>
        </w:tc>
      </w:tr>
      <w:tr>
        <w:tblPrEx/>
        <w:trPr/>
        <w:tc>
          <w:tcPr>
            <w:tcW w:w="2680" w:type="pct"/>
            <w:textDirection w:val="lrTb"/>
            <w:noWrap w:val="false"/>
          </w:tcPr>
          <w:p>
            <w:pPr>
              <w:jc w:val="both"/>
              <w:rPr>
                <w:sz w:val="20"/>
                <w:szCs w:val="20"/>
              </w:rPr>
            </w:pPr>
            <w:r>
              <w:rPr>
                <w:sz w:val="20"/>
                <w:szCs w:val="20"/>
              </w:rPr>
              <w:t xml:space="preserve">Регулируемый вид деятельности</w:t>
            </w:r>
            <w:r>
              <w:rPr>
                <w:sz w:val="20"/>
                <w:szCs w:val="20"/>
              </w:rPr>
            </w:r>
            <w:r>
              <w:rPr>
                <w:sz w:val="20"/>
                <w:szCs w:val="20"/>
              </w:rPr>
            </w:r>
          </w:p>
        </w:tc>
        <w:tc>
          <w:tcPr>
            <w:tcW w:w="2320" w:type="pct"/>
            <w:textDirection w:val="lrTb"/>
            <w:noWrap w:val="false"/>
          </w:tcPr>
          <w:p>
            <w:pPr>
              <w:rPr>
                <w:sz w:val="20"/>
                <w:szCs w:val="20"/>
              </w:rPr>
            </w:pPr>
            <w:r>
              <w:rPr>
                <w:sz w:val="20"/>
                <w:szCs w:val="20"/>
              </w:rPr>
              <w:t xml:space="preserve">Производство пара и горячей воды (тепловой энергии)</w:t>
            </w:r>
            <w:r>
              <w:rPr>
                <w:sz w:val="20"/>
                <w:szCs w:val="20"/>
              </w:rPr>
            </w:r>
            <w:r>
              <w:rPr>
                <w:sz w:val="20"/>
                <w:szCs w:val="20"/>
              </w:rPr>
            </w:r>
          </w:p>
        </w:tc>
      </w:tr>
      <w:tr>
        <w:tblPrEx/>
        <w:trPr/>
        <w:tc>
          <w:tcPr>
            <w:tcW w:w="2680" w:type="pct"/>
            <w:textDirection w:val="lrTb"/>
            <w:noWrap w:val="false"/>
          </w:tcPr>
          <w:p>
            <w:pPr>
              <w:jc w:val="both"/>
              <w:rPr>
                <w:sz w:val="20"/>
                <w:szCs w:val="20"/>
              </w:rPr>
            </w:pPr>
            <w:r>
              <w:rPr>
                <w:sz w:val="20"/>
                <w:szCs w:val="20"/>
              </w:rPr>
              <w:t xml:space="preserve">Протяженность сетей (в однотрубном исчислении) (километров)</w:t>
            </w:r>
            <w:r>
              <w:rPr>
                <w:sz w:val="20"/>
                <w:szCs w:val="20"/>
              </w:rPr>
            </w:r>
            <w:r>
              <w:rPr>
                <w:sz w:val="20"/>
                <w:szCs w:val="20"/>
              </w:rPr>
            </w:r>
          </w:p>
        </w:tc>
        <w:tc>
          <w:tcPr>
            <w:tcW w:w="2320" w:type="pct"/>
            <w:textDirection w:val="lrTb"/>
            <w:noWrap w:val="false"/>
          </w:tcPr>
          <w:p>
            <w:pPr>
              <w:rPr>
                <w:sz w:val="20"/>
                <w:szCs w:val="20"/>
              </w:rPr>
            </w:pPr>
            <w:r>
              <w:rPr>
                <w:sz w:val="20"/>
                <w:szCs w:val="20"/>
              </w:rPr>
              <w:t xml:space="preserve">1,236</w:t>
            </w:r>
            <w:r>
              <w:rPr>
                <w:sz w:val="20"/>
                <w:szCs w:val="20"/>
              </w:rPr>
            </w:r>
            <w:r>
              <w:rPr>
                <w:sz w:val="20"/>
                <w:szCs w:val="20"/>
              </w:rPr>
            </w:r>
          </w:p>
        </w:tc>
      </w:tr>
      <w:tr>
        <w:tblPrEx/>
        <w:trPr/>
        <w:tc>
          <w:tcPr>
            <w:tcW w:w="2680" w:type="pct"/>
            <w:textDirection w:val="lrTb"/>
            <w:noWrap w:val="false"/>
          </w:tcPr>
          <w:p>
            <w:pPr>
              <w:jc w:val="both"/>
              <w:rPr>
                <w:sz w:val="20"/>
                <w:szCs w:val="20"/>
              </w:rPr>
            </w:pPr>
            <w:r>
              <w:rPr>
                <w:sz w:val="20"/>
                <w:szCs w:val="20"/>
              </w:rPr>
              <w:t xml:space="preserve">Количество котельных с указанием их установленной тепловой мощности (штук)</w:t>
            </w:r>
            <w:r>
              <w:rPr>
                <w:sz w:val="20"/>
                <w:szCs w:val="20"/>
              </w:rPr>
            </w:r>
            <w:r>
              <w:rPr>
                <w:sz w:val="20"/>
                <w:szCs w:val="20"/>
              </w:rPr>
            </w:r>
          </w:p>
        </w:tc>
        <w:tc>
          <w:tcPr>
            <w:tcW w:w="2320" w:type="pct"/>
            <w:textDirection w:val="lrTb"/>
            <w:noWrap w:val="false"/>
          </w:tcPr>
          <w:p>
            <w:pPr>
              <w:rPr>
                <w:sz w:val="20"/>
                <w:szCs w:val="20"/>
              </w:rPr>
            </w:pPr>
            <w:r>
              <w:rPr>
                <w:sz w:val="20"/>
                <w:szCs w:val="20"/>
              </w:rPr>
              <w:t xml:space="preserve">1 (0,96 Гкал/час.)</w:t>
            </w:r>
            <w:r>
              <w:rPr>
                <w:sz w:val="20"/>
                <w:szCs w:val="20"/>
              </w:rPr>
            </w:r>
            <w:r>
              <w:rPr>
                <w:sz w:val="20"/>
                <w:szCs w:val="20"/>
              </w:rPr>
            </w:r>
          </w:p>
        </w:tc>
      </w:tr>
    </w:tbl>
    <w:p>
      <w:pPr>
        <w:pStyle w:val="1247"/>
        <w:ind w:left="119" w:right="147" w:firstLine="709"/>
        <w:jc w:val="right"/>
      </w:pPr>
      <w:r/>
      <w:r/>
    </w:p>
    <w:p>
      <w:pPr>
        <w:pStyle w:val="1247"/>
        <w:ind w:left="119" w:right="147" w:firstLine="709"/>
        <w:jc w:val="right"/>
      </w:pPr>
      <w:r>
        <w:t xml:space="preserve">Таблица 1.10.1.3</w:t>
      </w:r>
      <w:r/>
    </w:p>
    <w:p>
      <w:pPr>
        <w:pStyle w:val="1247"/>
        <w:ind w:left="119" w:right="147" w:firstLine="23"/>
        <w:jc w:val="center"/>
      </w:pPr>
      <w:r>
        <w:t xml:space="preserve">Общая информация о регулируемой организации ФКУ ИК №7 УФСИН России по Курганской области</w:t>
      </w:r>
      <w:r/>
    </w:p>
    <w:tbl>
      <w:tblPr>
        <w:tblW w:w="5000" w:type="pct"/>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73" w:type="dxa"/>
          <w:right w:w="73" w:type="dxa"/>
        </w:tblCellMar>
        <w:tblLook w:val="0000" w:firstRow="0" w:lastRow="0" w:firstColumn="0" w:lastColumn="0" w:noHBand="0" w:noVBand="0"/>
      </w:tblPr>
      <w:tblGrid>
        <w:gridCol w:w="5312"/>
        <w:gridCol w:w="4588"/>
      </w:tblGrid>
      <w:tr>
        <w:tblPrEx/>
        <w:trPr/>
        <w:tc>
          <w:tcPr>
            <w:tcW w:w="2683" w:type="pct"/>
            <w:textDirection w:val="lrTb"/>
            <w:noWrap w:val="false"/>
          </w:tcPr>
          <w:p>
            <w:pPr>
              <w:jc w:val="both"/>
              <w:rPr>
                <w:sz w:val="20"/>
                <w:szCs w:val="20"/>
              </w:rPr>
            </w:pPr>
            <w:r>
              <w:rPr>
                <w:sz w:val="20"/>
                <w:szCs w:val="20"/>
              </w:rPr>
              <w:t xml:space="preserve">Наименование юридического лица </w:t>
            </w:r>
            <w:r>
              <w:rPr>
                <w:sz w:val="20"/>
                <w:szCs w:val="20"/>
              </w:rPr>
            </w:r>
            <w:r>
              <w:rPr>
                <w:sz w:val="20"/>
                <w:szCs w:val="20"/>
              </w:rPr>
            </w:r>
          </w:p>
        </w:tc>
        <w:tc>
          <w:tcPr>
            <w:tcW w:w="2317" w:type="pct"/>
            <w:textDirection w:val="lrTb"/>
            <w:noWrap w:val="false"/>
          </w:tcPr>
          <w:p>
            <w:pPr>
              <w:rPr>
                <w:sz w:val="20"/>
                <w:szCs w:val="20"/>
              </w:rPr>
            </w:pPr>
            <w:r>
              <w:rPr>
                <w:sz w:val="20"/>
                <w:szCs w:val="20"/>
              </w:rPr>
              <w:t xml:space="preserve">Федеральное казенное учреждение "Исправительная колония № 7 Управления Федеральной службы исполнения наказаний по Курганской области"</w:t>
            </w:r>
            <w:r>
              <w:rPr>
                <w:sz w:val="20"/>
                <w:szCs w:val="20"/>
              </w:rPr>
            </w:r>
            <w:r>
              <w:rPr>
                <w:sz w:val="20"/>
                <w:szCs w:val="20"/>
              </w:rPr>
            </w:r>
          </w:p>
        </w:tc>
      </w:tr>
      <w:tr>
        <w:tblPrEx/>
        <w:trPr/>
        <w:tc>
          <w:tcPr>
            <w:tcW w:w="2683" w:type="pct"/>
            <w:textDirection w:val="lrTb"/>
            <w:noWrap w:val="false"/>
          </w:tcPr>
          <w:p>
            <w:pPr>
              <w:jc w:val="both"/>
              <w:rPr>
                <w:sz w:val="20"/>
                <w:szCs w:val="20"/>
              </w:rPr>
            </w:pPr>
            <w:r>
              <w:rPr>
                <w:sz w:val="20"/>
                <w:szCs w:val="20"/>
              </w:rPr>
              <w:t xml:space="preserve">Фамилия, имя и отчество руководителя регулируемой организации</w:t>
            </w:r>
            <w:r>
              <w:rPr>
                <w:sz w:val="20"/>
                <w:szCs w:val="20"/>
              </w:rPr>
            </w:r>
            <w:r>
              <w:rPr>
                <w:sz w:val="20"/>
                <w:szCs w:val="20"/>
              </w:rPr>
            </w:r>
          </w:p>
        </w:tc>
        <w:tc>
          <w:tcPr>
            <w:tcW w:w="2317" w:type="pct"/>
            <w:textDirection w:val="lrTb"/>
            <w:noWrap w:val="false"/>
          </w:tcPr>
          <w:p>
            <w:pPr>
              <w:rPr>
                <w:sz w:val="20"/>
                <w:szCs w:val="20"/>
              </w:rPr>
            </w:pPr>
            <w:r>
              <w:rPr>
                <w:sz w:val="20"/>
                <w:szCs w:val="20"/>
              </w:rPr>
              <w:t xml:space="preserve">Белых Маро Манвеловна </w:t>
            </w:r>
            <w:r>
              <w:rPr>
                <w:sz w:val="20"/>
                <w:szCs w:val="20"/>
              </w:rPr>
            </w:r>
            <w:r>
              <w:rPr>
                <w:sz w:val="20"/>
                <w:szCs w:val="20"/>
              </w:rPr>
            </w:r>
          </w:p>
        </w:tc>
      </w:tr>
      <w:tr>
        <w:tblPrEx/>
        <w:trPr/>
        <w:tc>
          <w:tcPr>
            <w:tcW w:w="2683" w:type="pct"/>
            <w:textDirection w:val="lrTb"/>
            <w:noWrap w:val="false"/>
          </w:tcPr>
          <w:p>
            <w:pPr>
              <w:jc w:val="both"/>
              <w:rPr>
                <w:sz w:val="20"/>
                <w:szCs w:val="20"/>
              </w:rPr>
            </w:pPr>
            <w:r>
              <w:rPr>
                <w:sz w:val="20"/>
                <w:szCs w:val="20"/>
              </w:rPr>
              <w:t xml:space="preserve">Основной государственный регистрационный номер, дата его присвоения и наименование органа, принявшего решение о регистрации в качестве юридического лица</w:t>
            </w:r>
            <w:r>
              <w:rPr>
                <w:sz w:val="20"/>
                <w:szCs w:val="20"/>
              </w:rPr>
            </w:r>
            <w:r>
              <w:rPr>
                <w:sz w:val="20"/>
                <w:szCs w:val="20"/>
              </w:rPr>
            </w:r>
          </w:p>
        </w:tc>
        <w:tc>
          <w:tcPr>
            <w:tcW w:w="2317" w:type="pct"/>
            <w:textDirection w:val="lrTb"/>
            <w:noWrap w:val="false"/>
          </w:tcPr>
          <w:p>
            <w:pPr>
              <w:rPr>
                <w:sz w:val="20"/>
                <w:szCs w:val="20"/>
              </w:rPr>
            </w:pPr>
            <w:r>
              <w:rPr>
                <w:sz w:val="20"/>
                <w:szCs w:val="20"/>
              </w:rPr>
              <w:t xml:space="preserve">ОГРН  № 1024502051815 </w:t>
            </w:r>
            <w:r>
              <w:rPr>
                <w:sz w:val="20"/>
                <w:szCs w:val="20"/>
              </w:rPr>
              <w:t xml:space="preserve">от 18.11.2002</w:t>
            </w:r>
            <w:r>
              <w:rPr>
                <w:sz w:val="20"/>
                <w:szCs w:val="20"/>
              </w:rPr>
              <w:t xml:space="preserve">г.</w:t>
            </w:r>
            <w:r>
              <w:rPr>
                <w:sz w:val="20"/>
                <w:szCs w:val="20"/>
              </w:rPr>
              <w:t xml:space="preserve">, Управление ФНС России по Курганской области</w:t>
            </w:r>
            <w:r>
              <w:rPr>
                <w:sz w:val="20"/>
                <w:szCs w:val="20"/>
              </w:rPr>
            </w:r>
            <w:r>
              <w:rPr>
                <w:sz w:val="20"/>
                <w:szCs w:val="20"/>
              </w:rPr>
            </w:r>
          </w:p>
          <w:p>
            <w:pPr>
              <w:rPr>
                <w:sz w:val="20"/>
                <w:szCs w:val="20"/>
              </w:rPr>
            </w:pPr>
            <w:r>
              <w:rPr>
                <w:sz w:val="20"/>
                <w:szCs w:val="20"/>
              </w:rPr>
              <w:t xml:space="preserve">  </w:t>
            </w:r>
            <w:r>
              <w:rPr>
                <w:sz w:val="20"/>
                <w:szCs w:val="20"/>
              </w:rPr>
            </w:r>
            <w:r>
              <w:rPr>
                <w:sz w:val="20"/>
                <w:szCs w:val="20"/>
              </w:rPr>
            </w:r>
          </w:p>
        </w:tc>
      </w:tr>
      <w:tr>
        <w:tblPrEx/>
        <w:trPr/>
        <w:tc>
          <w:tcPr>
            <w:tcW w:w="2683" w:type="pct"/>
            <w:textDirection w:val="lrTb"/>
            <w:noWrap w:val="false"/>
          </w:tcPr>
          <w:p>
            <w:pPr>
              <w:jc w:val="both"/>
              <w:rPr>
                <w:sz w:val="20"/>
                <w:szCs w:val="20"/>
              </w:rPr>
            </w:pPr>
            <w:r>
              <w:rPr>
                <w:sz w:val="20"/>
                <w:szCs w:val="20"/>
              </w:rPr>
              <w:t xml:space="preserve">Почтовый адрес регулируемой организации</w:t>
            </w:r>
            <w:r>
              <w:rPr>
                <w:sz w:val="20"/>
                <w:szCs w:val="20"/>
              </w:rPr>
            </w:r>
            <w:r>
              <w:rPr>
                <w:sz w:val="20"/>
                <w:szCs w:val="20"/>
              </w:rPr>
            </w:r>
          </w:p>
        </w:tc>
        <w:tc>
          <w:tcPr>
            <w:tcW w:w="2317" w:type="pct"/>
            <w:textDirection w:val="lrTb"/>
            <w:noWrap w:val="false"/>
          </w:tcPr>
          <w:p>
            <w:pPr>
              <w:rPr>
                <w:sz w:val="20"/>
                <w:szCs w:val="20"/>
              </w:rPr>
            </w:pPr>
            <w:r>
              <w:rPr>
                <w:sz w:val="20"/>
                <w:szCs w:val="20"/>
              </w:rPr>
              <w:t xml:space="preserve">641200, Курганская область, Юргамышский район, р.п. Юргамыш, ул. Труда, д. 147</w:t>
            </w:r>
            <w:r>
              <w:rPr>
                <w:sz w:val="20"/>
                <w:szCs w:val="20"/>
              </w:rPr>
            </w:r>
            <w:r>
              <w:rPr>
                <w:sz w:val="20"/>
                <w:szCs w:val="20"/>
              </w:rPr>
            </w:r>
          </w:p>
        </w:tc>
      </w:tr>
      <w:tr>
        <w:tblPrEx/>
        <w:trPr/>
        <w:tc>
          <w:tcPr>
            <w:tcW w:w="2683" w:type="pct"/>
            <w:textDirection w:val="lrTb"/>
            <w:noWrap w:val="false"/>
          </w:tcPr>
          <w:p>
            <w:pPr>
              <w:jc w:val="both"/>
              <w:rPr>
                <w:sz w:val="20"/>
                <w:szCs w:val="20"/>
              </w:rPr>
            </w:pPr>
            <w:r>
              <w:rPr>
                <w:sz w:val="20"/>
                <w:szCs w:val="20"/>
              </w:rPr>
              <w:t xml:space="preserve">Адрес фактического местонахождения органов управления регулируемой организации</w:t>
            </w:r>
            <w:r>
              <w:rPr>
                <w:sz w:val="20"/>
                <w:szCs w:val="20"/>
              </w:rPr>
            </w:r>
            <w:r>
              <w:rPr>
                <w:sz w:val="20"/>
                <w:szCs w:val="20"/>
              </w:rPr>
            </w:r>
          </w:p>
        </w:tc>
        <w:tc>
          <w:tcPr>
            <w:tcW w:w="2317" w:type="pct"/>
            <w:textDirection w:val="lrTb"/>
            <w:noWrap w:val="false"/>
          </w:tcPr>
          <w:p>
            <w:pPr>
              <w:rPr>
                <w:sz w:val="20"/>
                <w:szCs w:val="20"/>
              </w:rPr>
            </w:pPr>
            <w:r>
              <w:rPr>
                <w:sz w:val="20"/>
                <w:szCs w:val="20"/>
              </w:rPr>
              <w:t xml:space="preserve">Курганская область, Юргамышский район, р.п. Юргамыш, ул. Труда, д. 147</w:t>
            </w:r>
            <w:r>
              <w:rPr>
                <w:sz w:val="20"/>
                <w:szCs w:val="20"/>
              </w:rPr>
            </w:r>
            <w:r>
              <w:rPr>
                <w:sz w:val="20"/>
                <w:szCs w:val="20"/>
              </w:rPr>
            </w:r>
          </w:p>
        </w:tc>
      </w:tr>
      <w:tr>
        <w:tblPrEx/>
        <w:trPr/>
        <w:tc>
          <w:tcPr>
            <w:tcW w:w="2683" w:type="pct"/>
            <w:textDirection w:val="lrTb"/>
            <w:noWrap w:val="false"/>
          </w:tcPr>
          <w:p>
            <w:pPr>
              <w:jc w:val="both"/>
              <w:rPr>
                <w:sz w:val="20"/>
                <w:szCs w:val="20"/>
              </w:rPr>
            </w:pPr>
            <w:r>
              <w:rPr>
                <w:sz w:val="20"/>
                <w:szCs w:val="20"/>
              </w:rPr>
              <w:t xml:space="preserve">Контактные телефоны </w:t>
            </w:r>
            <w:r>
              <w:rPr>
                <w:sz w:val="20"/>
                <w:szCs w:val="20"/>
              </w:rPr>
            </w:r>
            <w:r>
              <w:rPr>
                <w:sz w:val="20"/>
                <w:szCs w:val="20"/>
              </w:rPr>
            </w:r>
          </w:p>
        </w:tc>
        <w:tc>
          <w:tcPr>
            <w:tcW w:w="2317" w:type="pct"/>
            <w:textDirection w:val="lrTb"/>
            <w:noWrap w:val="false"/>
          </w:tcPr>
          <w:p>
            <w:pPr>
              <w:rPr>
                <w:sz w:val="20"/>
                <w:szCs w:val="20"/>
              </w:rPr>
            </w:pPr>
            <w:r>
              <w:rPr>
                <w:sz w:val="20"/>
                <w:szCs w:val="20"/>
                <w:lang w:val="en-US"/>
              </w:rPr>
              <w:t xml:space="preserve">(35248) 9-13-32</w:t>
            </w:r>
            <w:r>
              <w:rPr>
                <w:sz w:val="20"/>
                <w:szCs w:val="20"/>
              </w:rPr>
            </w:r>
            <w:r>
              <w:rPr>
                <w:sz w:val="20"/>
                <w:szCs w:val="20"/>
              </w:rPr>
            </w:r>
          </w:p>
        </w:tc>
      </w:tr>
      <w:tr>
        <w:tblPrEx/>
        <w:trPr/>
        <w:tc>
          <w:tcPr>
            <w:tcW w:w="2683" w:type="pct"/>
            <w:textDirection w:val="lrTb"/>
            <w:noWrap w:val="false"/>
          </w:tcPr>
          <w:p>
            <w:pPr>
              <w:jc w:val="both"/>
              <w:rPr>
                <w:sz w:val="20"/>
                <w:szCs w:val="20"/>
              </w:rPr>
            </w:pPr>
            <w:r>
              <w:rPr>
                <w:sz w:val="20"/>
                <w:szCs w:val="20"/>
              </w:rPr>
              <w:t xml:space="preserve">Официальный сайт регулируемой организации в сети Интернет</w:t>
            </w:r>
            <w:r>
              <w:rPr>
                <w:sz w:val="20"/>
                <w:szCs w:val="20"/>
              </w:rPr>
            </w:r>
            <w:r>
              <w:rPr>
                <w:sz w:val="20"/>
                <w:szCs w:val="20"/>
              </w:rPr>
            </w:r>
          </w:p>
        </w:tc>
        <w:tc>
          <w:tcPr>
            <w:tcW w:w="2317" w:type="pct"/>
            <w:textDirection w:val="lrTb"/>
            <w:noWrap w:val="false"/>
          </w:tcPr>
          <w:p>
            <w:pPr>
              <w:rPr>
                <w:sz w:val="20"/>
                <w:szCs w:val="20"/>
              </w:rPr>
            </w:pPr>
            <w:r>
              <w:rPr>
                <w:sz w:val="20"/>
                <w:szCs w:val="20"/>
              </w:rPr>
              <w:t xml:space="preserve">45.fsin.gov.ru</w:t>
            </w:r>
            <w:r>
              <w:rPr>
                <w:sz w:val="20"/>
                <w:szCs w:val="20"/>
              </w:rPr>
            </w:r>
            <w:r>
              <w:rPr>
                <w:sz w:val="20"/>
                <w:szCs w:val="20"/>
              </w:rPr>
            </w:r>
          </w:p>
        </w:tc>
      </w:tr>
      <w:tr>
        <w:tblPrEx/>
        <w:trPr/>
        <w:tc>
          <w:tcPr>
            <w:tcW w:w="2683" w:type="pct"/>
            <w:textDirection w:val="lrTb"/>
            <w:noWrap w:val="false"/>
          </w:tcPr>
          <w:p>
            <w:pPr>
              <w:jc w:val="both"/>
              <w:rPr>
                <w:sz w:val="20"/>
                <w:szCs w:val="20"/>
              </w:rPr>
            </w:pPr>
            <w:r>
              <w:rPr>
                <w:sz w:val="20"/>
                <w:szCs w:val="20"/>
              </w:rPr>
              <w:t xml:space="preserve">Адрес электронной почты регулируемой организации</w:t>
            </w:r>
            <w:r>
              <w:rPr>
                <w:sz w:val="20"/>
                <w:szCs w:val="20"/>
              </w:rPr>
            </w:r>
            <w:r>
              <w:rPr>
                <w:sz w:val="20"/>
                <w:szCs w:val="20"/>
              </w:rPr>
            </w:r>
          </w:p>
        </w:tc>
        <w:tc>
          <w:tcPr>
            <w:tcW w:w="2317" w:type="pct"/>
            <w:textDirection w:val="lrTb"/>
            <w:noWrap w:val="false"/>
          </w:tcPr>
          <w:p>
            <w:pPr>
              <w:rPr>
                <w:sz w:val="20"/>
                <w:szCs w:val="20"/>
              </w:rPr>
            </w:pPr>
            <w:r>
              <w:rPr>
                <w:sz w:val="20"/>
                <w:szCs w:val="20"/>
              </w:rPr>
              <w:t xml:space="preserve">FGU_UVK@MAIL.RU</w:t>
            </w:r>
            <w:r>
              <w:rPr>
                <w:sz w:val="20"/>
                <w:szCs w:val="20"/>
              </w:rPr>
            </w:r>
            <w:r>
              <w:rPr>
                <w:sz w:val="20"/>
                <w:szCs w:val="20"/>
              </w:rPr>
            </w:r>
          </w:p>
        </w:tc>
      </w:tr>
      <w:tr>
        <w:tblPrEx/>
        <w:trPr/>
        <w:tc>
          <w:tcPr>
            <w:tcW w:w="2683" w:type="pct"/>
            <w:textDirection w:val="lrTb"/>
            <w:noWrap w:val="false"/>
          </w:tcPr>
          <w:p>
            <w:pPr>
              <w:jc w:val="both"/>
              <w:rPr>
                <w:sz w:val="20"/>
                <w:szCs w:val="20"/>
              </w:rPr>
            </w:pPr>
            <w:r>
              <w:rPr>
                <w:sz w:val="20"/>
                <w:szCs w:val="20"/>
              </w:rPr>
              <w:t xml:space="preserve">Регулируемый вид деятельности</w:t>
            </w:r>
            <w:r>
              <w:rPr>
                <w:sz w:val="20"/>
                <w:szCs w:val="20"/>
              </w:rPr>
            </w:r>
            <w:r>
              <w:rPr>
                <w:sz w:val="20"/>
                <w:szCs w:val="20"/>
              </w:rPr>
            </w:r>
          </w:p>
        </w:tc>
        <w:tc>
          <w:tcPr>
            <w:tcW w:w="2317" w:type="pct"/>
            <w:textDirection w:val="lrTb"/>
            <w:noWrap w:val="false"/>
          </w:tcPr>
          <w:p>
            <w:pPr>
              <w:rPr>
                <w:sz w:val="20"/>
                <w:szCs w:val="20"/>
              </w:rPr>
            </w:pPr>
            <w:r>
              <w:rPr>
                <w:sz w:val="20"/>
                <w:szCs w:val="20"/>
              </w:rPr>
              <w:t xml:space="preserve">Производство пара и горячей воды (тепловой энергии) котельными</w:t>
            </w:r>
            <w:r>
              <w:rPr>
                <w:sz w:val="20"/>
                <w:szCs w:val="20"/>
              </w:rPr>
            </w:r>
            <w:r>
              <w:rPr>
                <w:sz w:val="20"/>
                <w:szCs w:val="20"/>
              </w:rPr>
            </w:r>
          </w:p>
        </w:tc>
      </w:tr>
      <w:tr>
        <w:tblPrEx/>
        <w:trPr/>
        <w:tc>
          <w:tcPr>
            <w:tcW w:w="2683" w:type="pct"/>
            <w:textDirection w:val="lrTb"/>
            <w:noWrap w:val="false"/>
          </w:tcPr>
          <w:p>
            <w:pPr>
              <w:jc w:val="both"/>
              <w:rPr>
                <w:sz w:val="20"/>
                <w:szCs w:val="20"/>
              </w:rPr>
            </w:pPr>
            <w:r>
              <w:rPr>
                <w:sz w:val="20"/>
                <w:szCs w:val="20"/>
              </w:rPr>
              <w:t xml:space="preserve">Протяженность сетей (в однотрубном исчислении) (километров)</w:t>
            </w:r>
            <w:r>
              <w:rPr>
                <w:sz w:val="20"/>
                <w:szCs w:val="20"/>
              </w:rPr>
            </w:r>
            <w:r>
              <w:rPr>
                <w:sz w:val="20"/>
                <w:szCs w:val="20"/>
              </w:rPr>
            </w:r>
          </w:p>
        </w:tc>
        <w:tc>
          <w:tcPr>
            <w:tcW w:w="2317" w:type="pct"/>
            <w:textDirection w:val="lrTb"/>
            <w:noWrap w:val="false"/>
          </w:tcPr>
          <w:p>
            <w:pPr>
              <w:rPr>
                <w:sz w:val="20"/>
                <w:szCs w:val="20"/>
              </w:rPr>
            </w:pPr>
            <w:r>
              <w:rPr>
                <w:sz w:val="20"/>
                <w:szCs w:val="20"/>
              </w:rPr>
              <w:t xml:space="preserve">2,3</w:t>
            </w:r>
            <w:r>
              <w:rPr>
                <w:sz w:val="20"/>
                <w:szCs w:val="20"/>
              </w:rPr>
            </w:r>
            <w:r>
              <w:rPr>
                <w:sz w:val="20"/>
                <w:szCs w:val="20"/>
              </w:rPr>
            </w:r>
          </w:p>
        </w:tc>
      </w:tr>
      <w:tr>
        <w:tblPrEx/>
        <w:trPr/>
        <w:tc>
          <w:tcPr>
            <w:tcW w:w="2683" w:type="pct"/>
            <w:textDirection w:val="lrTb"/>
            <w:noWrap w:val="false"/>
          </w:tcPr>
          <w:p>
            <w:pPr>
              <w:jc w:val="both"/>
              <w:rPr>
                <w:sz w:val="20"/>
                <w:szCs w:val="20"/>
              </w:rPr>
            </w:pPr>
            <w:r>
              <w:rPr>
                <w:sz w:val="20"/>
                <w:szCs w:val="20"/>
              </w:rPr>
              <w:t xml:space="preserve">Количество котельных с указанием их установленной тепловой мощности (штук)</w:t>
            </w:r>
            <w:r>
              <w:rPr>
                <w:sz w:val="20"/>
                <w:szCs w:val="20"/>
              </w:rPr>
            </w:r>
            <w:r>
              <w:rPr>
                <w:sz w:val="20"/>
                <w:szCs w:val="20"/>
              </w:rPr>
            </w:r>
          </w:p>
        </w:tc>
        <w:tc>
          <w:tcPr>
            <w:tcW w:w="2317" w:type="pct"/>
            <w:textDirection w:val="lrTb"/>
            <w:noWrap w:val="false"/>
          </w:tcPr>
          <w:p>
            <w:pPr>
              <w:rPr>
                <w:sz w:val="20"/>
                <w:szCs w:val="20"/>
              </w:rPr>
            </w:pPr>
            <w:r>
              <w:rPr>
                <w:sz w:val="20"/>
                <w:szCs w:val="20"/>
              </w:rPr>
              <w:t xml:space="preserve">1</w:t>
            </w:r>
            <w:r>
              <w:rPr>
                <w:sz w:val="20"/>
                <w:szCs w:val="20"/>
              </w:rPr>
              <w:t xml:space="preserve"> (</w:t>
            </w:r>
            <w:r>
              <w:rPr>
                <w:sz w:val="20"/>
                <w:szCs w:val="20"/>
              </w:rPr>
              <w:t xml:space="preserve">6,534</w:t>
            </w:r>
            <w:r>
              <w:rPr>
                <w:sz w:val="20"/>
                <w:szCs w:val="20"/>
              </w:rPr>
              <w:t xml:space="preserve"> Гкал/час.)</w:t>
            </w:r>
            <w:r>
              <w:rPr>
                <w:sz w:val="20"/>
                <w:szCs w:val="20"/>
              </w:rPr>
            </w:r>
            <w:r>
              <w:rPr>
                <w:sz w:val="20"/>
                <w:szCs w:val="20"/>
              </w:rPr>
            </w:r>
          </w:p>
        </w:tc>
      </w:tr>
    </w:tbl>
    <w:p>
      <w:pPr>
        <w:pStyle w:val="1247"/>
        <w:ind w:left="119" w:right="147" w:firstLine="23"/>
        <w:jc w:val="center"/>
        <w:rPr>
          <w:rFonts w:ascii="Liberation Serif" w:hAnsi="Liberation Serif" w:cs="Liberation Serif"/>
        </w:rPr>
      </w:pPr>
      <w:r>
        <w:rPr>
          <w:rFonts w:ascii="Liberation Serif" w:hAnsi="Liberation Serif" w:cs="Liberation Serif"/>
        </w:rPr>
      </w:r>
      <w:r>
        <w:rPr>
          <w:rFonts w:ascii="Liberation Serif" w:hAnsi="Liberation Serif" w:cs="Liberation Serif"/>
        </w:rPr>
      </w:r>
      <w:r>
        <w:rPr>
          <w:rFonts w:ascii="Liberation Serif" w:hAnsi="Liberation Serif" w:cs="Liberation Serif"/>
        </w:rPr>
      </w:r>
    </w:p>
    <w:p>
      <w:pPr>
        <w:pStyle w:val="1247"/>
        <w:ind w:left="119" w:right="147" w:firstLine="709"/>
        <w:jc w:val="right"/>
      </w:pPr>
      <w:r>
        <w:t xml:space="preserve">Таблица 1.10.1.4</w:t>
      </w:r>
      <w:r/>
    </w:p>
    <w:p>
      <w:pPr>
        <w:pStyle w:val="1247"/>
        <w:ind w:left="119" w:right="147" w:firstLine="23"/>
        <w:jc w:val="center"/>
      </w:pPr>
      <w:r>
        <w:t xml:space="preserve">Общая информация о регулируемой организации </w:t>
      </w:r>
      <w:r>
        <w:rPr>
          <w:rFonts w:ascii="Liberation Serif" w:hAnsi="Liberation Serif" w:cs="Liberation Serif"/>
        </w:rPr>
        <w:t xml:space="preserve">ООО «ЮТЭК»</w:t>
      </w:r>
      <w:r/>
    </w:p>
    <w:tbl>
      <w:tblPr>
        <w:tblW w:w="5000" w:type="pct"/>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73" w:type="dxa"/>
          <w:right w:w="73" w:type="dxa"/>
        </w:tblCellMar>
        <w:tblLook w:val="0000" w:firstRow="0" w:lastRow="0" w:firstColumn="0" w:lastColumn="0" w:noHBand="0" w:noVBand="0"/>
      </w:tblPr>
      <w:tblGrid>
        <w:gridCol w:w="5312"/>
        <w:gridCol w:w="4588"/>
      </w:tblGrid>
      <w:tr>
        <w:tblPrEx/>
        <w:trPr/>
        <w:tc>
          <w:tcPr>
            <w:tcW w:w="2683" w:type="pct"/>
            <w:textDirection w:val="lrTb"/>
            <w:noWrap w:val="false"/>
          </w:tcPr>
          <w:p>
            <w:pPr>
              <w:jc w:val="both"/>
              <w:rPr>
                <w:sz w:val="20"/>
                <w:szCs w:val="20"/>
              </w:rPr>
            </w:pPr>
            <w:r>
              <w:rPr>
                <w:sz w:val="20"/>
                <w:szCs w:val="20"/>
              </w:rPr>
              <w:t xml:space="preserve">Наименование юридического лица </w:t>
            </w:r>
            <w:r>
              <w:rPr>
                <w:sz w:val="20"/>
                <w:szCs w:val="20"/>
              </w:rPr>
            </w:r>
            <w:r>
              <w:rPr>
                <w:sz w:val="20"/>
                <w:szCs w:val="20"/>
              </w:rPr>
            </w:r>
          </w:p>
        </w:tc>
        <w:tc>
          <w:tcPr>
            <w:tcW w:w="2317" w:type="pct"/>
            <w:textDirection w:val="lrTb"/>
            <w:noWrap w:val="false"/>
          </w:tcPr>
          <w:p>
            <w:pPr>
              <w:rPr>
                <w:sz w:val="20"/>
                <w:szCs w:val="20"/>
              </w:rPr>
            </w:pPr>
            <w:r>
              <w:rPr>
                <w:sz w:val="20"/>
                <w:szCs w:val="20"/>
              </w:rPr>
              <w:t xml:space="preserve">Общество с ограниченной ответственностью «Юргамышская теплоэнергетическая компания»</w:t>
            </w:r>
            <w:r>
              <w:rPr>
                <w:sz w:val="20"/>
                <w:szCs w:val="20"/>
              </w:rPr>
            </w:r>
            <w:r>
              <w:rPr>
                <w:sz w:val="20"/>
                <w:szCs w:val="20"/>
              </w:rPr>
            </w:r>
          </w:p>
        </w:tc>
      </w:tr>
      <w:tr>
        <w:tblPrEx/>
        <w:trPr/>
        <w:tc>
          <w:tcPr>
            <w:tcW w:w="2683" w:type="pct"/>
            <w:textDirection w:val="lrTb"/>
            <w:noWrap w:val="false"/>
          </w:tcPr>
          <w:p>
            <w:pPr>
              <w:jc w:val="both"/>
              <w:rPr>
                <w:sz w:val="20"/>
                <w:szCs w:val="20"/>
              </w:rPr>
            </w:pPr>
            <w:r>
              <w:rPr>
                <w:sz w:val="20"/>
                <w:szCs w:val="20"/>
              </w:rPr>
              <w:t xml:space="preserve">Фамилия, имя и отчество руководителя регулируемой организации</w:t>
            </w:r>
            <w:r>
              <w:rPr>
                <w:sz w:val="20"/>
                <w:szCs w:val="20"/>
              </w:rPr>
            </w:r>
            <w:r>
              <w:rPr>
                <w:sz w:val="20"/>
                <w:szCs w:val="20"/>
              </w:rPr>
            </w:r>
          </w:p>
        </w:tc>
        <w:tc>
          <w:tcPr>
            <w:tcW w:w="2317" w:type="pct"/>
            <w:textDirection w:val="lrTb"/>
            <w:noWrap w:val="false"/>
          </w:tcPr>
          <w:p>
            <w:pPr>
              <w:rPr>
                <w:sz w:val="20"/>
                <w:szCs w:val="20"/>
              </w:rPr>
            </w:pPr>
            <w:r>
              <w:rPr>
                <w:sz w:val="20"/>
                <w:szCs w:val="20"/>
              </w:rPr>
              <w:t xml:space="preserve">Авдонин Виталий Викторович</w:t>
            </w:r>
            <w:r>
              <w:rPr>
                <w:sz w:val="20"/>
                <w:szCs w:val="20"/>
              </w:rPr>
            </w:r>
            <w:r>
              <w:rPr>
                <w:sz w:val="20"/>
                <w:szCs w:val="20"/>
              </w:rPr>
            </w:r>
          </w:p>
        </w:tc>
      </w:tr>
      <w:tr>
        <w:tblPrEx/>
        <w:trPr/>
        <w:tc>
          <w:tcPr>
            <w:tcW w:w="2683" w:type="pct"/>
            <w:textDirection w:val="lrTb"/>
            <w:noWrap w:val="false"/>
          </w:tcPr>
          <w:p>
            <w:pPr>
              <w:jc w:val="both"/>
              <w:rPr>
                <w:sz w:val="20"/>
                <w:szCs w:val="20"/>
              </w:rPr>
            </w:pPr>
            <w:r>
              <w:rPr>
                <w:sz w:val="20"/>
                <w:szCs w:val="20"/>
              </w:rPr>
              <w:t xml:space="preserve">Основной государственный регистрационный номер, дата его присвоения и наименование органа, принявшего решение о регистрации в качестве юридического лица</w:t>
            </w:r>
            <w:r>
              <w:rPr>
                <w:sz w:val="20"/>
                <w:szCs w:val="20"/>
              </w:rPr>
            </w:r>
            <w:r>
              <w:rPr>
                <w:sz w:val="20"/>
                <w:szCs w:val="20"/>
              </w:rPr>
            </w:r>
          </w:p>
        </w:tc>
        <w:tc>
          <w:tcPr>
            <w:tcW w:w="2317" w:type="pct"/>
            <w:textDirection w:val="lrTb"/>
            <w:noWrap w:val="false"/>
          </w:tcPr>
          <w:p>
            <w:pPr>
              <w:rPr>
                <w:sz w:val="20"/>
                <w:szCs w:val="20"/>
              </w:rPr>
            </w:pPr>
            <w:r>
              <w:rPr>
                <w:sz w:val="20"/>
                <w:szCs w:val="20"/>
              </w:rPr>
              <w:t xml:space="preserve">ОГРН  № 1194501004752 от </w:t>
            </w:r>
            <w:r>
              <w:rPr>
                <w:sz w:val="20"/>
                <w:szCs w:val="20"/>
              </w:rPr>
              <w:t xml:space="preserve">21.01.2022</w:t>
            </w:r>
            <w:r>
              <w:rPr>
                <w:sz w:val="20"/>
                <w:szCs w:val="20"/>
              </w:rPr>
              <w:t xml:space="preserve">г., Управление ФНС России по Курганской области</w:t>
            </w:r>
            <w:r>
              <w:rPr>
                <w:sz w:val="20"/>
                <w:szCs w:val="20"/>
              </w:rPr>
            </w:r>
            <w:r>
              <w:rPr>
                <w:sz w:val="20"/>
                <w:szCs w:val="20"/>
              </w:rPr>
            </w:r>
          </w:p>
        </w:tc>
      </w:tr>
      <w:tr>
        <w:tblPrEx/>
        <w:trPr/>
        <w:tc>
          <w:tcPr>
            <w:tcW w:w="2683" w:type="pct"/>
            <w:textDirection w:val="lrTb"/>
            <w:noWrap w:val="false"/>
          </w:tcPr>
          <w:p>
            <w:pPr>
              <w:jc w:val="both"/>
              <w:rPr>
                <w:sz w:val="20"/>
                <w:szCs w:val="20"/>
              </w:rPr>
            </w:pPr>
            <w:r>
              <w:rPr>
                <w:sz w:val="20"/>
                <w:szCs w:val="20"/>
              </w:rPr>
              <w:t xml:space="preserve">Почтовый адрес регулируемой организации</w:t>
            </w:r>
            <w:r>
              <w:rPr>
                <w:sz w:val="20"/>
                <w:szCs w:val="20"/>
              </w:rPr>
            </w:r>
            <w:r>
              <w:rPr>
                <w:sz w:val="20"/>
                <w:szCs w:val="20"/>
              </w:rPr>
            </w:r>
          </w:p>
        </w:tc>
        <w:tc>
          <w:tcPr>
            <w:tcW w:w="2317" w:type="pct"/>
            <w:textDirection w:val="lrTb"/>
            <w:noWrap w:val="false"/>
          </w:tcPr>
          <w:p>
            <w:pPr>
              <w:rPr>
                <w:sz w:val="20"/>
                <w:szCs w:val="20"/>
              </w:rPr>
            </w:pPr>
            <w:r>
              <w:rPr>
                <w:sz w:val="20"/>
                <w:szCs w:val="20"/>
              </w:rPr>
              <w:t xml:space="preserve">641200, Курганская область, Юргамышский район, р.п. Юргамыш, ул Ленина, д. 47а, офис 1</w:t>
            </w:r>
            <w:r>
              <w:rPr>
                <w:sz w:val="20"/>
                <w:szCs w:val="20"/>
              </w:rPr>
            </w:r>
            <w:r>
              <w:rPr>
                <w:sz w:val="20"/>
                <w:szCs w:val="20"/>
              </w:rPr>
            </w:r>
          </w:p>
        </w:tc>
      </w:tr>
      <w:tr>
        <w:tblPrEx/>
        <w:trPr/>
        <w:tc>
          <w:tcPr>
            <w:tcW w:w="2683" w:type="pct"/>
            <w:textDirection w:val="lrTb"/>
            <w:noWrap w:val="false"/>
          </w:tcPr>
          <w:p>
            <w:pPr>
              <w:jc w:val="both"/>
              <w:rPr>
                <w:sz w:val="20"/>
                <w:szCs w:val="20"/>
              </w:rPr>
            </w:pPr>
            <w:r>
              <w:rPr>
                <w:sz w:val="20"/>
                <w:szCs w:val="20"/>
              </w:rPr>
              <w:t xml:space="preserve">Адрес фактического местонахождения органов управления регулируемой организации</w:t>
            </w:r>
            <w:r>
              <w:rPr>
                <w:sz w:val="20"/>
                <w:szCs w:val="20"/>
              </w:rPr>
            </w:r>
            <w:r>
              <w:rPr>
                <w:sz w:val="20"/>
                <w:szCs w:val="20"/>
              </w:rPr>
            </w:r>
          </w:p>
        </w:tc>
        <w:tc>
          <w:tcPr>
            <w:tcW w:w="2317" w:type="pct"/>
            <w:textDirection w:val="lrTb"/>
            <w:noWrap w:val="false"/>
          </w:tcPr>
          <w:p>
            <w:pPr>
              <w:rPr>
                <w:sz w:val="20"/>
                <w:szCs w:val="20"/>
              </w:rPr>
            </w:pPr>
            <w:r>
              <w:rPr>
                <w:sz w:val="20"/>
                <w:szCs w:val="20"/>
              </w:rPr>
              <w:t xml:space="preserve">Курганская область, Юргамышский район, р.п. Юргамыш, ул Ленина, д. 47а, офис 1</w:t>
            </w:r>
            <w:r>
              <w:rPr>
                <w:sz w:val="20"/>
                <w:szCs w:val="20"/>
              </w:rPr>
            </w:r>
            <w:r>
              <w:rPr>
                <w:sz w:val="20"/>
                <w:szCs w:val="20"/>
              </w:rPr>
            </w:r>
          </w:p>
        </w:tc>
      </w:tr>
      <w:tr>
        <w:tblPrEx/>
        <w:trPr/>
        <w:tc>
          <w:tcPr>
            <w:tcW w:w="2683" w:type="pct"/>
            <w:textDirection w:val="lrTb"/>
            <w:noWrap w:val="false"/>
          </w:tcPr>
          <w:p>
            <w:pPr>
              <w:jc w:val="both"/>
              <w:rPr>
                <w:sz w:val="20"/>
                <w:szCs w:val="20"/>
              </w:rPr>
            </w:pPr>
            <w:r>
              <w:rPr>
                <w:sz w:val="20"/>
                <w:szCs w:val="20"/>
              </w:rPr>
              <w:t xml:space="preserve">Контактные телефоны </w:t>
            </w:r>
            <w:r>
              <w:rPr>
                <w:sz w:val="20"/>
                <w:szCs w:val="20"/>
              </w:rPr>
            </w:r>
            <w:r>
              <w:rPr>
                <w:sz w:val="20"/>
                <w:szCs w:val="20"/>
              </w:rPr>
            </w:r>
          </w:p>
        </w:tc>
        <w:tc>
          <w:tcPr>
            <w:tcW w:w="2317" w:type="pct"/>
            <w:textDirection w:val="lrTb"/>
            <w:noWrap w:val="false"/>
          </w:tcPr>
          <w:p>
            <w:pPr>
              <w:rPr>
                <w:sz w:val="20"/>
                <w:szCs w:val="20"/>
              </w:rPr>
            </w:pPr>
            <w:r>
              <w:rPr>
                <w:sz w:val="20"/>
                <w:szCs w:val="20"/>
              </w:rPr>
              <w:t xml:space="preserve">(8-3524) 89-18-85</w:t>
            </w:r>
            <w:r>
              <w:rPr>
                <w:sz w:val="20"/>
                <w:szCs w:val="20"/>
              </w:rPr>
            </w:r>
            <w:r>
              <w:rPr>
                <w:sz w:val="20"/>
                <w:szCs w:val="20"/>
              </w:rPr>
            </w:r>
          </w:p>
        </w:tc>
      </w:tr>
      <w:tr>
        <w:tblPrEx/>
        <w:trPr/>
        <w:tc>
          <w:tcPr>
            <w:tcW w:w="2683" w:type="pct"/>
            <w:textDirection w:val="lrTb"/>
            <w:noWrap w:val="false"/>
          </w:tcPr>
          <w:p>
            <w:pPr>
              <w:jc w:val="both"/>
              <w:rPr>
                <w:sz w:val="20"/>
                <w:szCs w:val="20"/>
              </w:rPr>
            </w:pPr>
            <w:r>
              <w:rPr>
                <w:sz w:val="20"/>
                <w:szCs w:val="20"/>
              </w:rPr>
              <w:t xml:space="preserve">Официальный сайт регулируемой организации в сети Интернет</w:t>
            </w:r>
            <w:r>
              <w:rPr>
                <w:sz w:val="20"/>
                <w:szCs w:val="20"/>
              </w:rPr>
            </w:r>
            <w:r>
              <w:rPr>
                <w:sz w:val="20"/>
                <w:szCs w:val="20"/>
              </w:rPr>
            </w:r>
          </w:p>
        </w:tc>
        <w:tc>
          <w:tcPr>
            <w:tcW w:w="2317" w:type="pct"/>
            <w:textDirection w:val="lrTb"/>
            <w:noWrap w:val="false"/>
          </w:tcPr>
          <w:p>
            <w:pPr>
              <w:rPr>
                <w:sz w:val="20"/>
                <w:szCs w:val="20"/>
              </w:rPr>
            </w:pPr>
            <w:r>
              <w:rPr>
                <w:sz w:val="20"/>
                <w:szCs w:val="20"/>
              </w:rPr>
            </w:r>
            <w:r>
              <w:rPr>
                <w:sz w:val="20"/>
                <w:szCs w:val="20"/>
              </w:rPr>
            </w:r>
            <w:r>
              <w:rPr>
                <w:sz w:val="20"/>
                <w:szCs w:val="20"/>
              </w:rPr>
            </w:r>
          </w:p>
        </w:tc>
      </w:tr>
      <w:tr>
        <w:tblPrEx/>
        <w:trPr/>
        <w:tc>
          <w:tcPr>
            <w:tcW w:w="2683" w:type="pct"/>
            <w:textDirection w:val="lrTb"/>
            <w:noWrap w:val="false"/>
          </w:tcPr>
          <w:p>
            <w:pPr>
              <w:jc w:val="both"/>
              <w:rPr>
                <w:sz w:val="20"/>
                <w:szCs w:val="20"/>
              </w:rPr>
            </w:pPr>
            <w:r>
              <w:rPr>
                <w:sz w:val="20"/>
                <w:szCs w:val="20"/>
              </w:rPr>
              <w:t xml:space="preserve">Адрес электронной почты регулируемой организации</w:t>
            </w:r>
            <w:r>
              <w:rPr>
                <w:sz w:val="20"/>
                <w:szCs w:val="20"/>
              </w:rPr>
            </w:r>
            <w:r>
              <w:rPr>
                <w:sz w:val="20"/>
                <w:szCs w:val="20"/>
              </w:rPr>
            </w:r>
          </w:p>
        </w:tc>
        <w:tc>
          <w:tcPr>
            <w:tcW w:w="2317" w:type="pct"/>
            <w:textDirection w:val="lrTb"/>
            <w:noWrap w:val="false"/>
          </w:tcPr>
          <w:p>
            <w:pPr>
              <w:rPr>
                <w:sz w:val="20"/>
                <w:szCs w:val="20"/>
              </w:rPr>
            </w:pPr>
            <w:r>
              <w:rPr>
                <w:sz w:val="20"/>
                <w:szCs w:val="20"/>
              </w:rPr>
              <w:t xml:space="preserve">utek19@mail.ru</w:t>
            </w:r>
            <w:r>
              <w:rPr>
                <w:sz w:val="20"/>
                <w:szCs w:val="20"/>
              </w:rPr>
            </w:r>
            <w:r>
              <w:rPr>
                <w:sz w:val="20"/>
                <w:szCs w:val="20"/>
              </w:rPr>
            </w:r>
          </w:p>
        </w:tc>
      </w:tr>
      <w:tr>
        <w:tblPrEx/>
        <w:trPr/>
        <w:tc>
          <w:tcPr>
            <w:tcW w:w="2683" w:type="pct"/>
            <w:textDirection w:val="lrTb"/>
            <w:noWrap w:val="false"/>
          </w:tcPr>
          <w:p>
            <w:pPr>
              <w:jc w:val="both"/>
              <w:rPr>
                <w:sz w:val="20"/>
                <w:szCs w:val="20"/>
              </w:rPr>
            </w:pPr>
            <w:r>
              <w:rPr>
                <w:sz w:val="20"/>
                <w:szCs w:val="20"/>
              </w:rPr>
              <w:t xml:space="preserve">Регулируемый вид деятельности</w:t>
            </w:r>
            <w:r>
              <w:rPr>
                <w:sz w:val="20"/>
                <w:szCs w:val="20"/>
              </w:rPr>
            </w:r>
            <w:r>
              <w:rPr>
                <w:sz w:val="20"/>
                <w:szCs w:val="20"/>
              </w:rPr>
            </w:r>
          </w:p>
        </w:tc>
        <w:tc>
          <w:tcPr>
            <w:tcW w:w="2317" w:type="pct"/>
            <w:textDirection w:val="lrTb"/>
            <w:noWrap w:val="false"/>
          </w:tcPr>
          <w:p>
            <w:pPr>
              <w:rPr>
                <w:sz w:val="20"/>
                <w:szCs w:val="20"/>
              </w:rPr>
            </w:pPr>
            <w:r>
              <w:rPr>
                <w:sz w:val="20"/>
                <w:szCs w:val="20"/>
              </w:rPr>
              <w:t xml:space="preserve">Производство, передача и распределение пара и горячей воды; кондиционирование воздуха</w:t>
            </w:r>
            <w:r>
              <w:rPr>
                <w:sz w:val="20"/>
                <w:szCs w:val="20"/>
              </w:rPr>
            </w:r>
            <w:r>
              <w:rPr>
                <w:sz w:val="20"/>
                <w:szCs w:val="20"/>
              </w:rPr>
            </w:r>
          </w:p>
        </w:tc>
      </w:tr>
      <w:tr>
        <w:tblPrEx/>
        <w:trPr/>
        <w:tc>
          <w:tcPr>
            <w:tcW w:w="2683" w:type="pct"/>
            <w:textDirection w:val="lrTb"/>
            <w:noWrap w:val="false"/>
          </w:tcPr>
          <w:p>
            <w:pPr>
              <w:jc w:val="both"/>
              <w:rPr>
                <w:sz w:val="20"/>
                <w:szCs w:val="20"/>
              </w:rPr>
            </w:pPr>
            <w:r>
              <w:rPr>
                <w:sz w:val="20"/>
                <w:szCs w:val="20"/>
              </w:rPr>
              <w:t xml:space="preserve">Протяженность сетей (в однотрубном исчислении) (километров)</w:t>
            </w:r>
            <w:r>
              <w:rPr>
                <w:sz w:val="20"/>
                <w:szCs w:val="20"/>
              </w:rPr>
            </w:r>
            <w:r>
              <w:rPr>
                <w:sz w:val="20"/>
                <w:szCs w:val="20"/>
              </w:rPr>
            </w:r>
          </w:p>
        </w:tc>
        <w:tc>
          <w:tcPr>
            <w:tcW w:w="2317" w:type="pct"/>
            <w:textDirection w:val="lrTb"/>
            <w:noWrap w:val="false"/>
          </w:tcPr>
          <w:p>
            <w:pPr>
              <w:rPr>
                <w:sz w:val="20"/>
                <w:szCs w:val="20"/>
              </w:rPr>
            </w:pPr>
            <w:r>
              <w:rPr>
                <w:sz w:val="20"/>
                <w:szCs w:val="20"/>
              </w:rPr>
              <w:t xml:space="preserve">5,452</w:t>
            </w:r>
            <w:r>
              <w:rPr>
                <w:sz w:val="20"/>
                <w:szCs w:val="20"/>
              </w:rPr>
            </w:r>
            <w:r>
              <w:rPr>
                <w:sz w:val="20"/>
                <w:szCs w:val="20"/>
              </w:rPr>
            </w:r>
          </w:p>
        </w:tc>
      </w:tr>
      <w:tr>
        <w:tblPrEx/>
        <w:trPr/>
        <w:tc>
          <w:tcPr>
            <w:tcW w:w="2683" w:type="pct"/>
            <w:textDirection w:val="lrTb"/>
            <w:noWrap w:val="false"/>
          </w:tcPr>
          <w:p>
            <w:pPr>
              <w:jc w:val="both"/>
              <w:rPr>
                <w:sz w:val="20"/>
                <w:szCs w:val="20"/>
              </w:rPr>
            </w:pPr>
            <w:r>
              <w:rPr>
                <w:sz w:val="20"/>
                <w:szCs w:val="20"/>
              </w:rPr>
              <w:t xml:space="preserve">Количество котельных с указанием их установленной тепловой мощности (штук)</w:t>
            </w:r>
            <w:r>
              <w:rPr>
                <w:sz w:val="20"/>
                <w:szCs w:val="20"/>
              </w:rPr>
            </w:r>
            <w:r>
              <w:rPr>
                <w:sz w:val="20"/>
                <w:szCs w:val="20"/>
              </w:rPr>
            </w:r>
          </w:p>
        </w:tc>
        <w:tc>
          <w:tcPr>
            <w:tcW w:w="2317" w:type="pct"/>
            <w:textDirection w:val="lrTb"/>
            <w:noWrap w:val="false"/>
          </w:tcPr>
          <w:p>
            <w:pPr>
              <w:rPr>
                <w:sz w:val="20"/>
                <w:szCs w:val="20"/>
              </w:rPr>
            </w:pPr>
            <w:r>
              <w:rPr>
                <w:sz w:val="20"/>
                <w:szCs w:val="20"/>
              </w:rPr>
              <w:t xml:space="preserve">1 (4,81 Гкал/час.)</w:t>
            </w:r>
            <w:r>
              <w:rPr>
                <w:sz w:val="20"/>
                <w:szCs w:val="20"/>
              </w:rPr>
            </w:r>
            <w:r>
              <w:rPr>
                <w:sz w:val="20"/>
                <w:szCs w:val="20"/>
              </w:rPr>
            </w:r>
          </w:p>
        </w:tc>
      </w:tr>
    </w:tbl>
    <w:p>
      <w:pPr>
        <w:pStyle w:val="1247"/>
        <w:ind w:left="119" w:right="147" w:firstLine="709"/>
        <w:jc w:val="both"/>
      </w:pPr>
      <w:r/>
      <w:r/>
    </w:p>
    <w:p>
      <w:pPr>
        <w:pStyle w:val="1247"/>
        <w:ind w:left="119" w:right="147" w:firstLine="709"/>
        <w:jc w:val="right"/>
      </w:pPr>
      <w:r>
        <w:t xml:space="preserve">Таблица 1.10.1.5</w:t>
      </w:r>
      <w:r/>
    </w:p>
    <w:p>
      <w:pPr>
        <w:pStyle w:val="1247"/>
        <w:ind w:left="142" w:right="130" w:firstLine="709"/>
        <w:jc w:val="center"/>
        <w:rPr>
          <w:rFonts w:ascii="Liberation Serif" w:hAnsi="Liberation Serif" w:cs="Liberation Serif"/>
        </w:rPr>
      </w:pPr>
      <w:r>
        <w:t xml:space="preserve">Общая информация о регулируемой организации </w:t>
      </w:r>
      <w:r>
        <w:rPr>
          <w:rFonts w:ascii="Liberation Serif" w:hAnsi="Liberation Serif" w:cs="Liberation Serif"/>
        </w:rPr>
        <w:t xml:space="preserve">ООО «ЖКХ Юго-Запад»</w:t>
      </w:r>
      <w:r>
        <w:rPr>
          <w:rFonts w:ascii="Liberation Serif" w:hAnsi="Liberation Serif" w:cs="Liberation Serif"/>
        </w:rPr>
      </w:r>
      <w:r>
        <w:rPr>
          <w:rFonts w:ascii="Liberation Serif" w:hAnsi="Liberation Serif" w:cs="Liberation Serif"/>
        </w:rPr>
      </w:r>
    </w:p>
    <w:tbl>
      <w:tblPr>
        <w:tblW w:w="5000" w:type="pct"/>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73" w:type="dxa"/>
          <w:right w:w="73" w:type="dxa"/>
        </w:tblCellMar>
        <w:tblLook w:val="0000" w:firstRow="0" w:lastRow="0" w:firstColumn="0" w:lastColumn="0" w:noHBand="0" w:noVBand="0"/>
      </w:tblPr>
      <w:tblGrid>
        <w:gridCol w:w="5312"/>
        <w:gridCol w:w="4588"/>
      </w:tblGrid>
      <w:tr>
        <w:tblPrEx/>
        <w:trPr/>
        <w:tc>
          <w:tcPr>
            <w:tcW w:w="2683" w:type="pct"/>
            <w:textDirection w:val="lrTb"/>
            <w:noWrap w:val="false"/>
          </w:tcPr>
          <w:p>
            <w:pPr>
              <w:jc w:val="both"/>
              <w:rPr>
                <w:sz w:val="20"/>
                <w:szCs w:val="20"/>
              </w:rPr>
            </w:pPr>
            <w:r>
              <w:rPr>
                <w:sz w:val="20"/>
                <w:szCs w:val="20"/>
              </w:rPr>
              <w:t xml:space="preserve">Наименование юридического лица </w:t>
            </w:r>
            <w:r>
              <w:rPr>
                <w:sz w:val="20"/>
                <w:szCs w:val="20"/>
              </w:rPr>
            </w:r>
            <w:r>
              <w:rPr>
                <w:sz w:val="20"/>
                <w:szCs w:val="20"/>
              </w:rPr>
            </w:r>
          </w:p>
        </w:tc>
        <w:tc>
          <w:tcPr>
            <w:tcW w:w="2317" w:type="pct"/>
            <w:textDirection w:val="lrTb"/>
            <w:noWrap w:val="false"/>
          </w:tcPr>
          <w:p>
            <w:pPr>
              <w:rPr>
                <w:sz w:val="20"/>
                <w:szCs w:val="20"/>
              </w:rPr>
            </w:pPr>
            <w:r>
              <w:rPr>
                <w:sz w:val="20"/>
                <w:szCs w:val="20"/>
              </w:rPr>
              <w:t xml:space="preserve">Общество с ограниченной ответственностью «</w:t>
            </w:r>
            <w:r>
              <w:rPr>
                <w:rFonts w:ascii="Liberation Serif" w:hAnsi="Liberation Serif" w:cs="Liberation Serif"/>
                <w:sz w:val="20"/>
                <w:szCs w:val="20"/>
              </w:rPr>
              <w:t xml:space="preserve">ЖКХ Юго-Запад</w:t>
            </w:r>
            <w:r>
              <w:rPr>
                <w:sz w:val="20"/>
                <w:szCs w:val="20"/>
              </w:rPr>
              <w:t xml:space="preserve">»</w:t>
            </w:r>
            <w:r>
              <w:rPr>
                <w:sz w:val="20"/>
                <w:szCs w:val="20"/>
              </w:rPr>
            </w:r>
            <w:r>
              <w:rPr>
                <w:sz w:val="20"/>
                <w:szCs w:val="20"/>
              </w:rPr>
            </w:r>
          </w:p>
        </w:tc>
      </w:tr>
      <w:tr>
        <w:tblPrEx/>
        <w:trPr/>
        <w:tc>
          <w:tcPr>
            <w:tcW w:w="2683" w:type="pct"/>
            <w:textDirection w:val="lrTb"/>
            <w:noWrap w:val="false"/>
          </w:tcPr>
          <w:p>
            <w:pPr>
              <w:jc w:val="both"/>
              <w:rPr>
                <w:sz w:val="20"/>
                <w:szCs w:val="20"/>
              </w:rPr>
            </w:pPr>
            <w:r>
              <w:rPr>
                <w:sz w:val="20"/>
                <w:szCs w:val="20"/>
              </w:rPr>
              <w:t xml:space="preserve">Фамилия, имя и отчество руководителя регулируемой организации</w:t>
            </w:r>
            <w:r>
              <w:rPr>
                <w:sz w:val="20"/>
                <w:szCs w:val="20"/>
              </w:rPr>
            </w:r>
            <w:r>
              <w:rPr>
                <w:sz w:val="20"/>
                <w:szCs w:val="20"/>
              </w:rPr>
            </w:r>
          </w:p>
        </w:tc>
        <w:tc>
          <w:tcPr>
            <w:tcW w:w="2317" w:type="pct"/>
            <w:textDirection w:val="lrTb"/>
            <w:noWrap w:val="false"/>
          </w:tcPr>
          <w:p>
            <w:pPr>
              <w:rPr>
                <w:sz w:val="20"/>
                <w:szCs w:val="20"/>
              </w:rPr>
            </w:pPr>
            <w:r>
              <w:rPr>
                <w:sz w:val="20"/>
                <w:szCs w:val="20"/>
              </w:rPr>
              <w:t xml:space="preserve">Одинцов Артем Сергеевич</w:t>
            </w:r>
            <w:r>
              <w:rPr>
                <w:sz w:val="20"/>
                <w:szCs w:val="20"/>
              </w:rPr>
            </w:r>
            <w:r>
              <w:rPr>
                <w:sz w:val="20"/>
                <w:szCs w:val="20"/>
              </w:rPr>
            </w:r>
          </w:p>
        </w:tc>
      </w:tr>
      <w:tr>
        <w:tblPrEx/>
        <w:trPr/>
        <w:tc>
          <w:tcPr>
            <w:tcW w:w="2683" w:type="pct"/>
            <w:textDirection w:val="lrTb"/>
            <w:noWrap w:val="false"/>
          </w:tcPr>
          <w:p>
            <w:pPr>
              <w:jc w:val="both"/>
              <w:rPr>
                <w:sz w:val="20"/>
                <w:szCs w:val="20"/>
              </w:rPr>
            </w:pPr>
            <w:r>
              <w:rPr>
                <w:sz w:val="20"/>
                <w:szCs w:val="20"/>
              </w:rPr>
              <w:t xml:space="preserve">Основной государственный регистрационный номер, дата его присвоения и наименование органа, принявшего решение о регистрации в качестве юридического лица</w:t>
            </w:r>
            <w:r>
              <w:rPr>
                <w:sz w:val="20"/>
                <w:szCs w:val="20"/>
              </w:rPr>
            </w:r>
            <w:r>
              <w:rPr>
                <w:sz w:val="20"/>
                <w:szCs w:val="20"/>
              </w:rPr>
            </w:r>
          </w:p>
        </w:tc>
        <w:tc>
          <w:tcPr>
            <w:tcW w:w="2317" w:type="pct"/>
            <w:textDirection w:val="lrTb"/>
            <w:noWrap w:val="false"/>
          </w:tcPr>
          <w:p>
            <w:pPr>
              <w:rPr>
                <w:sz w:val="20"/>
                <w:szCs w:val="20"/>
              </w:rPr>
            </w:pPr>
            <w:r>
              <w:rPr>
                <w:sz w:val="20"/>
                <w:szCs w:val="20"/>
              </w:rPr>
              <w:t xml:space="preserve">ОГРН  № 1134524000148 от 28.06.2013г., Управление ФНС России по Курганской области</w:t>
            </w:r>
            <w:r>
              <w:rPr>
                <w:sz w:val="20"/>
                <w:szCs w:val="20"/>
              </w:rPr>
            </w:r>
            <w:r>
              <w:rPr>
                <w:sz w:val="20"/>
                <w:szCs w:val="20"/>
              </w:rPr>
            </w:r>
          </w:p>
        </w:tc>
      </w:tr>
      <w:tr>
        <w:tblPrEx/>
        <w:trPr/>
        <w:tc>
          <w:tcPr>
            <w:tcW w:w="2683" w:type="pct"/>
            <w:textDirection w:val="lrTb"/>
            <w:noWrap w:val="false"/>
          </w:tcPr>
          <w:p>
            <w:pPr>
              <w:jc w:val="both"/>
              <w:rPr>
                <w:sz w:val="20"/>
                <w:szCs w:val="20"/>
              </w:rPr>
            </w:pPr>
            <w:r>
              <w:rPr>
                <w:sz w:val="20"/>
                <w:szCs w:val="20"/>
              </w:rPr>
              <w:t xml:space="preserve">Почтовый адрес регулируемой организации</w:t>
            </w:r>
            <w:r>
              <w:rPr>
                <w:sz w:val="20"/>
                <w:szCs w:val="20"/>
              </w:rPr>
            </w:r>
            <w:r>
              <w:rPr>
                <w:sz w:val="20"/>
                <w:szCs w:val="20"/>
              </w:rPr>
            </w:r>
          </w:p>
        </w:tc>
        <w:tc>
          <w:tcPr>
            <w:tcW w:w="2317" w:type="pct"/>
            <w:textDirection w:val="lrTb"/>
            <w:noWrap w:val="false"/>
          </w:tcPr>
          <w:p>
            <w:pPr>
              <w:rPr>
                <w:sz w:val="20"/>
                <w:szCs w:val="20"/>
              </w:rPr>
            </w:pPr>
            <w:r>
              <w:rPr>
                <w:sz w:val="20"/>
                <w:szCs w:val="20"/>
              </w:rPr>
              <w:t xml:space="preserve">641080, Курганская область, Сафакулевский район, село Сафакулево, ул. Первомайская, д. 11а</w:t>
            </w:r>
            <w:r>
              <w:rPr>
                <w:sz w:val="20"/>
                <w:szCs w:val="20"/>
              </w:rPr>
            </w:r>
            <w:r>
              <w:rPr>
                <w:sz w:val="20"/>
                <w:szCs w:val="20"/>
              </w:rPr>
            </w:r>
          </w:p>
        </w:tc>
      </w:tr>
      <w:tr>
        <w:tblPrEx/>
        <w:trPr/>
        <w:tc>
          <w:tcPr>
            <w:tcW w:w="2683" w:type="pct"/>
            <w:textDirection w:val="lrTb"/>
            <w:noWrap w:val="false"/>
          </w:tcPr>
          <w:p>
            <w:pPr>
              <w:jc w:val="both"/>
              <w:rPr>
                <w:sz w:val="20"/>
                <w:szCs w:val="20"/>
              </w:rPr>
            </w:pPr>
            <w:r>
              <w:rPr>
                <w:sz w:val="20"/>
                <w:szCs w:val="20"/>
              </w:rPr>
              <w:t xml:space="preserve">Адрес фактического местонахождения органов управления регулируемой организации</w:t>
            </w:r>
            <w:r>
              <w:rPr>
                <w:sz w:val="20"/>
                <w:szCs w:val="20"/>
              </w:rPr>
            </w:r>
            <w:r>
              <w:rPr>
                <w:sz w:val="20"/>
                <w:szCs w:val="20"/>
              </w:rPr>
            </w:r>
          </w:p>
        </w:tc>
        <w:tc>
          <w:tcPr>
            <w:tcW w:w="2317" w:type="pct"/>
            <w:textDirection w:val="lrTb"/>
            <w:noWrap w:val="false"/>
          </w:tcPr>
          <w:p>
            <w:pPr>
              <w:rPr>
                <w:sz w:val="20"/>
                <w:szCs w:val="20"/>
              </w:rPr>
            </w:pPr>
            <w:r>
              <w:rPr>
                <w:sz w:val="20"/>
                <w:szCs w:val="20"/>
              </w:rPr>
              <w:t xml:space="preserve">Курганская область, Сафакулевский район, село Сафакулево, ул. Первомайская, д. 11а</w:t>
            </w:r>
            <w:r>
              <w:rPr>
                <w:sz w:val="20"/>
                <w:szCs w:val="20"/>
              </w:rPr>
            </w:r>
            <w:r>
              <w:rPr>
                <w:sz w:val="20"/>
                <w:szCs w:val="20"/>
              </w:rPr>
            </w:r>
          </w:p>
        </w:tc>
      </w:tr>
      <w:tr>
        <w:tblPrEx/>
        <w:trPr/>
        <w:tc>
          <w:tcPr>
            <w:tcW w:w="2683" w:type="pct"/>
            <w:textDirection w:val="lrTb"/>
            <w:noWrap w:val="false"/>
          </w:tcPr>
          <w:p>
            <w:pPr>
              <w:jc w:val="both"/>
              <w:rPr>
                <w:sz w:val="20"/>
                <w:szCs w:val="20"/>
              </w:rPr>
            </w:pPr>
            <w:r>
              <w:rPr>
                <w:sz w:val="20"/>
                <w:szCs w:val="20"/>
              </w:rPr>
              <w:t xml:space="preserve">Контактные телефоны </w:t>
            </w:r>
            <w:r>
              <w:rPr>
                <w:sz w:val="20"/>
                <w:szCs w:val="20"/>
              </w:rPr>
            </w:r>
            <w:r>
              <w:rPr>
                <w:sz w:val="20"/>
                <w:szCs w:val="20"/>
              </w:rPr>
            </w:r>
          </w:p>
        </w:tc>
        <w:tc>
          <w:tcPr>
            <w:tcW w:w="2317" w:type="pct"/>
            <w:textDirection w:val="lrTb"/>
            <w:noWrap w:val="false"/>
          </w:tcPr>
          <w:p>
            <w:pPr>
              <w:rPr>
                <w:sz w:val="20"/>
                <w:szCs w:val="20"/>
              </w:rPr>
            </w:pPr>
            <w:r>
              <w:rPr>
                <w:sz w:val="20"/>
                <w:szCs w:val="20"/>
              </w:rPr>
              <w:t xml:space="preserve">(8-35243) 2-</w:t>
            </w:r>
            <w:r>
              <w:rPr>
                <w:sz w:val="20"/>
                <w:szCs w:val="20"/>
              </w:rPr>
              <w:t xml:space="preserve">96</w:t>
            </w:r>
            <w:r>
              <w:rPr>
                <w:sz w:val="20"/>
                <w:szCs w:val="20"/>
              </w:rPr>
              <w:t xml:space="preserve">-</w:t>
            </w:r>
            <w:r>
              <w:rPr>
                <w:sz w:val="20"/>
                <w:szCs w:val="20"/>
              </w:rPr>
              <w:t xml:space="preserve">44</w:t>
            </w:r>
            <w:r>
              <w:rPr>
                <w:sz w:val="20"/>
                <w:szCs w:val="20"/>
              </w:rPr>
            </w:r>
            <w:r>
              <w:rPr>
                <w:sz w:val="20"/>
                <w:szCs w:val="20"/>
              </w:rPr>
            </w:r>
          </w:p>
        </w:tc>
      </w:tr>
      <w:tr>
        <w:tblPrEx/>
        <w:trPr/>
        <w:tc>
          <w:tcPr>
            <w:tcW w:w="2683" w:type="pct"/>
            <w:textDirection w:val="lrTb"/>
            <w:noWrap w:val="false"/>
          </w:tcPr>
          <w:p>
            <w:pPr>
              <w:jc w:val="both"/>
              <w:rPr>
                <w:sz w:val="20"/>
                <w:szCs w:val="20"/>
              </w:rPr>
            </w:pPr>
            <w:r>
              <w:rPr>
                <w:sz w:val="20"/>
                <w:szCs w:val="20"/>
              </w:rPr>
              <w:t xml:space="preserve">Официальный сайт регулируемой организации в сети Интернет</w:t>
            </w:r>
            <w:r>
              <w:rPr>
                <w:sz w:val="20"/>
                <w:szCs w:val="20"/>
              </w:rPr>
            </w:r>
            <w:r>
              <w:rPr>
                <w:sz w:val="20"/>
                <w:szCs w:val="20"/>
              </w:rPr>
            </w:r>
          </w:p>
        </w:tc>
        <w:tc>
          <w:tcPr>
            <w:tcW w:w="2317" w:type="pct"/>
            <w:textDirection w:val="lrTb"/>
            <w:noWrap w:val="false"/>
          </w:tcPr>
          <w:p>
            <w:pPr>
              <w:rPr>
                <w:sz w:val="20"/>
                <w:szCs w:val="20"/>
              </w:rPr>
            </w:pPr>
            <w:r>
              <w:rPr>
                <w:sz w:val="20"/>
                <w:szCs w:val="20"/>
              </w:rPr>
            </w:r>
            <w:r>
              <w:rPr>
                <w:sz w:val="20"/>
                <w:szCs w:val="20"/>
              </w:rPr>
            </w:r>
            <w:r>
              <w:rPr>
                <w:sz w:val="20"/>
                <w:szCs w:val="20"/>
              </w:rPr>
            </w:r>
          </w:p>
        </w:tc>
      </w:tr>
      <w:tr>
        <w:tblPrEx/>
        <w:trPr/>
        <w:tc>
          <w:tcPr>
            <w:tcW w:w="2683" w:type="pct"/>
            <w:textDirection w:val="lrTb"/>
            <w:noWrap w:val="false"/>
          </w:tcPr>
          <w:p>
            <w:pPr>
              <w:jc w:val="both"/>
              <w:rPr>
                <w:sz w:val="20"/>
                <w:szCs w:val="20"/>
              </w:rPr>
            </w:pPr>
            <w:r>
              <w:rPr>
                <w:sz w:val="20"/>
                <w:szCs w:val="20"/>
              </w:rPr>
              <w:t xml:space="preserve">Адрес электронной почты регулируемой организации</w:t>
            </w:r>
            <w:r>
              <w:rPr>
                <w:sz w:val="20"/>
                <w:szCs w:val="20"/>
              </w:rPr>
            </w:r>
            <w:r>
              <w:rPr>
                <w:sz w:val="20"/>
                <w:szCs w:val="20"/>
              </w:rPr>
            </w:r>
          </w:p>
        </w:tc>
        <w:tc>
          <w:tcPr>
            <w:tcW w:w="2317" w:type="pct"/>
            <w:textDirection w:val="lrTb"/>
            <w:noWrap w:val="false"/>
          </w:tcPr>
          <w:p>
            <w:pPr>
              <w:rPr>
                <w:sz w:val="20"/>
                <w:szCs w:val="20"/>
              </w:rPr>
            </w:pPr>
            <w:r>
              <w:rPr>
                <w:sz w:val="20"/>
                <w:szCs w:val="20"/>
              </w:rPr>
              <w:t xml:space="preserve">gkh-saf@mail.ru</w:t>
            </w:r>
            <w:r>
              <w:rPr>
                <w:sz w:val="20"/>
                <w:szCs w:val="20"/>
              </w:rPr>
            </w:r>
            <w:r>
              <w:rPr>
                <w:sz w:val="20"/>
                <w:szCs w:val="20"/>
              </w:rPr>
            </w:r>
          </w:p>
        </w:tc>
      </w:tr>
      <w:tr>
        <w:tblPrEx/>
        <w:trPr/>
        <w:tc>
          <w:tcPr>
            <w:tcW w:w="2683" w:type="pct"/>
            <w:textDirection w:val="lrTb"/>
            <w:noWrap w:val="false"/>
          </w:tcPr>
          <w:p>
            <w:pPr>
              <w:jc w:val="both"/>
              <w:rPr>
                <w:sz w:val="20"/>
                <w:szCs w:val="20"/>
              </w:rPr>
            </w:pPr>
            <w:r>
              <w:rPr>
                <w:sz w:val="20"/>
                <w:szCs w:val="20"/>
              </w:rPr>
              <w:t xml:space="preserve">Регулируемый вид деятельности</w:t>
            </w:r>
            <w:r>
              <w:rPr>
                <w:sz w:val="20"/>
                <w:szCs w:val="20"/>
              </w:rPr>
            </w:r>
            <w:r>
              <w:rPr>
                <w:sz w:val="20"/>
                <w:szCs w:val="20"/>
              </w:rPr>
            </w:r>
          </w:p>
        </w:tc>
        <w:tc>
          <w:tcPr>
            <w:tcW w:w="2317" w:type="pct"/>
            <w:textDirection w:val="lrTb"/>
            <w:noWrap w:val="false"/>
          </w:tcPr>
          <w:p>
            <w:pPr>
              <w:rPr>
                <w:sz w:val="20"/>
                <w:szCs w:val="20"/>
              </w:rPr>
            </w:pPr>
            <w:r>
              <w:rPr>
                <w:sz w:val="20"/>
                <w:szCs w:val="20"/>
              </w:rPr>
              <w:t xml:space="preserve">Производство, передача и распределение пара и горячей воды; кондиционирование воздуха</w:t>
            </w:r>
            <w:r>
              <w:rPr>
                <w:sz w:val="20"/>
                <w:szCs w:val="20"/>
              </w:rPr>
            </w:r>
            <w:r>
              <w:rPr>
                <w:sz w:val="20"/>
                <w:szCs w:val="20"/>
              </w:rPr>
            </w:r>
          </w:p>
        </w:tc>
      </w:tr>
      <w:tr>
        <w:tblPrEx/>
        <w:trPr/>
        <w:tc>
          <w:tcPr>
            <w:tcW w:w="2683" w:type="pct"/>
            <w:textDirection w:val="lrTb"/>
            <w:noWrap w:val="false"/>
          </w:tcPr>
          <w:p>
            <w:pPr>
              <w:jc w:val="both"/>
              <w:rPr>
                <w:sz w:val="20"/>
                <w:szCs w:val="20"/>
              </w:rPr>
            </w:pPr>
            <w:r>
              <w:rPr>
                <w:sz w:val="20"/>
                <w:szCs w:val="20"/>
              </w:rPr>
              <w:t xml:space="preserve">Протяженность магистральных сетей </w:t>
            </w:r>
            <w:r>
              <w:rPr>
                <w:sz w:val="20"/>
                <w:szCs w:val="20"/>
              </w:rPr>
              <w:br w:type="textWrapping" w:clear="all"/>
              <w:t xml:space="preserve">(в однотрубном исчислении) (километров)</w:t>
            </w:r>
            <w:r>
              <w:rPr>
                <w:sz w:val="20"/>
                <w:szCs w:val="20"/>
              </w:rPr>
            </w:r>
            <w:r>
              <w:rPr>
                <w:sz w:val="20"/>
                <w:szCs w:val="20"/>
              </w:rPr>
            </w:r>
          </w:p>
        </w:tc>
        <w:tc>
          <w:tcPr>
            <w:tcW w:w="2317" w:type="pct"/>
            <w:textDirection w:val="lrTb"/>
            <w:noWrap w:val="false"/>
          </w:tcPr>
          <w:p>
            <w:pPr>
              <w:rPr>
                <w:sz w:val="20"/>
                <w:szCs w:val="20"/>
              </w:rPr>
            </w:pPr>
            <w:r>
              <w:rPr>
                <w:sz w:val="20"/>
                <w:szCs w:val="20"/>
              </w:rPr>
              <w:t xml:space="preserve">2,698 </w:t>
            </w:r>
            <w:r>
              <w:rPr>
                <w:sz w:val="20"/>
                <w:szCs w:val="20"/>
              </w:rPr>
            </w:r>
            <w:r>
              <w:rPr>
                <w:sz w:val="20"/>
                <w:szCs w:val="20"/>
              </w:rPr>
            </w:r>
          </w:p>
        </w:tc>
      </w:tr>
      <w:tr>
        <w:tblPrEx/>
        <w:trPr/>
        <w:tc>
          <w:tcPr>
            <w:tcW w:w="2683" w:type="pct"/>
            <w:textDirection w:val="lrTb"/>
            <w:noWrap w:val="false"/>
          </w:tcPr>
          <w:p>
            <w:pPr>
              <w:jc w:val="both"/>
              <w:rPr>
                <w:sz w:val="20"/>
                <w:szCs w:val="20"/>
              </w:rPr>
            </w:pPr>
            <w:r>
              <w:rPr>
                <w:sz w:val="20"/>
                <w:szCs w:val="20"/>
              </w:rPr>
              <w:t xml:space="preserve">Количество котельных с указанием их установленной тепловой мощности (штук)</w:t>
            </w:r>
            <w:r>
              <w:rPr>
                <w:sz w:val="20"/>
                <w:szCs w:val="20"/>
              </w:rPr>
            </w:r>
            <w:r>
              <w:rPr>
                <w:sz w:val="20"/>
                <w:szCs w:val="20"/>
              </w:rPr>
            </w:r>
          </w:p>
        </w:tc>
        <w:tc>
          <w:tcPr>
            <w:tcW w:w="2317" w:type="pct"/>
            <w:textDirection w:val="lrTb"/>
            <w:noWrap w:val="false"/>
          </w:tcPr>
          <w:p>
            <w:pPr>
              <w:rPr>
                <w:sz w:val="20"/>
                <w:szCs w:val="20"/>
              </w:rPr>
            </w:pPr>
            <w:r>
              <w:rPr>
                <w:sz w:val="20"/>
                <w:szCs w:val="20"/>
              </w:rPr>
              <w:t xml:space="preserve">1</w:t>
            </w:r>
            <w:r>
              <w:rPr>
                <w:sz w:val="20"/>
                <w:szCs w:val="20"/>
              </w:rPr>
              <w:t xml:space="preserve">. </w:t>
            </w:r>
            <w:r>
              <w:rPr>
                <w:sz w:val="20"/>
                <w:szCs w:val="20"/>
              </w:rPr>
              <w:t xml:space="preserve">Котельная школы р.п. Юргамыш, ул. Свободы, 25А (0,601 Гкал/час.)</w:t>
            </w:r>
            <w:r>
              <w:rPr>
                <w:sz w:val="20"/>
                <w:szCs w:val="20"/>
              </w:rPr>
            </w:r>
            <w:r>
              <w:rPr>
                <w:sz w:val="20"/>
                <w:szCs w:val="20"/>
              </w:rPr>
            </w:r>
          </w:p>
          <w:p>
            <w:pPr>
              <w:rPr>
                <w:sz w:val="20"/>
                <w:szCs w:val="20"/>
              </w:rPr>
            </w:pPr>
            <w:r>
              <w:rPr>
                <w:sz w:val="20"/>
                <w:szCs w:val="20"/>
              </w:rPr>
              <w:t xml:space="preserve">2</w:t>
            </w:r>
            <w:r>
              <w:rPr>
                <w:sz w:val="20"/>
                <w:szCs w:val="20"/>
              </w:rPr>
              <w:t xml:space="preserve">. </w:t>
            </w:r>
            <w:r>
              <w:rPr>
                <w:sz w:val="20"/>
                <w:szCs w:val="20"/>
              </w:rPr>
              <w:t xml:space="preserve">Котельная детского сада «Улыбка» р.п. Юргамыш, ул. Кирова, 38Г (0,429 Гкал/час.)</w:t>
            </w:r>
            <w:r>
              <w:rPr>
                <w:sz w:val="20"/>
                <w:szCs w:val="20"/>
              </w:rPr>
            </w:r>
            <w:r>
              <w:rPr>
                <w:sz w:val="20"/>
                <w:szCs w:val="20"/>
              </w:rPr>
            </w:r>
          </w:p>
          <w:p>
            <w:pPr>
              <w:rPr>
                <w:sz w:val="20"/>
                <w:szCs w:val="20"/>
              </w:rPr>
            </w:pPr>
            <w:r>
              <w:rPr>
                <w:sz w:val="20"/>
                <w:szCs w:val="20"/>
              </w:rPr>
              <w:t xml:space="preserve">3</w:t>
            </w:r>
            <w:r>
              <w:rPr>
                <w:sz w:val="20"/>
                <w:szCs w:val="20"/>
              </w:rPr>
              <w:t xml:space="preserve">. </w:t>
            </w:r>
            <w:r>
              <w:rPr>
                <w:sz w:val="20"/>
                <w:szCs w:val="20"/>
              </w:rPr>
              <w:t xml:space="preserve">Котельная медколледж, р.п. Юргамыш, ул. Блюхера, 2 (0,429 Гкал/час.)</w:t>
            </w:r>
            <w:r>
              <w:rPr>
                <w:sz w:val="20"/>
                <w:szCs w:val="20"/>
              </w:rPr>
            </w:r>
            <w:r>
              <w:rPr>
                <w:sz w:val="20"/>
                <w:szCs w:val="20"/>
              </w:rPr>
            </w:r>
          </w:p>
          <w:p>
            <w:pPr>
              <w:rPr>
                <w:sz w:val="20"/>
                <w:szCs w:val="20"/>
              </w:rPr>
            </w:pPr>
            <w:r>
              <w:rPr>
                <w:sz w:val="20"/>
                <w:szCs w:val="20"/>
              </w:rPr>
              <w:t xml:space="preserve">4</w:t>
            </w:r>
            <w:r>
              <w:rPr>
                <w:sz w:val="20"/>
                <w:szCs w:val="20"/>
              </w:rPr>
              <w:t xml:space="preserve">. </w:t>
            </w:r>
            <w:r>
              <w:rPr>
                <w:sz w:val="20"/>
                <w:szCs w:val="20"/>
              </w:rPr>
              <w:t xml:space="preserve">Котельная ЦРБ, р.п. Юргамыш, ул. Леспромхоза, 4А (0,601 Гкал/час.)</w:t>
            </w:r>
            <w:r>
              <w:rPr>
                <w:sz w:val="20"/>
                <w:szCs w:val="20"/>
              </w:rPr>
            </w:r>
            <w:r>
              <w:rPr>
                <w:sz w:val="20"/>
                <w:szCs w:val="20"/>
              </w:rPr>
            </w:r>
          </w:p>
          <w:p>
            <w:pPr>
              <w:rPr>
                <w:sz w:val="20"/>
                <w:szCs w:val="20"/>
              </w:rPr>
            </w:pPr>
            <w:r>
              <w:rPr>
                <w:sz w:val="20"/>
                <w:szCs w:val="20"/>
              </w:rPr>
              <w:t xml:space="preserve">5. </w:t>
            </w:r>
            <w:r>
              <w:rPr>
                <w:sz w:val="20"/>
                <w:szCs w:val="20"/>
              </w:rPr>
              <w:t xml:space="preserve">Центральная котельная, с. Кислянское, ул. Советская, 25А (0,601 Гкал/час.)</w:t>
            </w:r>
            <w:r>
              <w:rPr>
                <w:sz w:val="20"/>
                <w:szCs w:val="20"/>
              </w:rPr>
            </w:r>
            <w:r>
              <w:rPr>
                <w:sz w:val="20"/>
                <w:szCs w:val="20"/>
              </w:rPr>
            </w:r>
          </w:p>
          <w:p>
            <w:pPr>
              <w:rPr>
                <w:sz w:val="20"/>
                <w:szCs w:val="20"/>
              </w:rPr>
            </w:pPr>
            <w:r>
              <w:rPr>
                <w:sz w:val="20"/>
                <w:szCs w:val="20"/>
              </w:rPr>
              <w:t xml:space="preserve">6</w:t>
            </w:r>
            <w:r>
              <w:rPr>
                <w:sz w:val="20"/>
                <w:szCs w:val="20"/>
              </w:rPr>
              <w:t xml:space="preserve">. </w:t>
            </w:r>
            <w:r>
              <w:rPr>
                <w:sz w:val="20"/>
                <w:szCs w:val="20"/>
              </w:rPr>
              <w:t xml:space="preserve">Котельная школы, с. Чинеево, ул. Центральная, 7Б (0,300 Гкал/час.) </w:t>
            </w:r>
            <w:r>
              <w:rPr>
                <w:sz w:val="20"/>
                <w:szCs w:val="20"/>
              </w:rPr>
            </w:r>
            <w:r>
              <w:rPr>
                <w:sz w:val="20"/>
                <w:szCs w:val="20"/>
              </w:rPr>
            </w:r>
          </w:p>
          <w:p>
            <w:pPr>
              <w:rPr>
                <w:sz w:val="20"/>
                <w:szCs w:val="20"/>
              </w:rPr>
            </w:pPr>
            <w:r>
              <w:rPr>
                <w:sz w:val="20"/>
                <w:szCs w:val="20"/>
              </w:rPr>
              <w:t xml:space="preserve">7</w:t>
            </w:r>
            <w:r>
              <w:rPr>
                <w:sz w:val="20"/>
                <w:szCs w:val="20"/>
              </w:rPr>
              <w:t xml:space="preserve">.</w:t>
            </w:r>
            <w:r>
              <w:rPr>
                <w:sz w:val="20"/>
                <w:szCs w:val="20"/>
              </w:rPr>
              <w:t xml:space="preserve"> Котельная школы искусств, р.п. Юргамыш, ул. Ленина, 16А (0,154 Гкал/час.)</w:t>
            </w:r>
            <w:r>
              <w:rPr>
                <w:sz w:val="20"/>
                <w:szCs w:val="20"/>
              </w:rPr>
            </w:r>
            <w:r>
              <w:rPr>
                <w:sz w:val="20"/>
                <w:szCs w:val="20"/>
              </w:rPr>
            </w:r>
          </w:p>
        </w:tc>
      </w:tr>
    </w:tbl>
    <w:p>
      <w:pPr>
        <w:pStyle w:val="1247"/>
        <w:ind w:left="119" w:right="147" w:firstLine="709"/>
        <w:jc w:val="right"/>
      </w:pPr>
      <w:r/>
      <w:r/>
    </w:p>
    <w:p>
      <w:pPr>
        <w:rPr>
          <w:sz w:val="24"/>
          <w:szCs w:val="24"/>
        </w:rPr>
      </w:pPr>
      <w:r>
        <w:br w:type="page" w:clear="all"/>
      </w:r>
      <w:r>
        <w:rPr>
          <w:sz w:val="24"/>
          <w:szCs w:val="24"/>
        </w:rPr>
      </w:r>
      <w:r>
        <w:rPr>
          <w:sz w:val="24"/>
          <w:szCs w:val="24"/>
        </w:rPr>
      </w:r>
    </w:p>
    <w:p>
      <w:pPr>
        <w:pStyle w:val="1247"/>
        <w:ind w:left="119" w:right="147" w:firstLine="709"/>
        <w:jc w:val="right"/>
      </w:pPr>
      <w:r>
        <w:t xml:space="preserve">Таблица 1.10.1.6</w:t>
      </w:r>
      <w:r/>
    </w:p>
    <w:p>
      <w:pPr>
        <w:pStyle w:val="1247"/>
        <w:ind w:left="142" w:right="130" w:firstLine="709"/>
        <w:jc w:val="center"/>
        <w:rPr>
          <w:rFonts w:ascii="Liberation Serif" w:hAnsi="Liberation Serif" w:cs="Liberation Serif"/>
        </w:rPr>
      </w:pPr>
      <w:r>
        <w:t xml:space="preserve">Общая информация о регулируемой организации </w:t>
      </w:r>
      <w:r>
        <w:rPr>
          <w:rFonts w:ascii="Liberation Serif" w:hAnsi="Liberation Serif" w:cs="Liberation Serif"/>
        </w:rPr>
        <w:t xml:space="preserve">ООО «Арабика»</w:t>
      </w:r>
      <w:r>
        <w:rPr>
          <w:rFonts w:ascii="Liberation Serif" w:hAnsi="Liberation Serif" w:cs="Liberation Serif"/>
        </w:rPr>
      </w:r>
      <w:r>
        <w:rPr>
          <w:rFonts w:ascii="Liberation Serif" w:hAnsi="Liberation Serif" w:cs="Liberation Serif"/>
        </w:rPr>
      </w:r>
    </w:p>
    <w:tbl>
      <w:tblPr>
        <w:tblW w:w="5000" w:type="pct"/>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73" w:type="dxa"/>
          <w:right w:w="73" w:type="dxa"/>
        </w:tblCellMar>
        <w:tblLook w:val="0000" w:firstRow="0" w:lastRow="0" w:firstColumn="0" w:lastColumn="0" w:noHBand="0" w:noVBand="0"/>
      </w:tblPr>
      <w:tblGrid>
        <w:gridCol w:w="5312"/>
        <w:gridCol w:w="4588"/>
      </w:tblGrid>
      <w:tr>
        <w:tblPrEx/>
        <w:trPr/>
        <w:tc>
          <w:tcPr>
            <w:tcW w:w="2683" w:type="pct"/>
            <w:textDirection w:val="lrTb"/>
            <w:noWrap w:val="false"/>
          </w:tcPr>
          <w:p>
            <w:pPr>
              <w:jc w:val="both"/>
              <w:rPr>
                <w:sz w:val="20"/>
                <w:szCs w:val="20"/>
              </w:rPr>
            </w:pPr>
            <w:r>
              <w:rPr>
                <w:sz w:val="20"/>
                <w:szCs w:val="20"/>
              </w:rPr>
              <w:t xml:space="preserve">Наименование юридического лица </w:t>
            </w:r>
            <w:r>
              <w:rPr>
                <w:sz w:val="20"/>
                <w:szCs w:val="20"/>
              </w:rPr>
            </w:r>
            <w:r>
              <w:rPr>
                <w:sz w:val="20"/>
                <w:szCs w:val="20"/>
              </w:rPr>
            </w:r>
          </w:p>
        </w:tc>
        <w:tc>
          <w:tcPr>
            <w:tcW w:w="2317" w:type="pct"/>
            <w:textDirection w:val="lrTb"/>
            <w:noWrap w:val="false"/>
          </w:tcPr>
          <w:p>
            <w:pPr>
              <w:rPr>
                <w:sz w:val="20"/>
                <w:szCs w:val="20"/>
              </w:rPr>
            </w:pPr>
            <w:r>
              <w:rPr>
                <w:sz w:val="20"/>
                <w:szCs w:val="20"/>
              </w:rPr>
              <w:t xml:space="preserve">Общество с ограниченной ответственностью </w:t>
            </w:r>
            <w:r>
              <w:rPr>
                <w:rFonts w:ascii="Liberation Serif" w:hAnsi="Liberation Serif" w:cs="Liberation Serif"/>
                <w:sz w:val="20"/>
                <w:szCs w:val="20"/>
              </w:rPr>
              <w:t xml:space="preserve">«Арабика»</w:t>
            </w:r>
            <w:r>
              <w:rPr>
                <w:sz w:val="20"/>
                <w:szCs w:val="20"/>
              </w:rPr>
            </w:r>
            <w:r>
              <w:rPr>
                <w:sz w:val="20"/>
                <w:szCs w:val="20"/>
              </w:rPr>
            </w:r>
          </w:p>
        </w:tc>
      </w:tr>
      <w:tr>
        <w:tblPrEx/>
        <w:trPr/>
        <w:tc>
          <w:tcPr>
            <w:tcW w:w="2683" w:type="pct"/>
            <w:textDirection w:val="lrTb"/>
            <w:noWrap w:val="false"/>
          </w:tcPr>
          <w:p>
            <w:pPr>
              <w:jc w:val="both"/>
              <w:rPr>
                <w:sz w:val="20"/>
                <w:szCs w:val="20"/>
              </w:rPr>
            </w:pPr>
            <w:r>
              <w:rPr>
                <w:sz w:val="20"/>
                <w:szCs w:val="20"/>
              </w:rPr>
              <w:t xml:space="preserve">Фамилия, имя и отчество руководителя регулируемой организации</w:t>
            </w:r>
            <w:r>
              <w:rPr>
                <w:sz w:val="20"/>
                <w:szCs w:val="20"/>
              </w:rPr>
            </w:r>
            <w:r>
              <w:rPr>
                <w:sz w:val="20"/>
                <w:szCs w:val="20"/>
              </w:rPr>
            </w:r>
          </w:p>
        </w:tc>
        <w:tc>
          <w:tcPr>
            <w:tcW w:w="2317" w:type="pct"/>
            <w:textDirection w:val="lrTb"/>
            <w:noWrap w:val="false"/>
          </w:tcPr>
          <w:p>
            <w:pPr>
              <w:rPr>
                <w:sz w:val="20"/>
                <w:szCs w:val="20"/>
              </w:rPr>
            </w:pPr>
            <w:r>
              <w:rPr>
                <w:sz w:val="20"/>
                <w:szCs w:val="20"/>
              </w:rPr>
              <w:t xml:space="preserve">Лесников Игорь Юрьевич</w:t>
            </w:r>
            <w:r>
              <w:rPr>
                <w:sz w:val="20"/>
                <w:szCs w:val="20"/>
              </w:rPr>
            </w:r>
            <w:r>
              <w:rPr>
                <w:sz w:val="20"/>
                <w:szCs w:val="20"/>
              </w:rPr>
            </w:r>
          </w:p>
        </w:tc>
      </w:tr>
      <w:tr>
        <w:tblPrEx/>
        <w:trPr/>
        <w:tc>
          <w:tcPr>
            <w:tcW w:w="2683" w:type="pct"/>
            <w:textDirection w:val="lrTb"/>
            <w:noWrap w:val="false"/>
          </w:tcPr>
          <w:p>
            <w:pPr>
              <w:jc w:val="both"/>
              <w:rPr>
                <w:sz w:val="20"/>
                <w:szCs w:val="20"/>
              </w:rPr>
            </w:pPr>
            <w:r>
              <w:rPr>
                <w:sz w:val="20"/>
                <w:szCs w:val="20"/>
              </w:rPr>
              <w:t xml:space="preserve">Основной государственный регистрационный номер, дата его присвоения и наименование органа, принявшего решение о регистрации в качестве юридического лица</w:t>
            </w:r>
            <w:r>
              <w:rPr>
                <w:sz w:val="20"/>
                <w:szCs w:val="20"/>
              </w:rPr>
            </w:r>
            <w:r>
              <w:rPr>
                <w:sz w:val="20"/>
                <w:szCs w:val="20"/>
              </w:rPr>
            </w:r>
          </w:p>
        </w:tc>
        <w:tc>
          <w:tcPr>
            <w:tcW w:w="2317" w:type="pct"/>
            <w:textDirection w:val="lrTb"/>
            <w:noWrap w:val="false"/>
          </w:tcPr>
          <w:p>
            <w:pPr>
              <w:rPr>
                <w:sz w:val="20"/>
                <w:szCs w:val="20"/>
              </w:rPr>
            </w:pPr>
            <w:r>
              <w:rPr>
                <w:sz w:val="20"/>
                <w:szCs w:val="20"/>
              </w:rPr>
              <w:t xml:space="preserve">ОГРН  № 1136623006156 от </w:t>
            </w:r>
            <w:r>
              <w:rPr>
                <w:sz w:val="20"/>
                <w:szCs w:val="20"/>
              </w:rPr>
              <w:t xml:space="preserve">09.08.2013г., Управление ФНС России по Курганской области</w:t>
            </w:r>
            <w:r>
              <w:rPr>
                <w:sz w:val="20"/>
                <w:szCs w:val="20"/>
              </w:rPr>
            </w:r>
            <w:r>
              <w:rPr>
                <w:sz w:val="20"/>
                <w:szCs w:val="20"/>
              </w:rPr>
            </w:r>
          </w:p>
        </w:tc>
      </w:tr>
      <w:tr>
        <w:tblPrEx/>
        <w:trPr/>
        <w:tc>
          <w:tcPr>
            <w:tcW w:w="2683" w:type="pct"/>
            <w:textDirection w:val="lrTb"/>
            <w:noWrap w:val="false"/>
          </w:tcPr>
          <w:p>
            <w:pPr>
              <w:jc w:val="both"/>
              <w:rPr>
                <w:sz w:val="20"/>
                <w:szCs w:val="20"/>
              </w:rPr>
            </w:pPr>
            <w:r>
              <w:rPr>
                <w:sz w:val="20"/>
                <w:szCs w:val="20"/>
              </w:rPr>
              <w:t xml:space="preserve">Почтовый адрес регулируемой организации</w:t>
            </w:r>
            <w:r>
              <w:rPr>
                <w:sz w:val="20"/>
                <w:szCs w:val="20"/>
              </w:rPr>
            </w:r>
            <w:r>
              <w:rPr>
                <w:sz w:val="20"/>
                <w:szCs w:val="20"/>
              </w:rPr>
            </w:r>
          </w:p>
        </w:tc>
        <w:tc>
          <w:tcPr>
            <w:tcW w:w="2317" w:type="pct"/>
            <w:textDirection w:val="lrTb"/>
            <w:noWrap w:val="false"/>
          </w:tcPr>
          <w:p>
            <w:pPr>
              <w:rPr>
                <w:sz w:val="20"/>
                <w:szCs w:val="20"/>
              </w:rPr>
            </w:pPr>
            <w:r>
              <w:rPr>
                <w:sz w:val="20"/>
                <w:szCs w:val="20"/>
              </w:rPr>
              <w:t xml:space="preserve">641200, Курганская область, Юргамышский район, рабочий поселок Юргамыш, ул. Мира, д. 58, офис 4</w:t>
            </w:r>
            <w:r>
              <w:rPr>
                <w:sz w:val="20"/>
                <w:szCs w:val="20"/>
              </w:rPr>
            </w:r>
            <w:r>
              <w:rPr>
                <w:sz w:val="20"/>
                <w:szCs w:val="20"/>
              </w:rPr>
            </w:r>
          </w:p>
        </w:tc>
      </w:tr>
      <w:tr>
        <w:tblPrEx/>
        <w:trPr/>
        <w:tc>
          <w:tcPr>
            <w:tcW w:w="2683" w:type="pct"/>
            <w:textDirection w:val="lrTb"/>
            <w:noWrap w:val="false"/>
          </w:tcPr>
          <w:p>
            <w:pPr>
              <w:jc w:val="both"/>
              <w:rPr>
                <w:sz w:val="20"/>
                <w:szCs w:val="20"/>
              </w:rPr>
            </w:pPr>
            <w:r>
              <w:rPr>
                <w:sz w:val="20"/>
                <w:szCs w:val="20"/>
              </w:rPr>
              <w:t xml:space="preserve">Адрес фактического местонахождения органов управления регулируемой организации</w:t>
            </w:r>
            <w:r>
              <w:rPr>
                <w:sz w:val="20"/>
                <w:szCs w:val="20"/>
              </w:rPr>
            </w:r>
            <w:r>
              <w:rPr>
                <w:sz w:val="20"/>
                <w:szCs w:val="20"/>
              </w:rPr>
            </w:r>
          </w:p>
        </w:tc>
        <w:tc>
          <w:tcPr>
            <w:tcW w:w="2317" w:type="pct"/>
            <w:textDirection w:val="lrTb"/>
            <w:noWrap w:val="false"/>
          </w:tcPr>
          <w:p>
            <w:pPr>
              <w:rPr>
                <w:sz w:val="20"/>
                <w:szCs w:val="20"/>
              </w:rPr>
            </w:pPr>
            <w:r>
              <w:rPr>
                <w:sz w:val="20"/>
                <w:szCs w:val="20"/>
              </w:rPr>
              <w:t xml:space="preserve">Курганская область, Юргамышский район, рабочий поселок Юргамыш, ул. Мира, д. 58, офис 4</w:t>
            </w:r>
            <w:r>
              <w:rPr>
                <w:sz w:val="20"/>
                <w:szCs w:val="20"/>
              </w:rPr>
            </w:r>
            <w:r>
              <w:rPr>
                <w:sz w:val="20"/>
                <w:szCs w:val="20"/>
              </w:rPr>
            </w:r>
          </w:p>
        </w:tc>
      </w:tr>
      <w:tr>
        <w:tblPrEx/>
        <w:trPr/>
        <w:tc>
          <w:tcPr>
            <w:tcW w:w="2683" w:type="pct"/>
            <w:textDirection w:val="lrTb"/>
            <w:noWrap w:val="false"/>
          </w:tcPr>
          <w:p>
            <w:pPr>
              <w:jc w:val="both"/>
              <w:rPr>
                <w:sz w:val="20"/>
                <w:szCs w:val="20"/>
              </w:rPr>
            </w:pPr>
            <w:r>
              <w:rPr>
                <w:sz w:val="20"/>
                <w:szCs w:val="20"/>
              </w:rPr>
              <w:t xml:space="preserve">Контактные телефоны </w:t>
            </w:r>
            <w:r>
              <w:rPr>
                <w:sz w:val="20"/>
                <w:szCs w:val="20"/>
              </w:rPr>
            </w:r>
            <w:r>
              <w:rPr>
                <w:sz w:val="20"/>
                <w:szCs w:val="20"/>
              </w:rPr>
            </w:r>
          </w:p>
        </w:tc>
        <w:tc>
          <w:tcPr>
            <w:tcW w:w="2317" w:type="pct"/>
            <w:textDirection w:val="lrTb"/>
            <w:noWrap w:val="false"/>
          </w:tcPr>
          <w:p>
            <w:pPr>
              <w:rPr>
                <w:sz w:val="20"/>
                <w:szCs w:val="20"/>
              </w:rPr>
            </w:pPr>
            <w:r>
              <w:rPr>
                <w:sz w:val="20"/>
                <w:szCs w:val="20"/>
              </w:rPr>
              <w:t xml:space="preserve">(8-3522) 43-15-43</w:t>
            </w:r>
            <w:r>
              <w:rPr>
                <w:sz w:val="20"/>
                <w:szCs w:val="20"/>
              </w:rPr>
            </w:r>
            <w:r>
              <w:rPr>
                <w:sz w:val="20"/>
                <w:szCs w:val="20"/>
              </w:rPr>
            </w:r>
          </w:p>
        </w:tc>
      </w:tr>
      <w:tr>
        <w:tblPrEx/>
        <w:trPr/>
        <w:tc>
          <w:tcPr>
            <w:tcW w:w="2683" w:type="pct"/>
            <w:textDirection w:val="lrTb"/>
            <w:noWrap w:val="false"/>
          </w:tcPr>
          <w:p>
            <w:pPr>
              <w:jc w:val="both"/>
              <w:rPr>
                <w:sz w:val="20"/>
                <w:szCs w:val="20"/>
              </w:rPr>
            </w:pPr>
            <w:r>
              <w:rPr>
                <w:sz w:val="20"/>
                <w:szCs w:val="20"/>
              </w:rPr>
              <w:t xml:space="preserve">Официальный сайт регулируемой организации в сети Интернет</w:t>
            </w:r>
            <w:r>
              <w:rPr>
                <w:sz w:val="20"/>
                <w:szCs w:val="20"/>
              </w:rPr>
            </w:r>
            <w:r>
              <w:rPr>
                <w:sz w:val="20"/>
                <w:szCs w:val="20"/>
              </w:rPr>
            </w:r>
          </w:p>
        </w:tc>
        <w:tc>
          <w:tcPr>
            <w:tcW w:w="2317" w:type="pct"/>
            <w:textDirection w:val="lrTb"/>
            <w:noWrap w:val="false"/>
          </w:tcPr>
          <w:p>
            <w:pPr>
              <w:rPr>
                <w:sz w:val="20"/>
                <w:szCs w:val="20"/>
              </w:rPr>
            </w:pPr>
            <w:r>
              <w:rPr>
                <w:sz w:val="20"/>
                <w:szCs w:val="20"/>
              </w:rPr>
            </w:r>
            <w:r>
              <w:rPr>
                <w:sz w:val="20"/>
                <w:szCs w:val="20"/>
              </w:rPr>
            </w:r>
            <w:r>
              <w:rPr>
                <w:sz w:val="20"/>
                <w:szCs w:val="20"/>
              </w:rPr>
            </w:r>
          </w:p>
        </w:tc>
      </w:tr>
      <w:tr>
        <w:tblPrEx/>
        <w:trPr/>
        <w:tc>
          <w:tcPr>
            <w:tcW w:w="2683" w:type="pct"/>
            <w:textDirection w:val="lrTb"/>
            <w:noWrap w:val="false"/>
          </w:tcPr>
          <w:p>
            <w:pPr>
              <w:jc w:val="both"/>
              <w:rPr>
                <w:sz w:val="20"/>
                <w:szCs w:val="20"/>
              </w:rPr>
            </w:pPr>
            <w:r>
              <w:rPr>
                <w:sz w:val="20"/>
                <w:szCs w:val="20"/>
              </w:rPr>
              <w:t xml:space="preserve">Адрес электронной почты регулируемой организации</w:t>
            </w:r>
            <w:r>
              <w:rPr>
                <w:sz w:val="20"/>
                <w:szCs w:val="20"/>
              </w:rPr>
            </w:r>
            <w:r>
              <w:rPr>
                <w:sz w:val="20"/>
                <w:szCs w:val="20"/>
              </w:rPr>
            </w:r>
          </w:p>
        </w:tc>
        <w:tc>
          <w:tcPr>
            <w:tcW w:w="2317" w:type="pct"/>
            <w:textDirection w:val="lrTb"/>
            <w:noWrap w:val="false"/>
          </w:tcPr>
          <w:p>
            <w:pPr>
              <w:rPr>
                <w:sz w:val="20"/>
                <w:szCs w:val="20"/>
              </w:rPr>
            </w:pPr>
            <w:r>
              <w:rPr>
                <w:sz w:val="20"/>
                <w:szCs w:val="20"/>
              </w:rPr>
              <w:t xml:space="preserve">aksioma-kurgan@inbox.ru</w:t>
            </w:r>
            <w:r>
              <w:rPr>
                <w:sz w:val="20"/>
                <w:szCs w:val="20"/>
              </w:rPr>
            </w:r>
            <w:r>
              <w:rPr>
                <w:sz w:val="20"/>
                <w:szCs w:val="20"/>
              </w:rPr>
            </w:r>
          </w:p>
        </w:tc>
      </w:tr>
      <w:tr>
        <w:tblPrEx/>
        <w:trPr/>
        <w:tc>
          <w:tcPr>
            <w:tcW w:w="2683" w:type="pct"/>
            <w:textDirection w:val="lrTb"/>
            <w:noWrap w:val="false"/>
          </w:tcPr>
          <w:p>
            <w:pPr>
              <w:jc w:val="both"/>
              <w:rPr>
                <w:sz w:val="20"/>
                <w:szCs w:val="20"/>
              </w:rPr>
            </w:pPr>
            <w:r>
              <w:rPr>
                <w:sz w:val="20"/>
                <w:szCs w:val="20"/>
              </w:rPr>
              <w:t xml:space="preserve">Регулируемый вид деятельности</w:t>
            </w:r>
            <w:r>
              <w:rPr>
                <w:sz w:val="20"/>
                <w:szCs w:val="20"/>
              </w:rPr>
            </w:r>
            <w:r>
              <w:rPr>
                <w:sz w:val="20"/>
                <w:szCs w:val="20"/>
              </w:rPr>
            </w:r>
          </w:p>
        </w:tc>
        <w:tc>
          <w:tcPr>
            <w:tcW w:w="2317" w:type="pct"/>
            <w:textDirection w:val="lrTb"/>
            <w:noWrap w:val="false"/>
          </w:tcPr>
          <w:p>
            <w:pPr>
              <w:rPr>
                <w:sz w:val="20"/>
                <w:szCs w:val="20"/>
              </w:rPr>
            </w:pPr>
            <w:r>
              <w:rPr>
                <w:sz w:val="20"/>
                <w:szCs w:val="20"/>
              </w:rPr>
              <w:t xml:space="preserve">Передача пара и горячей воды (тепловой энергии)</w:t>
            </w:r>
            <w:r>
              <w:rPr>
                <w:sz w:val="20"/>
                <w:szCs w:val="20"/>
              </w:rPr>
            </w:r>
            <w:r>
              <w:rPr>
                <w:sz w:val="20"/>
                <w:szCs w:val="20"/>
              </w:rPr>
            </w:r>
          </w:p>
        </w:tc>
      </w:tr>
      <w:tr>
        <w:tblPrEx/>
        <w:trPr/>
        <w:tc>
          <w:tcPr>
            <w:tcW w:w="2683" w:type="pct"/>
            <w:textDirection w:val="lrTb"/>
            <w:noWrap w:val="false"/>
          </w:tcPr>
          <w:p>
            <w:pPr>
              <w:jc w:val="both"/>
              <w:rPr>
                <w:sz w:val="20"/>
                <w:szCs w:val="20"/>
              </w:rPr>
            </w:pPr>
            <w:r>
              <w:rPr>
                <w:sz w:val="20"/>
                <w:szCs w:val="20"/>
              </w:rPr>
              <w:t xml:space="preserve">Протяженность магистральных сетей </w:t>
            </w:r>
            <w:r>
              <w:rPr>
                <w:sz w:val="20"/>
                <w:szCs w:val="20"/>
              </w:rPr>
              <w:br w:type="textWrapping" w:clear="all"/>
              <w:t xml:space="preserve">(в однотрубном исчислении) (километров)</w:t>
            </w:r>
            <w:r>
              <w:rPr>
                <w:sz w:val="20"/>
                <w:szCs w:val="20"/>
              </w:rPr>
            </w:r>
            <w:r>
              <w:rPr>
                <w:sz w:val="20"/>
                <w:szCs w:val="20"/>
              </w:rPr>
            </w:r>
          </w:p>
        </w:tc>
        <w:tc>
          <w:tcPr>
            <w:tcW w:w="2317" w:type="pct"/>
            <w:textDirection w:val="lrTb"/>
            <w:noWrap w:val="false"/>
          </w:tcPr>
          <w:p>
            <w:pPr>
              <w:rPr>
                <w:sz w:val="20"/>
                <w:szCs w:val="20"/>
              </w:rPr>
            </w:pPr>
            <w:r>
              <w:rPr>
                <w:sz w:val="20"/>
                <w:szCs w:val="20"/>
              </w:rPr>
              <w:t xml:space="preserve">0,252</w:t>
            </w:r>
            <w:r>
              <w:rPr>
                <w:sz w:val="20"/>
                <w:szCs w:val="20"/>
              </w:rPr>
            </w:r>
            <w:r>
              <w:rPr>
                <w:sz w:val="20"/>
                <w:szCs w:val="20"/>
              </w:rPr>
            </w:r>
          </w:p>
        </w:tc>
      </w:tr>
      <w:tr>
        <w:tblPrEx/>
        <w:trPr/>
        <w:tc>
          <w:tcPr>
            <w:tcW w:w="2683" w:type="pct"/>
            <w:textDirection w:val="lrTb"/>
            <w:noWrap w:val="false"/>
          </w:tcPr>
          <w:p>
            <w:pPr>
              <w:jc w:val="both"/>
              <w:rPr>
                <w:sz w:val="20"/>
                <w:szCs w:val="20"/>
              </w:rPr>
            </w:pPr>
            <w:r>
              <w:rPr>
                <w:sz w:val="20"/>
                <w:szCs w:val="20"/>
              </w:rPr>
              <w:t xml:space="preserve">Количество котельных с указанием их установленной тепловой мощности (штук)</w:t>
            </w:r>
            <w:r>
              <w:rPr>
                <w:sz w:val="20"/>
                <w:szCs w:val="20"/>
              </w:rPr>
            </w:r>
            <w:r>
              <w:rPr>
                <w:sz w:val="20"/>
                <w:szCs w:val="20"/>
              </w:rPr>
            </w:r>
          </w:p>
        </w:tc>
        <w:tc>
          <w:tcPr>
            <w:tcW w:w="2317" w:type="pct"/>
            <w:textDirection w:val="lrTb"/>
            <w:noWrap w:val="false"/>
          </w:tcPr>
          <w:p>
            <w:pPr>
              <w:ind w:right="-91"/>
              <w:rPr>
                <w:sz w:val="20"/>
                <w:szCs w:val="20"/>
              </w:rPr>
            </w:pPr>
            <w:r>
              <w:rPr>
                <w:sz w:val="20"/>
                <w:szCs w:val="20"/>
              </w:rPr>
              <w:t xml:space="preserve">1. Котельная </w:t>
            </w:r>
            <w:r>
              <w:rPr>
                <w:sz w:val="20"/>
                <w:szCs w:val="20"/>
              </w:rPr>
              <w:t xml:space="preserve">с.Малое Белое, ул. Школьная, 2а</w:t>
            </w:r>
            <w:r>
              <w:rPr>
                <w:sz w:val="20"/>
                <w:szCs w:val="20"/>
              </w:rPr>
              <w:t xml:space="preserve"> (0,085 Гкал/час.)</w:t>
            </w:r>
            <w:r>
              <w:rPr>
                <w:sz w:val="20"/>
                <w:szCs w:val="20"/>
              </w:rPr>
            </w:r>
            <w:r>
              <w:rPr>
                <w:sz w:val="20"/>
                <w:szCs w:val="20"/>
              </w:rPr>
            </w:r>
          </w:p>
          <w:p>
            <w:pPr>
              <w:rPr>
                <w:sz w:val="20"/>
                <w:szCs w:val="20"/>
              </w:rPr>
            </w:pPr>
            <w:r>
              <w:rPr>
                <w:sz w:val="20"/>
                <w:szCs w:val="20"/>
              </w:rPr>
              <w:t xml:space="preserve">2. Котельная </w:t>
            </w:r>
            <w:r>
              <w:rPr>
                <w:sz w:val="20"/>
                <w:szCs w:val="20"/>
              </w:rPr>
              <w:t xml:space="preserve">с.Малое Белое, ул. Школьная, 2б</w:t>
            </w:r>
            <w:r>
              <w:rPr>
                <w:sz w:val="20"/>
                <w:szCs w:val="20"/>
              </w:rPr>
              <w:t xml:space="preserve"> (0,171 Гкал/час.)</w:t>
            </w:r>
            <w:r>
              <w:rPr>
                <w:sz w:val="20"/>
                <w:szCs w:val="20"/>
              </w:rPr>
            </w:r>
            <w:r>
              <w:rPr>
                <w:sz w:val="20"/>
                <w:szCs w:val="20"/>
              </w:rPr>
            </w:r>
          </w:p>
        </w:tc>
      </w:tr>
    </w:tbl>
    <w:p>
      <w:pPr>
        <w:pStyle w:val="1247"/>
        <w:ind w:left="119" w:right="147" w:firstLine="709"/>
        <w:jc w:val="both"/>
      </w:pPr>
      <w:r/>
      <w:r/>
    </w:p>
    <w:p>
      <w:pPr>
        <w:pStyle w:val="1247"/>
        <w:ind w:left="119" w:right="147" w:firstLine="709"/>
        <w:jc w:val="right"/>
      </w:pPr>
      <w:r>
        <w:t xml:space="preserve">Таблица </w:t>
      </w:r>
      <w:r>
        <w:t xml:space="preserve">1.10.1.7</w:t>
      </w:r>
      <w:r/>
    </w:p>
    <w:p>
      <w:pPr>
        <w:pStyle w:val="1247"/>
        <w:ind w:left="142" w:right="130" w:firstLine="709"/>
        <w:jc w:val="center"/>
        <w:rPr>
          <w:rFonts w:ascii="Liberation Serif" w:hAnsi="Liberation Serif" w:cs="Liberation Serif"/>
        </w:rPr>
      </w:pPr>
      <w:r>
        <w:t xml:space="preserve">Общая информация о регулируемой организации </w:t>
      </w:r>
      <w:r>
        <w:rPr>
          <w:rFonts w:ascii="Liberation Serif" w:hAnsi="Liberation Serif" w:cs="Liberation Serif"/>
        </w:rPr>
        <w:t xml:space="preserve">ООО «КурганТепло»</w:t>
      </w:r>
      <w:r>
        <w:rPr>
          <w:rFonts w:ascii="Liberation Serif" w:hAnsi="Liberation Serif" w:cs="Liberation Serif"/>
        </w:rPr>
      </w:r>
      <w:r>
        <w:rPr>
          <w:rFonts w:ascii="Liberation Serif" w:hAnsi="Liberation Serif" w:cs="Liberation Serif"/>
        </w:rPr>
      </w:r>
    </w:p>
    <w:tbl>
      <w:tblPr>
        <w:tblW w:w="5000" w:type="pct"/>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73" w:type="dxa"/>
          <w:right w:w="73" w:type="dxa"/>
        </w:tblCellMar>
        <w:tblLook w:val="0000" w:firstRow="0" w:lastRow="0" w:firstColumn="0" w:lastColumn="0" w:noHBand="0" w:noVBand="0"/>
      </w:tblPr>
      <w:tblGrid>
        <w:gridCol w:w="5312"/>
        <w:gridCol w:w="4588"/>
      </w:tblGrid>
      <w:tr>
        <w:tblPrEx/>
        <w:trPr/>
        <w:tc>
          <w:tcPr>
            <w:tcW w:w="2683" w:type="pct"/>
            <w:textDirection w:val="lrTb"/>
            <w:noWrap w:val="false"/>
          </w:tcPr>
          <w:p>
            <w:pPr>
              <w:jc w:val="both"/>
              <w:rPr>
                <w:sz w:val="20"/>
                <w:szCs w:val="20"/>
              </w:rPr>
            </w:pPr>
            <w:r>
              <w:rPr>
                <w:sz w:val="20"/>
                <w:szCs w:val="20"/>
              </w:rPr>
              <w:t xml:space="preserve">Наименование юридического лица </w:t>
            </w:r>
            <w:r>
              <w:rPr>
                <w:sz w:val="20"/>
                <w:szCs w:val="20"/>
              </w:rPr>
            </w:r>
            <w:r>
              <w:rPr>
                <w:sz w:val="20"/>
                <w:szCs w:val="20"/>
              </w:rPr>
            </w:r>
          </w:p>
        </w:tc>
        <w:tc>
          <w:tcPr>
            <w:tcW w:w="2317" w:type="pct"/>
            <w:textDirection w:val="lrTb"/>
            <w:noWrap w:val="false"/>
          </w:tcPr>
          <w:p>
            <w:pPr>
              <w:rPr>
                <w:sz w:val="20"/>
                <w:szCs w:val="20"/>
              </w:rPr>
            </w:pPr>
            <w:r>
              <w:rPr>
                <w:sz w:val="20"/>
                <w:szCs w:val="20"/>
              </w:rPr>
              <w:t xml:space="preserve">Общество с ограниченной ответственностью </w:t>
            </w:r>
            <w:r>
              <w:rPr>
                <w:rFonts w:ascii="Liberation Serif" w:hAnsi="Liberation Serif" w:cs="Liberation Serif"/>
                <w:sz w:val="20"/>
                <w:szCs w:val="20"/>
              </w:rPr>
              <w:t xml:space="preserve">«КурганТепло»</w:t>
            </w:r>
            <w:r>
              <w:rPr>
                <w:sz w:val="20"/>
                <w:szCs w:val="20"/>
              </w:rPr>
            </w:r>
            <w:r>
              <w:rPr>
                <w:sz w:val="20"/>
                <w:szCs w:val="20"/>
              </w:rPr>
            </w:r>
          </w:p>
        </w:tc>
      </w:tr>
      <w:tr>
        <w:tblPrEx/>
        <w:trPr/>
        <w:tc>
          <w:tcPr>
            <w:tcW w:w="2683" w:type="pct"/>
            <w:textDirection w:val="lrTb"/>
            <w:noWrap w:val="false"/>
          </w:tcPr>
          <w:p>
            <w:pPr>
              <w:jc w:val="both"/>
              <w:rPr>
                <w:sz w:val="20"/>
                <w:szCs w:val="20"/>
              </w:rPr>
            </w:pPr>
            <w:r>
              <w:rPr>
                <w:sz w:val="20"/>
                <w:szCs w:val="20"/>
              </w:rPr>
              <w:t xml:space="preserve">Фамилия, имя и отчество руководителя регулируемой организации</w:t>
            </w:r>
            <w:r>
              <w:rPr>
                <w:sz w:val="20"/>
                <w:szCs w:val="20"/>
              </w:rPr>
            </w:r>
            <w:r>
              <w:rPr>
                <w:sz w:val="20"/>
                <w:szCs w:val="20"/>
              </w:rPr>
            </w:r>
          </w:p>
        </w:tc>
        <w:tc>
          <w:tcPr>
            <w:tcW w:w="2317" w:type="pct"/>
            <w:textDirection w:val="lrTb"/>
            <w:noWrap w:val="false"/>
          </w:tcPr>
          <w:p>
            <w:pPr>
              <w:rPr>
                <w:sz w:val="20"/>
                <w:szCs w:val="20"/>
              </w:rPr>
            </w:pPr>
            <w:r>
              <w:rPr>
                <w:sz w:val="20"/>
                <w:szCs w:val="20"/>
              </w:rPr>
              <w:t xml:space="preserve">Шестаков Станислав Вадимович</w:t>
            </w:r>
            <w:r>
              <w:rPr>
                <w:sz w:val="20"/>
                <w:szCs w:val="20"/>
              </w:rPr>
            </w:r>
            <w:r>
              <w:rPr>
                <w:sz w:val="20"/>
                <w:szCs w:val="20"/>
              </w:rPr>
            </w:r>
          </w:p>
        </w:tc>
      </w:tr>
      <w:tr>
        <w:tblPrEx/>
        <w:trPr/>
        <w:tc>
          <w:tcPr>
            <w:tcW w:w="2683" w:type="pct"/>
            <w:textDirection w:val="lrTb"/>
            <w:noWrap w:val="false"/>
          </w:tcPr>
          <w:p>
            <w:pPr>
              <w:jc w:val="both"/>
              <w:rPr>
                <w:sz w:val="20"/>
                <w:szCs w:val="20"/>
              </w:rPr>
            </w:pPr>
            <w:r>
              <w:rPr>
                <w:sz w:val="20"/>
                <w:szCs w:val="20"/>
              </w:rPr>
              <w:t xml:space="preserve">Основной государственный регистрационный номер, дата его присвоения и наименование органа, принявшего решение о регистрации в качестве юридического лица</w:t>
            </w:r>
            <w:r>
              <w:rPr>
                <w:sz w:val="20"/>
                <w:szCs w:val="20"/>
              </w:rPr>
            </w:r>
            <w:r>
              <w:rPr>
                <w:sz w:val="20"/>
                <w:szCs w:val="20"/>
              </w:rPr>
            </w:r>
          </w:p>
        </w:tc>
        <w:tc>
          <w:tcPr>
            <w:tcW w:w="2317" w:type="pct"/>
            <w:textDirection w:val="lrTb"/>
            <w:noWrap w:val="false"/>
          </w:tcPr>
          <w:p>
            <w:pPr>
              <w:rPr>
                <w:sz w:val="20"/>
                <w:szCs w:val="20"/>
              </w:rPr>
            </w:pPr>
            <w:r>
              <w:rPr>
                <w:sz w:val="20"/>
                <w:szCs w:val="20"/>
              </w:rPr>
              <w:t xml:space="preserve">ОГРН  № 1214500000770 от 26.02.2021г., Управление ФНС России по Курганской области</w:t>
            </w:r>
            <w:r>
              <w:rPr>
                <w:sz w:val="20"/>
                <w:szCs w:val="20"/>
              </w:rPr>
            </w:r>
            <w:r>
              <w:rPr>
                <w:sz w:val="20"/>
                <w:szCs w:val="20"/>
              </w:rPr>
            </w:r>
          </w:p>
        </w:tc>
      </w:tr>
      <w:tr>
        <w:tblPrEx/>
        <w:trPr/>
        <w:tc>
          <w:tcPr>
            <w:tcW w:w="2683" w:type="pct"/>
            <w:textDirection w:val="lrTb"/>
            <w:noWrap w:val="false"/>
          </w:tcPr>
          <w:p>
            <w:pPr>
              <w:jc w:val="both"/>
              <w:rPr>
                <w:sz w:val="20"/>
                <w:szCs w:val="20"/>
              </w:rPr>
            </w:pPr>
            <w:r>
              <w:rPr>
                <w:sz w:val="20"/>
                <w:szCs w:val="20"/>
              </w:rPr>
              <w:t xml:space="preserve">Почтовый адрес регулируемой организации</w:t>
            </w:r>
            <w:r>
              <w:rPr>
                <w:sz w:val="20"/>
                <w:szCs w:val="20"/>
              </w:rPr>
            </w:r>
            <w:r>
              <w:rPr>
                <w:sz w:val="20"/>
                <w:szCs w:val="20"/>
              </w:rPr>
            </w:r>
          </w:p>
        </w:tc>
        <w:tc>
          <w:tcPr>
            <w:tcW w:w="2317" w:type="pct"/>
            <w:textDirection w:val="lrTb"/>
            <w:noWrap w:val="false"/>
          </w:tcPr>
          <w:p>
            <w:pPr>
              <w:rPr>
                <w:sz w:val="20"/>
                <w:szCs w:val="20"/>
              </w:rPr>
            </w:pPr>
            <w:r>
              <w:rPr>
                <w:sz w:val="20"/>
                <w:szCs w:val="20"/>
              </w:rPr>
              <w:t xml:space="preserve">641200, Курганская область, Юргамышский р-н, рп Юргамыш, ул Хлебозавод, д. 1, офис 1</w:t>
            </w:r>
            <w:r>
              <w:rPr>
                <w:sz w:val="20"/>
                <w:szCs w:val="20"/>
              </w:rPr>
            </w:r>
            <w:r>
              <w:rPr>
                <w:sz w:val="20"/>
                <w:szCs w:val="20"/>
              </w:rPr>
            </w:r>
          </w:p>
        </w:tc>
      </w:tr>
      <w:tr>
        <w:tblPrEx/>
        <w:trPr/>
        <w:tc>
          <w:tcPr>
            <w:tcW w:w="2683" w:type="pct"/>
            <w:textDirection w:val="lrTb"/>
            <w:noWrap w:val="false"/>
          </w:tcPr>
          <w:p>
            <w:pPr>
              <w:jc w:val="both"/>
              <w:rPr>
                <w:sz w:val="20"/>
                <w:szCs w:val="20"/>
              </w:rPr>
            </w:pPr>
            <w:r>
              <w:rPr>
                <w:sz w:val="20"/>
                <w:szCs w:val="20"/>
              </w:rPr>
              <w:t xml:space="preserve">Адрес фактического местонахождения органов управления регулируемой организации</w:t>
            </w:r>
            <w:r>
              <w:rPr>
                <w:sz w:val="20"/>
                <w:szCs w:val="20"/>
              </w:rPr>
            </w:r>
            <w:r>
              <w:rPr>
                <w:sz w:val="20"/>
                <w:szCs w:val="20"/>
              </w:rPr>
            </w:r>
          </w:p>
        </w:tc>
        <w:tc>
          <w:tcPr>
            <w:tcW w:w="2317" w:type="pct"/>
            <w:textDirection w:val="lrTb"/>
            <w:noWrap w:val="false"/>
          </w:tcPr>
          <w:p>
            <w:pPr>
              <w:rPr>
                <w:sz w:val="20"/>
                <w:szCs w:val="20"/>
              </w:rPr>
            </w:pPr>
            <w:r>
              <w:rPr>
                <w:sz w:val="20"/>
                <w:szCs w:val="20"/>
              </w:rPr>
              <w:t xml:space="preserve">Курганская область, Юргамышский р-н, рп Юргамыш, ул Хлебозавод, д. 1, офис 1</w:t>
            </w:r>
            <w:r>
              <w:rPr>
                <w:sz w:val="20"/>
                <w:szCs w:val="20"/>
              </w:rPr>
            </w:r>
            <w:r>
              <w:rPr>
                <w:sz w:val="20"/>
                <w:szCs w:val="20"/>
              </w:rPr>
            </w:r>
          </w:p>
        </w:tc>
      </w:tr>
      <w:tr>
        <w:tblPrEx/>
        <w:trPr/>
        <w:tc>
          <w:tcPr>
            <w:tcW w:w="2683" w:type="pct"/>
            <w:textDirection w:val="lrTb"/>
            <w:noWrap w:val="false"/>
          </w:tcPr>
          <w:p>
            <w:pPr>
              <w:jc w:val="both"/>
              <w:rPr>
                <w:sz w:val="20"/>
                <w:szCs w:val="20"/>
              </w:rPr>
            </w:pPr>
            <w:r>
              <w:rPr>
                <w:sz w:val="20"/>
                <w:szCs w:val="20"/>
              </w:rPr>
              <w:t xml:space="preserve">Контактные телефоны </w:t>
            </w:r>
            <w:r>
              <w:rPr>
                <w:sz w:val="20"/>
                <w:szCs w:val="20"/>
              </w:rPr>
            </w:r>
            <w:r>
              <w:rPr>
                <w:sz w:val="20"/>
                <w:szCs w:val="20"/>
              </w:rPr>
            </w:r>
          </w:p>
        </w:tc>
        <w:tc>
          <w:tcPr>
            <w:tcW w:w="2317" w:type="pct"/>
            <w:textDirection w:val="lrTb"/>
            <w:noWrap w:val="false"/>
          </w:tcPr>
          <w:p>
            <w:pPr>
              <w:rPr>
                <w:sz w:val="20"/>
                <w:szCs w:val="20"/>
              </w:rPr>
            </w:pPr>
            <w:r>
              <w:rPr>
                <w:sz w:val="20"/>
                <w:szCs w:val="20"/>
              </w:rPr>
              <w:t xml:space="preserve">+7 (912) 971-65-65</w:t>
            </w:r>
            <w:r>
              <w:rPr>
                <w:sz w:val="20"/>
                <w:szCs w:val="20"/>
              </w:rPr>
            </w:r>
            <w:r>
              <w:rPr>
                <w:sz w:val="20"/>
                <w:szCs w:val="20"/>
              </w:rPr>
            </w:r>
          </w:p>
        </w:tc>
      </w:tr>
      <w:tr>
        <w:tblPrEx/>
        <w:trPr/>
        <w:tc>
          <w:tcPr>
            <w:tcW w:w="2683" w:type="pct"/>
            <w:textDirection w:val="lrTb"/>
            <w:noWrap w:val="false"/>
          </w:tcPr>
          <w:p>
            <w:pPr>
              <w:jc w:val="both"/>
              <w:rPr>
                <w:sz w:val="20"/>
                <w:szCs w:val="20"/>
              </w:rPr>
            </w:pPr>
            <w:r>
              <w:rPr>
                <w:sz w:val="20"/>
                <w:szCs w:val="20"/>
              </w:rPr>
              <w:t xml:space="preserve">Официальный сайт регулируемой организации в сети Интернет</w:t>
            </w:r>
            <w:r>
              <w:rPr>
                <w:sz w:val="20"/>
                <w:szCs w:val="20"/>
              </w:rPr>
            </w:r>
            <w:r>
              <w:rPr>
                <w:sz w:val="20"/>
                <w:szCs w:val="20"/>
              </w:rPr>
            </w:r>
          </w:p>
        </w:tc>
        <w:tc>
          <w:tcPr>
            <w:tcW w:w="2317" w:type="pct"/>
            <w:textDirection w:val="lrTb"/>
            <w:noWrap w:val="false"/>
          </w:tcPr>
          <w:p>
            <w:pPr>
              <w:rPr>
                <w:sz w:val="20"/>
                <w:szCs w:val="20"/>
              </w:rPr>
            </w:pPr>
            <w:r>
              <w:rPr>
                <w:sz w:val="20"/>
                <w:szCs w:val="20"/>
              </w:rPr>
            </w:r>
            <w:r>
              <w:rPr>
                <w:sz w:val="20"/>
                <w:szCs w:val="20"/>
              </w:rPr>
            </w:r>
            <w:r>
              <w:rPr>
                <w:sz w:val="20"/>
                <w:szCs w:val="20"/>
              </w:rPr>
            </w:r>
          </w:p>
        </w:tc>
      </w:tr>
      <w:tr>
        <w:tblPrEx/>
        <w:trPr/>
        <w:tc>
          <w:tcPr>
            <w:tcW w:w="2683" w:type="pct"/>
            <w:textDirection w:val="lrTb"/>
            <w:noWrap w:val="false"/>
          </w:tcPr>
          <w:p>
            <w:pPr>
              <w:jc w:val="both"/>
              <w:rPr>
                <w:sz w:val="20"/>
                <w:szCs w:val="20"/>
              </w:rPr>
            </w:pPr>
            <w:r>
              <w:rPr>
                <w:sz w:val="20"/>
                <w:szCs w:val="20"/>
              </w:rPr>
              <w:t xml:space="preserve">Адрес электронной почты регулируемой организации</w:t>
            </w:r>
            <w:r>
              <w:rPr>
                <w:sz w:val="20"/>
                <w:szCs w:val="20"/>
              </w:rPr>
            </w:r>
            <w:r>
              <w:rPr>
                <w:sz w:val="20"/>
                <w:szCs w:val="20"/>
              </w:rPr>
            </w:r>
          </w:p>
        </w:tc>
        <w:tc>
          <w:tcPr>
            <w:tcW w:w="2317" w:type="pct"/>
            <w:textDirection w:val="lrTb"/>
            <w:noWrap w:val="false"/>
          </w:tcPr>
          <w:p>
            <w:pPr>
              <w:rPr>
                <w:sz w:val="20"/>
                <w:szCs w:val="20"/>
              </w:rPr>
            </w:pPr>
            <w:r>
              <w:rPr>
                <w:sz w:val="20"/>
                <w:szCs w:val="20"/>
              </w:rPr>
              <w:t xml:space="preserve">gkh-saf@mail.ru</w:t>
            </w:r>
            <w:r>
              <w:rPr>
                <w:sz w:val="20"/>
                <w:szCs w:val="20"/>
              </w:rPr>
            </w:r>
            <w:r>
              <w:rPr>
                <w:sz w:val="20"/>
                <w:szCs w:val="20"/>
              </w:rPr>
            </w:r>
          </w:p>
        </w:tc>
      </w:tr>
      <w:tr>
        <w:tblPrEx/>
        <w:trPr/>
        <w:tc>
          <w:tcPr>
            <w:tcW w:w="2683" w:type="pct"/>
            <w:textDirection w:val="lrTb"/>
            <w:noWrap w:val="false"/>
          </w:tcPr>
          <w:p>
            <w:pPr>
              <w:jc w:val="both"/>
              <w:rPr>
                <w:sz w:val="20"/>
                <w:szCs w:val="20"/>
              </w:rPr>
            </w:pPr>
            <w:r>
              <w:rPr>
                <w:sz w:val="20"/>
                <w:szCs w:val="20"/>
              </w:rPr>
              <w:t xml:space="preserve">Регулируемый вид деятельности</w:t>
            </w:r>
            <w:r>
              <w:rPr>
                <w:sz w:val="20"/>
                <w:szCs w:val="20"/>
              </w:rPr>
            </w:r>
            <w:r>
              <w:rPr>
                <w:sz w:val="20"/>
                <w:szCs w:val="20"/>
              </w:rPr>
            </w:r>
          </w:p>
        </w:tc>
        <w:tc>
          <w:tcPr>
            <w:tcW w:w="2317" w:type="pct"/>
            <w:textDirection w:val="lrTb"/>
            <w:noWrap w:val="false"/>
          </w:tcPr>
          <w:p>
            <w:pPr>
              <w:ind w:hanging="3"/>
              <w:rPr>
                <w:sz w:val="20"/>
                <w:szCs w:val="20"/>
              </w:rPr>
            </w:pPr>
            <w:r>
              <w:rPr>
                <w:sz w:val="20"/>
                <w:szCs w:val="20"/>
              </w:rPr>
            </w:r>
            <w:r>
              <w:rPr>
                <w:sz w:val="20"/>
                <w:szCs w:val="20"/>
              </w:rPr>
            </w:r>
            <w:r>
              <w:rPr>
                <w:sz w:val="20"/>
                <w:szCs w:val="20"/>
              </w:rPr>
            </w:r>
          </w:p>
        </w:tc>
      </w:tr>
      <w:tr>
        <w:tblPrEx/>
        <w:trPr/>
        <w:tc>
          <w:tcPr>
            <w:tcW w:w="2683" w:type="pct"/>
            <w:textDirection w:val="lrTb"/>
            <w:noWrap w:val="false"/>
          </w:tcPr>
          <w:p>
            <w:pPr>
              <w:jc w:val="both"/>
              <w:rPr>
                <w:sz w:val="20"/>
                <w:szCs w:val="20"/>
              </w:rPr>
            </w:pPr>
            <w:r>
              <w:rPr>
                <w:sz w:val="20"/>
                <w:szCs w:val="20"/>
              </w:rPr>
              <w:t xml:space="preserve">Протяженность магистральных сетей </w:t>
            </w:r>
            <w:r>
              <w:rPr>
                <w:sz w:val="20"/>
                <w:szCs w:val="20"/>
              </w:rPr>
              <w:br w:type="textWrapping" w:clear="all"/>
              <w:t xml:space="preserve">(в однотрубном исчислении) (километров)</w:t>
            </w:r>
            <w:r>
              <w:rPr>
                <w:sz w:val="20"/>
                <w:szCs w:val="20"/>
              </w:rPr>
            </w:r>
            <w:r>
              <w:rPr>
                <w:sz w:val="20"/>
                <w:szCs w:val="20"/>
              </w:rPr>
            </w:r>
          </w:p>
        </w:tc>
        <w:tc>
          <w:tcPr>
            <w:tcW w:w="2317" w:type="pct"/>
            <w:textDirection w:val="lrTb"/>
            <w:noWrap w:val="false"/>
          </w:tcPr>
          <w:p>
            <w:pPr>
              <w:ind w:hanging="3"/>
              <w:rPr>
                <w:sz w:val="20"/>
                <w:szCs w:val="20"/>
              </w:rPr>
            </w:pPr>
            <w:r>
              <w:rPr>
                <w:sz w:val="20"/>
                <w:szCs w:val="20"/>
              </w:rPr>
              <w:t xml:space="preserve">6,736</w:t>
            </w:r>
            <w:r>
              <w:rPr>
                <w:sz w:val="20"/>
                <w:szCs w:val="20"/>
              </w:rPr>
            </w:r>
            <w:r>
              <w:rPr>
                <w:sz w:val="20"/>
                <w:szCs w:val="20"/>
              </w:rPr>
            </w:r>
          </w:p>
        </w:tc>
      </w:tr>
      <w:tr>
        <w:tblPrEx/>
        <w:trPr/>
        <w:tc>
          <w:tcPr>
            <w:tcW w:w="2683" w:type="pct"/>
            <w:textDirection w:val="lrTb"/>
            <w:noWrap w:val="false"/>
          </w:tcPr>
          <w:p>
            <w:pPr>
              <w:jc w:val="both"/>
              <w:rPr>
                <w:sz w:val="20"/>
                <w:szCs w:val="20"/>
              </w:rPr>
            </w:pPr>
            <w:r>
              <w:rPr>
                <w:sz w:val="20"/>
                <w:szCs w:val="20"/>
              </w:rPr>
              <w:t xml:space="preserve">Количество котельных с указанием их установленной тепловой мощности (штук)</w:t>
            </w:r>
            <w:r>
              <w:rPr>
                <w:sz w:val="20"/>
                <w:szCs w:val="20"/>
              </w:rPr>
            </w:r>
            <w:r>
              <w:rPr>
                <w:sz w:val="20"/>
                <w:szCs w:val="20"/>
              </w:rPr>
            </w:r>
          </w:p>
        </w:tc>
        <w:tc>
          <w:tcPr>
            <w:tcW w:w="2317" w:type="pct"/>
            <w:textDirection w:val="lrTb"/>
            <w:noWrap w:val="false"/>
          </w:tcPr>
          <w:p>
            <w:pPr>
              <w:pStyle w:val="1247"/>
              <w:ind w:right="147" w:hanging="3"/>
              <w:jc w:val="both"/>
              <w:rPr>
                <w:sz w:val="20"/>
                <w:szCs w:val="20"/>
              </w:rPr>
            </w:pPr>
            <w:r>
              <w:rPr>
                <w:sz w:val="20"/>
                <w:szCs w:val="20"/>
              </w:rPr>
              <w:t xml:space="preserve">1. Котельная </w:t>
            </w:r>
            <w:r>
              <w:rPr>
                <w:sz w:val="20"/>
                <w:szCs w:val="20"/>
              </w:rPr>
              <w:t xml:space="preserve">с.Кипель, ул.Советская, 81а</w:t>
            </w:r>
            <w:r>
              <w:rPr>
                <w:sz w:val="20"/>
                <w:szCs w:val="20"/>
              </w:rPr>
              <w:t xml:space="preserve"> (0,171 Гкал/час.)</w:t>
            </w:r>
            <w:r>
              <w:rPr>
                <w:sz w:val="20"/>
                <w:szCs w:val="20"/>
              </w:rPr>
            </w:r>
            <w:r>
              <w:rPr>
                <w:sz w:val="20"/>
                <w:szCs w:val="20"/>
              </w:rPr>
            </w:r>
          </w:p>
          <w:p>
            <w:pPr>
              <w:pStyle w:val="1247"/>
              <w:ind w:right="147" w:hanging="3"/>
              <w:jc w:val="both"/>
              <w:rPr>
                <w:sz w:val="20"/>
                <w:szCs w:val="20"/>
              </w:rPr>
            </w:pPr>
            <w:r>
              <w:rPr>
                <w:sz w:val="20"/>
                <w:szCs w:val="20"/>
              </w:rPr>
              <w:t xml:space="preserve">2. Котельная </w:t>
            </w:r>
            <w:r>
              <w:rPr>
                <w:sz w:val="20"/>
                <w:szCs w:val="20"/>
              </w:rPr>
              <w:t xml:space="preserve">с.Горохово, ул.Школьная, 37Б</w:t>
            </w:r>
            <w:r>
              <w:rPr>
                <w:sz w:val="20"/>
                <w:szCs w:val="20"/>
              </w:rPr>
              <w:t xml:space="preserve"> (0,554 Гкал/час.)</w:t>
            </w:r>
            <w:r>
              <w:rPr>
                <w:sz w:val="20"/>
                <w:szCs w:val="20"/>
              </w:rPr>
            </w:r>
            <w:r>
              <w:rPr>
                <w:sz w:val="20"/>
                <w:szCs w:val="20"/>
              </w:rPr>
            </w:r>
          </w:p>
          <w:p>
            <w:pPr>
              <w:pStyle w:val="1247"/>
              <w:ind w:right="147" w:hanging="3"/>
              <w:jc w:val="both"/>
              <w:rPr>
                <w:sz w:val="20"/>
                <w:szCs w:val="20"/>
              </w:rPr>
            </w:pPr>
            <w:r>
              <w:rPr>
                <w:sz w:val="20"/>
                <w:szCs w:val="20"/>
              </w:rPr>
              <w:t xml:space="preserve">3. Котельная </w:t>
            </w:r>
            <w:r>
              <w:rPr>
                <w:sz w:val="20"/>
                <w:szCs w:val="20"/>
              </w:rPr>
              <w:t xml:space="preserve">с.Гагарье, ул.Новая 5Б</w:t>
            </w:r>
            <w:r>
              <w:rPr>
                <w:sz w:val="20"/>
                <w:szCs w:val="20"/>
              </w:rPr>
              <w:t xml:space="preserve"> (0,257 Гкал/час.)</w:t>
            </w:r>
            <w:r>
              <w:rPr>
                <w:sz w:val="20"/>
                <w:szCs w:val="20"/>
              </w:rPr>
            </w:r>
            <w:r>
              <w:rPr>
                <w:sz w:val="20"/>
                <w:szCs w:val="20"/>
              </w:rPr>
            </w:r>
          </w:p>
          <w:p>
            <w:pPr>
              <w:pStyle w:val="1247"/>
              <w:ind w:right="147" w:hanging="3"/>
              <w:jc w:val="both"/>
              <w:rPr>
                <w:sz w:val="20"/>
                <w:szCs w:val="20"/>
              </w:rPr>
            </w:pPr>
            <w:r>
              <w:rPr>
                <w:sz w:val="20"/>
                <w:szCs w:val="20"/>
              </w:rPr>
              <w:t xml:space="preserve">4. Котельная </w:t>
            </w:r>
            <w:r>
              <w:rPr>
                <w:sz w:val="20"/>
                <w:szCs w:val="20"/>
              </w:rPr>
              <w:t xml:space="preserve">с.Скоблино, ул.Школьная, 41Б</w:t>
            </w:r>
            <w:r>
              <w:rPr>
                <w:sz w:val="20"/>
                <w:szCs w:val="20"/>
              </w:rPr>
              <w:t xml:space="preserve"> (0,257 Гкал/час.)</w:t>
            </w:r>
            <w:r>
              <w:rPr>
                <w:sz w:val="20"/>
                <w:szCs w:val="20"/>
              </w:rPr>
            </w:r>
            <w:r>
              <w:rPr>
                <w:sz w:val="20"/>
                <w:szCs w:val="20"/>
              </w:rPr>
            </w:r>
          </w:p>
          <w:p>
            <w:pPr>
              <w:pStyle w:val="1247"/>
              <w:ind w:right="147" w:hanging="3"/>
              <w:jc w:val="both"/>
              <w:rPr>
                <w:sz w:val="20"/>
                <w:szCs w:val="20"/>
              </w:rPr>
            </w:pPr>
            <w:r>
              <w:rPr>
                <w:sz w:val="20"/>
                <w:szCs w:val="20"/>
              </w:rPr>
              <w:t xml:space="preserve">5. Котельная </w:t>
            </w:r>
            <w:r>
              <w:rPr>
                <w:sz w:val="20"/>
                <w:szCs w:val="20"/>
              </w:rPr>
              <w:t xml:space="preserve">с.Красный Уралец, ул.Ленина, 6а</w:t>
            </w:r>
            <w:r>
              <w:rPr>
                <w:sz w:val="20"/>
                <w:szCs w:val="20"/>
              </w:rPr>
              <w:t xml:space="preserve"> (сош) (0,0,554 Гкал/час.)</w:t>
            </w:r>
            <w:r>
              <w:rPr>
                <w:sz w:val="20"/>
                <w:szCs w:val="20"/>
              </w:rPr>
            </w:r>
            <w:r>
              <w:rPr>
                <w:sz w:val="20"/>
                <w:szCs w:val="20"/>
              </w:rPr>
            </w:r>
          </w:p>
          <w:p>
            <w:pPr>
              <w:pStyle w:val="1247"/>
              <w:ind w:right="147" w:hanging="3"/>
              <w:jc w:val="both"/>
              <w:rPr>
                <w:sz w:val="20"/>
                <w:szCs w:val="20"/>
              </w:rPr>
            </w:pPr>
            <w:r>
              <w:rPr>
                <w:sz w:val="20"/>
                <w:szCs w:val="20"/>
              </w:rPr>
              <w:t xml:space="preserve">6. Котельная </w:t>
            </w:r>
            <w:r>
              <w:rPr>
                <w:sz w:val="20"/>
                <w:szCs w:val="20"/>
              </w:rPr>
              <w:t xml:space="preserve">с.Красный Уралец, улица нет</w:t>
            </w:r>
            <w:r>
              <w:rPr>
                <w:sz w:val="20"/>
                <w:szCs w:val="20"/>
              </w:rPr>
              <w:t xml:space="preserve"> (д/с) (0,043 Гкал/час.)</w:t>
            </w:r>
            <w:r>
              <w:rPr>
                <w:sz w:val="20"/>
                <w:szCs w:val="20"/>
              </w:rPr>
            </w:r>
            <w:r>
              <w:rPr>
                <w:sz w:val="20"/>
                <w:szCs w:val="20"/>
              </w:rPr>
            </w:r>
          </w:p>
          <w:p>
            <w:pPr>
              <w:pStyle w:val="1247"/>
              <w:ind w:right="147" w:hanging="3"/>
              <w:jc w:val="both"/>
              <w:rPr>
                <w:sz w:val="20"/>
                <w:szCs w:val="20"/>
              </w:rPr>
            </w:pPr>
            <w:r>
              <w:rPr>
                <w:sz w:val="20"/>
                <w:szCs w:val="20"/>
              </w:rPr>
              <w:t xml:space="preserve">7. Котельная </w:t>
            </w:r>
            <w:r>
              <w:rPr>
                <w:sz w:val="20"/>
                <w:szCs w:val="20"/>
              </w:rPr>
              <w:t xml:space="preserve">с.Караси, ул.Школьная, 3б</w:t>
            </w:r>
            <w:r>
              <w:rPr>
                <w:sz w:val="20"/>
                <w:szCs w:val="20"/>
              </w:rPr>
              <w:t xml:space="preserve"> (0,257 Гкал/час.)</w:t>
            </w:r>
            <w:r>
              <w:rPr>
                <w:sz w:val="20"/>
                <w:szCs w:val="20"/>
              </w:rPr>
            </w:r>
            <w:r>
              <w:rPr>
                <w:sz w:val="20"/>
                <w:szCs w:val="20"/>
              </w:rPr>
            </w:r>
          </w:p>
          <w:p>
            <w:pPr>
              <w:pStyle w:val="1247"/>
              <w:ind w:right="147" w:hanging="3"/>
              <w:jc w:val="both"/>
              <w:rPr>
                <w:sz w:val="20"/>
                <w:szCs w:val="20"/>
              </w:rPr>
            </w:pPr>
            <w:r>
              <w:rPr>
                <w:sz w:val="20"/>
                <w:szCs w:val="20"/>
              </w:rPr>
              <w:t xml:space="preserve">8. Котельная </w:t>
            </w:r>
            <w:r>
              <w:rPr>
                <w:sz w:val="20"/>
                <w:szCs w:val="20"/>
              </w:rPr>
              <w:t xml:space="preserve">с.Вилкино, ул.Ленина, 9а</w:t>
            </w:r>
            <w:r>
              <w:rPr>
                <w:sz w:val="20"/>
                <w:szCs w:val="20"/>
              </w:rPr>
              <w:t xml:space="preserve"> (0,257 Гкал/час.)</w:t>
            </w:r>
            <w:r>
              <w:rPr>
                <w:sz w:val="20"/>
                <w:szCs w:val="20"/>
              </w:rPr>
            </w:r>
            <w:r>
              <w:rPr>
                <w:sz w:val="20"/>
                <w:szCs w:val="20"/>
              </w:rPr>
            </w:r>
          </w:p>
          <w:p>
            <w:pPr>
              <w:pStyle w:val="1247"/>
              <w:ind w:right="147" w:hanging="3"/>
              <w:jc w:val="both"/>
              <w:rPr>
                <w:sz w:val="20"/>
                <w:szCs w:val="20"/>
              </w:rPr>
            </w:pPr>
            <w:r>
              <w:rPr>
                <w:sz w:val="20"/>
                <w:szCs w:val="20"/>
              </w:rPr>
              <w:t xml:space="preserve">9. Котельная </w:t>
            </w:r>
            <w:r>
              <w:rPr>
                <w:sz w:val="20"/>
                <w:szCs w:val="20"/>
              </w:rPr>
              <w:t xml:space="preserve">с.Губерля, ул.Школьная, 10А</w:t>
            </w:r>
            <w:r>
              <w:rPr>
                <w:sz w:val="20"/>
                <w:szCs w:val="20"/>
              </w:rPr>
              <w:t xml:space="preserve"> (0,171 </w:t>
            </w:r>
            <w:r>
              <w:rPr>
                <w:sz w:val="20"/>
                <w:szCs w:val="20"/>
              </w:rPr>
              <w:t xml:space="preserve">Гкал/час.)</w:t>
            </w:r>
            <w:r>
              <w:rPr>
                <w:sz w:val="20"/>
                <w:szCs w:val="20"/>
              </w:rPr>
            </w:r>
            <w:r>
              <w:rPr>
                <w:sz w:val="20"/>
                <w:szCs w:val="20"/>
              </w:rPr>
            </w:r>
          </w:p>
          <w:p>
            <w:pPr>
              <w:pStyle w:val="1247"/>
              <w:ind w:right="147" w:hanging="3"/>
              <w:jc w:val="both"/>
              <w:rPr>
                <w:sz w:val="20"/>
                <w:szCs w:val="20"/>
              </w:rPr>
            </w:pPr>
            <w:r>
              <w:rPr>
                <w:sz w:val="20"/>
                <w:szCs w:val="20"/>
              </w:rPr>
              <w:t xml:space="preserve">10. Котельная </w:t>
            </w:r>
            <w:r>
              <w:rPr>
                <w:sz w:val="20"/>
                <w:szCs w:val="20"/>
              </w:rPr>
              <w:t xml:space="preserve">с.Фадюшино, ул. Центральная, 50б </w:t>
            </w:r>
            <w:r>
              <w:rPr>
                <w:sz w:val="20"/>
                <w:szCs w:val="20"/>
              </w:rPr>
              <w:t xml:space="preserve">б</w:t>
            </w:r>
            <w:r>
              <w:rPr>
                <w:sz w:val="20"/>
                <w:szCs w:val="20"/>
              </w:rPr>
              <w:t xml:space="preserve"> (0,</w:t>
            </w:r>
            <w:r>
              <w:rPr>
                <w:sz w:val="20"/>
                <w:szCs w:val="20"/>
              </w:rPr>
              <w:t xml:space="preserve">087</w:t>
            </w:r>
            <w:r>
              <w:rPr>
                <w:sz w:val="20"/>
                <w:szCs w:val="20"/>
              </w:rPr>
              <w:t xml:space="preserve"> Гкал/час.)</w:t>
            </w:r>
            <w:r>
              <w:rPr>
                <w:sz w:val="20"/>
                <w:szCs w:val="20"/>
              </w:rPr>
            </w:r>
            <w:r>
              <w:rPr>
                <w:sz w:val="20"/>
                <w:szCs w:val="20"/>
              </w:rPr>
            </w:r>
          </w:p>
        </w:tc>
      </w:tr>
    </w:tbl>
    <w:p>
      <w:pPr>
        <w:pStyle w:val="1247"/>
        <w:ind w:left="119" w:right="147" w:firstLine="709"/>
        <w:jc w:val="both"/>
      </w:pPr>
      <w:r/>
      <w:r/>
    </w:p>
    <w:p>
      <w:pPr>
        <w:pStyle w:val="1247"/>
        <w:ind w:left="119" w:right="147" w:firstLine="709"/>
        <w:jc w:val="both"/>
      </w:pPr>
      <w:r/>
      <w:r/>
    </w:p>
    <w:p>
      <w:pPr>
        <w:pStyle w:val="1248"/>
        <w:ind w:right="146" w:firstLine="733"/>
        <w:spacing w:before="71"/>
        <w:tabs>
          <w:tab w:val="left" w:pos="3254" w:leader="none"/>
          <w:tab w:val="left" w:pos="5103" w:leader="none"/>
          <w:tab w:val="left" w:pos="8417" w:leader="none"/>
        </w:tabs>
      </w:pPr>
      <w:r/>
      <w:bookmarkStart w:id="273" w:name="_Toc130231952"/>
      <w:r/>
      <w:bookmarkStart w:id="274" w:name="_Toc165540732"/>
      <w:r>
        <w:rPr>
          <w:lang w:eastAsia="ru-RU"/>
        </w:rPr>
        <w:t xml:space="preserve">1.10.2 </w:t>
      </w:r>
      <w:r>
        <w:rPr>
          <w:spacing w:val="-2"/>
        </w:rPr>
        <w:t xml:space="preserve">Описание</w:t>
      </w:r>
      <w:r>
        <w:tab/>
      </w:r>
      <w:r>
        <w:rPr>
          <w:spacing w:val="-2"/>
        </w:rPr>
        <w:t xml:space="preserve">изменений</w:t>
      </w:r>
      <w:r>
        <w:tab/>
      </w:r>
      <w:r>
        <w:rPr>
          <w:spacing w:val="-2"/>
        </w:rPr>
        <w:t xml:space="preserve">технико-экономических</w:t>
      </w:r>
      <w:r>
        <w:tab/>
      </w:r>
      <w:r>
        <w:rPr>
          <w:spacing w:val="-2"/>
        </w:rPr>
        <w:t xml:space="preserve">показателей </w:t>
      </w:r>
      <w:r>
        <w:t xml:space="preserve">теплоснабжающих</w:t>
      </w:r>
      <w:r>
        <w:rPr>
          <w:spacing w:val="-5"/>
        </w:rPr>
        <w:t xml:space="preserve"> </w:t>
      </w:r>
      <w:r>
        <w:t xml:space="preserve">и</w:t>
      </w:r>
      <w:r>
        <w:rPr>
          <w:spacing w:val="-5"/>
        </w:rPr>
        <w:t xml:space="preserve"> </w:t>
      </w:r>
      <w:r>
        <w:t xml:space="preserve">теплосетевых</w:t>
      </w:r>
      <w:r>
        <w:rPr>
          <w:spacing w:val="-6"/>
        </w:rPr>
        <w:t xml:space="preserve"> </w:t>
      </w:r>
      <w:r>
        <w:t xml:space="preserve">организаций</w:t>
      </w:r>
      <w:r>
        <w:rPr>
          <w:spacing w:val="-7"/>
        </w:rPr>
        <w:t xml:space="preserve"> </w:t>
      </w:r>
      <w:r>
        <w:t xml:space="preserve">для</w:t>
      </w:r>
      <w:r>
        <w:rPr>
          <w:spacing w:val="-6"/>
        </w:rPr>
        <w:t xml:space="preserve"> </w:t>
      </w:r>
      <w:r>
        <w:t xml:space="preserve">каждой</w:t>
      </w:r>
      <w:r>
        <w:rPr>
          <w:spacing w:val="-5"/>
        </w:rPr>
        <w:t xml:space="preserve"> </w:t>
      </w:r>
      <w:r>
        <w:t xml:space="preserve">системы</w:t>
      </w:r>
      <w:r>
        <w:rPr>
          <w:spacing w:val="-6"/>
        </w:rPr>
        <w:t xml:space="preserve"> </w:t>
      </w:r>
      <w:r>
        <w:t xml:space="preserve">теплоснабжения,</w:t>
      </w:r>
      <w:r>
        <w:rPr>
          <w:spacing w:val="-5"/>
        </w:rPr>
        <w:t xml:space="preserve"> </w:t>
      </w:r>
      <w:r>
        <w:t xml:space="preserve">в том </w:t>
      </w:r>
      <w:r>
        <w:t xml:space="preserve">числе с учётом реализации планов строительства, реконструкции, технического перевооружения и (или) модернизации источников тепловой энергии и тепловых сетей, ввод в эксплуатацию которых осуществлён в период, предшествующий актуализации схемы теплоснабжения</w:t>
      </w:r>
      <w:bookmarkEnd w:id="273"/>
      <w:r/>
      <w:bookmarkEnd w:id="274"/>
      <w:r/>
      <w:r/>
    </w:p>
    <w:p>
      <w:pPr>
        <w:pStyle w:val="1247"/>
        <w:ind w:left="142" w:right="129" w:firstLine="709"/>
        <w:jc w:val="both"/>
        <w:spacing w:before="116"/>
      </w:pPr>
      <w:r>
        <w:t xml:space="preserve">Сведения о </w:t>
      </w:r>
      <w:r>
        <w:t xml:space="preserve">предыдущих </w:t>
      </w:r>
      <w:r>
        <w:t xml:space="preserve">показателях хозяйственной деятельности теплоснабжающих и теплосетевых организаций, отсутствуют.</w:t>
      </w:r>
      <w:r/>
    </w:p>
    <w:p>
      <w:pPr>
        <w:pStyle w:val="1247"/>
        <w:ind w:left="142" w:right="130" w:firstLine="709"/>
        <w:jc w:val="both"/>
      </w:pPr>
      <w:r/>
      <w:r/>
    </w:p>
    <w:p>
      <w:pPr>
        <w:pStyle w:val="1248"/>
        <w:ind w:left="1313" w:hanging="462"/>
      </w:pPr>
      <w:r/>
      <w:bookmarkStart w:id="275" w:name="_bookmark160"/>
      <w:r/>
      <w:bookmarkStart w:id="276" w:name="_Toc130231953"/>
      <w:r/>
      <w:bookmarkStart w:id="277" w:name="_Toc165540733"/>
      <w:r/>
      <w:bookmarkEnd w:id="275"/>
      <w:r>
        <w:rPr>
          <w:lang w:eastAsia="ru-RU"/>
        </w:rPr>
        <w:t xml:space="preserve">1.11 </w:t>
      </w:r>
      <w:r>
        <w:t xml:space="preserve">Цены</w:t>
      </w:r>
      <w:r>
        <w:rPr>
          <w:spacing w:val="-1"/>
        </w:rPr>
        <w:t xml:space="preserve"> </w:t>
      </w:r>
      <w:r>
        <w:t xml:space="preserve">(тарифы)</w:t>
      </w:r>
      <w:r>
        <w:rPr>
          <w:spacing w:val="-2"/>
        </w:rPr>
        <w:t xml:space="preserve"> </w:t>
      </w:r>
      <w:r>
        <w:t xml:space="preserve">в</w:t>
      </w:r>
      <w:r>
        <w:rPr>
          <w:spacing w:val="-2"/>
        </w:rPr>
        <w:t xml:space="preserve"> </w:t>
      </w:r>
      <w:r>
        <w:t xml:space="preserve">сфере</w:t>
      </w:r>
      <w:r>
        <w:rPr>
          <w:spacing w:val="-1"/>
        </w:rPr>
        <w:t xml:space="preserve"> </w:t>
      </w:r>
      <w:r>
        <w:rPr>
          <w:spacing w:val="-2"/>
        </w:rPr>
        <w:t xml:space="preserve">теплоснабжения</w:t>
      </w:r>
      <w:bookmarkEnd w:id="276"/>
      <w:r/>
      <w:bookmarkEnd w:id="277"/>
      <w:r/>
      <w:r/>
    </w:p>
    <w:p>
      <w:pPr>
        <w:pStyle w:val="1248"/>
        <w:ind w:right="145" w:firstLine="733"/>
        <w:spacing w:before="120"/>
      </w:pPr>
      <w:r/>
      <w:bookmarkStart w:id="278" w:name="_bookmark161"/>
      <w:r/>
      <w:bookmarkStart w:id="279" w:name="_Toc130231954"/>
      <w:r/>
      <w:bookmarkStart w:id="280" w:name="_Toc165540734"/>
      <w:r/>
      <w:bookmarkEnd w:id="278"/>
      <w:r>
        <w:rPr>
          <w:lang w:eastAsia="ru-RU"/>
        </w:rPr>
        <w:t xml:space="preserve">1.11.1 </w:t>
      </w:r>
      <w:r>
        <w:t xml:space="preserve">Описание динамики утверждённых цен (тарифов), у</w:t>
      </w:r>
      <w:r>
        <w:t xml:space="preserve">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учётом последних 3 лет</w:t>
      </w:r>
      <w:bookmarkEnd w:id="279"/>
      <w:r/>
      <w:bookmarkEnd w:id="280"/>
      <w:r/>
      <w:r/>
    </w:p>
    <w:p>
      <w:pPr>
        <w:pStyle w:val="1247"/>
        <w:ind w:left="119" w:right="147" w:firstLine="709"/>
        <w:jc w:val="right"/>
        <w:spacing w:before="120"/>
      </w:pPr>
      <w:r/>
      <w:bookmarkStart w:id="281" w:name="_bookmark162"/>
      <w:r/>
      <w:bookmarkStart w:id="282" w:name="_Toc130231955"/>
      <w:r/>
      <w:bookmarkStart w:id="283" w:name="_Toc165540735"/>
      <w:r/>
      <w:bookmarkEnd w:id="281"/>
      <w:r>
        <w:t xml:space="preserve">Таблица 1.11.1.1</w:t>
      </w:r>
      <w:r/>
    </w:p>
    <w:p>
      <w:pPr>
        <w:pStyle w:val="1247"/>
        <w:ind w:left="119" w:right="147" w:firstLine="23"/>
        <w:jc w:val="center"/>
      </w:pPr>
      <w:r>
        <w:t xml:space="preserve">Динамика утверждённых тарифов на тепловую энергию ООО «Новомировское домоуправление»</w:t>
      </w:r>
      <w:r/>
    </w:p>
    <w:p>
      <w:pPr>
        <w:pStyle w:val="1247"/>
        <w:ind w:left="119" w:right="147" w:firstLine="23"/>
        <w:jc w:val="center"/>
      </w:pPr>
      <w:r>
        <w:t xml:space="preserve">(Постановление Департамента государственного регулирования цен и тарифов Курганской области от 17.11.2022г. №52-28)</w:t>
      </w:r>
      <w:r/>
    </w:p>
    <w:tbl>
      <w:tblPr>
        <w:tblW w:w="0" w:type="auto"/>
        <w:tblInd w:w="134" w:type="dxa"/>
        <w:shd w:val="clear" w:color="auto" w:fill="ffffff"/>
        <w:tblCellMar>
          <w:left w:w="0" w:type="dxa"/>
          <w:right w:w="0" w:type="dxa"/>
        </w:tblCellMar>
        <w:tblLook w:val="04A0" w:firstRow="1" w:lastRow="0" w:firstColumn="1" w:lastColumn="0" w:noHBand="0" w:noVBand="1"/>
      </w:tblPr>
      <w:tblGrid>
        <w:gridCol w:w="625"/>
        <w:gridCol w:w="2957"/>
        <w:gridCol w:w="2093"/>
        <w:gridCol w:w="1109"/>
        <w:gridCol w:w="1478"/>
        <w:gridCol w:w="1294"/>
      </w:tblGrid>
      <w:tr>
        <w:tblPrEx/>
        <w:trPr>
          <w:trHeight w:val="252"/>
        </w:trPr>
        <w:tc>
          <w:tcPr>
            <w:shd w:val="clear" w:color="auto" w:fill="auto"/>
            <w:tcBorders>
              <w:top w:val="single" w:color="000000" w:sz="6" w:space="0"/>
              <w:left w:val="single" w:color="000000" w:sz="6" w:space="0"/>
              <w:right w:val="single" w:color="000000" w:sz="6" w:space="0"/>
            </w:tcBorders>
            <w:tcMar>
              <w:left w:w="149" w:type="dxa"/>
              <w:top w:w="0" w:type="dxa"/>
              <w:right w:w="149" w:type="dxa"/>
              <w:bottom w:w="0" w:type="dxa"/>
            </w:tcMar>
            <w:tcW w:w="625" w:type="dxa"/>
            <w:vMerge w:val="restart"/>
            <w:textDirection w:val="lrTb"/>
            <w:noWrap w:val="false"/>
          </w:tcPr>
          <w:p>
            <w:pPr>
              <w:jc w:val="center"/>
              <w:widowControl/>
              <w:rPr>
                <w:sz w:val="20"/>
                <w:szCs w:val="20"/>
                <w:lang w:eastAsia="ru-RU"/>
              </w:rPr>
            </w:pPr>
            <w:r>
              <w:rPr>
                <w:sz w:val="20"/>
                <w:szCs w:val="20"/>
                <w:lang w:eastAsia="ru-RU"/>
              </w:rPr>
              <w:t xml:space="preserve">N п/п</w:t>
            </w:r>
            <w:r>
              <w:rPr>
                <w:sz w:val="20"/>
                <w:szCs w:val="20"/>
                <w:lang w:eastAsia="ru-RU"/>
              </w:rPr>
            </w:r>
            <w:r>
              <w:rPr>
                <w:sz w:val="20"/>
                <w:szCs w:val="20"/>
                <w:lang w:eastAsia="ru-RU"/>
              </w:rPr>
            </w:r>
          </w:p>
        </w:tc>
        <w:tc>
          <w:tcPr>
            <w:shd w:val="clear" w:color="auto" w:fill="auto"/>
            <w:tcBorders>
              <w:top w:val="single" w:color="000000" w:sz="6" w:space="0"/>
              <w:left w:val="single" w:color="000000" w:sz="6" w:space="0"/>
              <w:right w:val="single" w:color="000000" w:sz="6" w:space="0"/>
            </w:tcBorders>
            <w:tcMar>
              <w:left w:w="149" w:type="dxa"/>
              <w:top w:w="0" w:type="dxa"/>
              <w:right w:w="149" w:type="dxa"/>
              <w:bottom w:w="0" w:type="dxa"/>
            </w:tcMar>
            <w:tcW w:w="2957" w:type="dxa"/>
            <w:vMerge w:val="restart"/>
            <w:textDirection w:val="lrTb"/>
            <w:noWrap w:val="false"/>
          </w:tcPr>
          <w:p>
            <w:pPr>
              <w:jc w:val="center"/>
              <w:widowControl/>
              <w:rPr>
                <w:sz w:val="20"/>
                <w:szCs w:val="20"/>
                <w:lang w:eastAsia="ru-RU"/>
              </w:rPr>
            </w:pPr>
            <w:r>
              <w:rPr>
                <w:sz w:val="20"/>
                <w:szCs w:val="20"/>
                <w:lang w:eastAsia="ru-RU"/>
              </w:rPr>
              <w:t xml:space="preserve">Наименование регулируемой организации</w:t>
            </w:r>
            <w:r>
              <w:rPr>
                <w:sz w:val="20"/>
                <w:szCs w:val="20"/>
                <w:lang w:eastAsia="ru-RU"/>
              </w:rPr>
            </w:r>
            <w:r>
              <w:rPr>
                <w:sz w:val="20"/>
                <w:szCs w:val="20"/>
                <w:lang w:eastAsia="ru-RU"/>
              </w:rPr>
            </w:r>
          </w:p>
        </w:tc>
        <w:tc>
          <w:tcPr>
            <w:shd w:val="clear" w:color="auto" w:fill="auto"/>
            <w:tcBorders>
              <w:top w:val="single" w:color="000000" w:sz="6" w:space="0"/>
              <w:left w:val="single" w:color="000000" w:sz="6" w:space="0"/>
              <w:right w:val="single" w:color="000000" w:sz="6" w:space="0"/>
            </w:tcBorders>
            <w:tcMar>
              <w:left w:w="149" w:type="dxa"/>
              <w:top w:w="0" w:type="dxa"/>
              <w:right w:w="149" w:type="dxa"/>
              <w:bottom w:w="0" w:type="dxa"/>
            </w:tcMar>
            <w:tcW w:w="2093" w:type="dxa"/>
            <w:vMerge w:val="restart"/>
            <w:textDirection w:val="lrTb"/>
            <w:noWrap w:val="false"/>
          </w:tcPr>
          <w:p>
            <w:pPr>
              <w:jc w:val="center"/>
              <w:widowControl/>
              <w:rPr>
                <w:sz w:val="20"/>
                <w:szCs w:val="20"/>
                <w:lang w:eastAsia="ru-RU"/>
              </w:rPr>
            </w:pPr>
            <w:r>
              <w:rPr>
                <w:sz w:val="20"/>
                <w:szCs w:val="20"/>
                <w:lang w:eastAsia="ru-RU"/>
              </w:rPr>
              <w:t xml:space="preserve">Вид тарифа</w:t>
            </w:r>
            <w:r>
              <w:rPr>
                <w:sz w:val="20"/>
                <w:szCs w:val="20"/>
                <w:lang w:eastAsia="ru-RU"/>
              </w:rPr>
            </w:r>
            <w:r>
              <w:rPr>
                <w:sz w:val="20"/>
                <w:szCs w:val="20"/>
                <w:lang w:eastAsia="ru-RU"/>
              </w:rPr>
            </w:r>
          </w:p>
        </w:tc>
        <w:tc>
          <w:tcPr>
            <w:shd w:val="clear" w:color="auto" w:fill="auto"/>
            <w:tcBorders>
              <w:top w:val="single" w:color="000000" w:sz="6" w:space="0"/>
              <w:left w:val="single" w:color="000000" w:sz="6" w:space="0"/>
              <w:right w:val="single" w:color="000000" w:sz="6" w:space="0"/>
            </w:tcBorders>
            <w:tcMar>
              <w:left w:w="149" w:type="dxa"/>
              <w:top w:w="0" w:type="dxa"/>
              <w:right w:w="149" w:type="dxa"/>
              <w:bottom w:w="0" w:type="dxa"/>
            </w:tcMar>
            <w:tcW w:w="1109" w:type="dxa"/>
            <w:vMerge w:val="restart"/>
            <w:textDirection w:val="lrTb"/>
            <w:noWrap w:val="false"/>
          </w:tcPr>
          <w:p>
            <w:pPr>
              <w:jc w:val="center"/>
              <w:widowControl/>
              <w:rPr>
                <w:sz w:val="20"/>
                <w:szCs w:val="20"/>
                <w:lang w:eastAsia="ru-RU"/>
              </w:rPr>
            </w:pPr>
            <w:r>
              <w:rPr>
                <w:sz w:val="20"/>
                <w:szCs w:val="20"/>
                <w:lang w:eastAsia="ru-RU"/>
              </w:rPr>
              <w:t xml:space="preserve">Год</w:t>
            </w:r>
            <w:r>
              <w:rPr>
                <w:sz w:val="20"/>
                <w:szCs w:val="20"/>
                <w:lang w:eastAsia="ru-RU"/>
              </w:rPr>
            </w:r>
            <w:r>
              <w:rPr>
                <w:sz w:val="20"/>
                <w:szCs w:val="20"/>
                <w:lang w:eastAsia="ru-RU"/>
              </w:rPr>
            </w:r>
          </w:p>
        </w:tc>
        <w:tc>
          <w:tcPr>
            <w:gridSpan w:val="2"/>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2772" w:type="dxa"/>
            <w:textDirection w:val="lrTb"/>
            <w:noWrap w:val="false"/>
          </w:tcPr>
          <w:p>
            <w:pPr>
              <w:jc w:val="center"/>
              <w:widowControl/>
              <w:rPr>
                <w:sz w:val="20"/>
                <w:szCs w:val="20"/>
                <w:lang w:eastAsia="ru-RU"/>
              </w:rPr>
            </w:pPr>
            <w:r>
              <w:rPr>
                <w:sz w:val="20"/>
                <w:szCs w:val="20"/>
                <w:lang w:eastAsia="ru-RU"/>
              </w:rPr>
              <w:t xml:space="preserve">Вода</w:t>
            </w:r>
            <w:r>
              <w:rPr>
                <w:sz w:val="20"/>
                <w:szCs w:val="20"/>
                <w:lang w:eastAsia="ru-RU"/>
              </w:rPr>
            </w:r>
            <w:r>
              <w:rPr>
                <w:sz w:val="20"/>
                <w:szCs w:val="20"/>
                <w:lang w:eastAsia="ru-RU"/>
              </w:rPr>
            </w:r>
          </w:p>
        </w:tc>
      </w:tr>
      <w:tr>
        <w:tblPrEx/>
        <w:trPr/>
        <w:tc>
          <w:tcPr>
            <w:shd w:val="clear" w:color="auto" w:fill="auto"/>
            <w:tcBorders>
              <w:left w:val="single" w:color="000000" w:sz="6" w:space="0"/>
              <w:bottom w:val="none" w:color="000000" w:sz="4" w:space="0"/>
              <w:right w:val="single" w:color="000000" w:sz="6" w:space="0"/>
            </w:tcBorders>
            <w:tcMar>
              <w:left w:w="149" w:type="dxa"/>
              <w:top w:w="0" w:type="dxa"/>
              <w:right w:w="149" w:type="dxa"/>
              <w:bottom w:w="0" w:type="dxa"/>
            </w:tcMar>
            <w:tcW w:w="625"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bottom w:val="none" w:color="000000" w:sz="4" w:space="0"/>
              <w:right w:val="single" w:color="000000" w:sz="6" w:space="0"/>
            </w:tcBorders>
            <w:tcMar>
              <w:left w:w="149" w:type="dxa"/>
              <w:top w:w="0" w:type="dxa"/>
              <w:right w:w="149" w:type="dxa"/>
              <w:bottom w:w="0" w:type="dxa"/>
            </w:tcMar>
            <w:tcW w:w="2957"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bottom w:val="none" w:color="000000" w:sz="4" w:space="0"/>
              <w:right w:val="single" w:color="000000" w:sz="6" w:space="0"/>
            </w:tcBorders>
            <w:tcMar>
              <w:left w:w="149" w:type="dxa"/>
              <w:top w:w="0" w:type="dxa"/>
              <w:right w:w="149" w:type="dxa"/>
              <w:bottom w:w="0" w:type="dxa"/>
            </w:tcMar>
            <w:tcW w:w="2093"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bottom w:val="none" w:color="000000" w:sz="4" w:space="0"/>
              <w:right w:val="single" w:color="000000" w:sz="6" w:space="0"/>
            </w:tcBorders>
            <w:tcMar>
              <w:left w:w="149" w:type="dxa"/>
              <w:top w:w="0" w:type="dxa"/>
              <w:right w:w="149" w:type="dxa"/>
              <w:bottom w:w="0" w:type="dxa"/>
            </w:tcMar>
            <w:tcW w:w="1109"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78" w:type="dxa"/>
            <w:textDirection w:val="lrTb"/>
            <w:noWrap w:val="false"/>
          </w:tcPr>
          <w:p>
            <w:pPr>
              <w:jc w:val="center"/>
              <w:widowControl/>
              <w:rPr>
                <w:sz w:val="20"/>
                <w:szCs w:val="20"/>
                <w:lang w:eastAsia="ru-RU"/>
              </w:rPr>
            </w:pPr>
            <w:r>
              <w:rPr>
                <w:sz w:val="20"/>
                <w:szCs w:val="20"/>
                <w:lang w:eastAsia="ru-RU"/>
              </w:rPr>
              <w:t xml:space="preserve">с 1 января по 30 июня</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jc w:val="center"/>
              <w:widowControl/>
              <w:rPr>
                <w:sz w:val="20"/>
                <w:szCs w:val="20"/>
                <w:lang w:eastAsia="ru-RU"/>
              </w:rPr>
            </w:pPr>
            <w:r>
              <w:rPr>
                <w:sz w:val="20"/>
                <w:szCs w:val="20"/>
                <w:lang w:eastAsia="ru-RU"/>
              </w:rPr>
              <w:t xml:space="preserve">с 1 июля по 31 декабря</w:t>
            </w:r>
            <w:r>
              <w:rPr>
                <w:sz w:val="20"/>
                <w:szCs w:val="20"/>
                <w:lang w:eastAsia="ru-RU"/>
              </w:rPr>
            </w:r>
            <w:r>
              <w:rPr>
                <w:sz w:val="20"/>
                <w:szCs w:val="20"/>
                <w:lang w:eastAsia="ru-RU"/>
              </w:rPr>
            </w:r>
          </w:p>
        </w:tc>
      </w:tr>
      <w:tr>
        <w:tblPrEx/>
        <w:trPr/>
        <w:tc>
          <w:tcPr>
            <w:shd w:val="clear" w:color="auto" w:fill="auto"/>
            <w:tcBorders>
              <w:top w:val="single" w:color="000000" w:sz="6" w:space="0"/>
              <w:left w:val="single" w:color="000000" w:sz="6" w:space="0"/>
              <w:bottom w:val="none" w:color="000000" w:sz="4" w:space="0"/>
              <w:right w:val="single" w:color="000000" w:sz="6" w:space="0"/>
            </w:tcBorders>
            <w:tcMar>
              <w:left w:w="149" w:type="dxa"/>
              <w:top w:w="0" w:type="dxa"/>
              <w:right w:w="149" w:type="dxa"/>
              <w:bottom w:w="0" w:type="dxa"/>
            </w:tcMar>
            <w:tcW w:w="625" w:type="dxa"/>
            <w:textDirection w:val="lrTb"/>
            <w:noWrap w:val="false"/>
          </w:tcPr>
          <w:p>
            <w:pPr>
              <w:widowControl/>
              <w:rPr>
                <w:sz w:val="20"/>
                <w:szCs w:val="20"/>
                <w:lang w:eastAsia="ru-RU"/>
              </w:rPr>
            </w:pPr>
            <w:r>
              <w:rPr>
                <w:sz w:val="20"/>
                <w:szCs w:val="20"/>
                <w:lang w:eastAsia="ru-RU"/>
              </w:rPr>
              <w:t xml:space="preserve">1.</w:t>
            </w:r>
            <w:r>
              <w:rPr>
                <w:sz w:val="20"/>
                <w:szCs w:val="20"/>
                <w:lang w:eastAsia="ru-RU"/>
              </w:rPr>
            </w:r>
            <w:r>
              <w:rPr>
                <w:sz w:val="20"/>
                <w:szCs w:val="20"/>
                <w:lang w:eastAsia="ru-RU"/>
              </w:rPr>
            </w:r>
          </w:p>
        </w:tc>
        <w:tc>
          <w:tcPr>
            <w:shd w:val="clear" w:color="auto" w:fill="auto"/>
            <w:tcBorders>
              <w:top w:val="single" w:color="000000" w:sz="6" w:space="0"/>
              <w:left w:val="single" w:color="000000" w:sz="6" w:space="0"/>
              <w:right w:val="single" w:color="000000" w:sz="6" w:space="0"/>
            </w:tcBorders>
            <w:tcMar>
              <w:left w:w="149" w:type="dxa"/>
              <w:top w:w="0" w:type="dxa"/>
              <w:right w:w="149" w:type="dxa"/>
              <w:bottom w:w="0" w:type="dxa"/>
            </w:tcMar>
            <w:tcW w:w="2957" w:type="dxa"/>
            <w:vMerge w:val="restart"/>
            <w:textDirection w:val="lrTb"/>
            <w:noWrap w:val="false"/>
          </w:tcPr>
          <w:p>
            <w:pPr>
              <w:widowControl/>
              <w:rPr>
                <w:sz w:val="20"/>
                <w:szCs w:val="20"/>
                <w:lang w:eastAsia="ru-RU"/>
              </w:rPr>
            </w:pPr>
            <w:r>
              <w:rPr>
                <w:sz w:val="20"/>
                <w:szCs w:val="20"/>
                <w:lang w:eastAsia="ru-RU"/>
              </w:rPr>
              <w:t xml:space="preserve">Общество с ограниченной ответственностью "Новомировское домоуправление"</w:t>
            </w:r>
            <w:r>
              <w:rPr>
                <w:sz w:val="20"/>
                <w:szCs w:val="20"/>
                <w:lang w:eastAsia="ru-RU"/>
              </w:rPr>
            </w:r>
            <w:r>
              <w:rPr>
                <w:sz w:val="20"/>
                <w:szCs w:val="20"/>
                <w:lang w:eastAsia="ru-RU"/>
              </w:rPr>
            </w:r>
          </w:p>
        </w:tc>
        <w:tc>
          <w:tcPr>
            <w:gridSpan w:val="4"/>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5974" w:type="dxa"/>
            <w:textDirection w:val="lrTb"/>
            <w:noWrap w:val="false"/>
          </w:tcPr>
          <w:p>
            <w:pPr>
              <w:widowControl/>
              <w:rPr>
                <w:sz w:val="20"/>
                <w:szCs w:val="20"/>
                <w:lang w:eastAsia="ru-RU"/>
              </w:rPr>
            </w:pPr>
            <w:r>
              <w:rPr>
                <w:sz w:val="20"/>
                <w:szCs w:val="20"/>
                <w:lang w:eastAsia="ru-RU"/>
              </w:rPr>
              <w:t xml:space="preserve">Для потребителей, в случае отсутствия дифференциации тарифов по схеме подключения</w:t>
            </w:r>
            <w:r>
              <w:rPr>
                <w:sz w:val="20"/>
                <w:szCs w:val="20"/>
                <w:lang w:eastAsia="ru-RU"/>
              </w:rPr>
            </w:r>
            <w:r>
              <w:rPr>
                <w:sz w:val="20"/>
                <w:szCs w:val="20"/>
                <w:lang w:eastAsia="ru-RU"/>
              </w:rPr>
            </w:r>
          </w:p>
        </w:tc>
      </w:tr>
      <w:tr>
        <w:tblPrEx/>
        <w:trPr>
          <w:trHeight w:val="230"/>
        </w:trPr>
        <w:tc>
          <w:tcPr>
            <w:shd w:val="clear" w:color="auto" w:fill="auto"/>
            <w:tcBorders>
              <w:top w:val="none" w:color="000000" w:sz="4" w:space="0"/>
              <w:left w:val="single" w:color="000000" w:sz="6" w:space="0"/>
              <w:bottom w:val="none" w:color="000000" w:sz="4" w:space="0"/>
              <w:right w:val="single" w:color="000000" w:sz="6" w:space="0"/>
            </w:tcBorders>
            <w:tcMar>
              <w:left w:w="149" w:type="dxa"/>
              <w:top w:w="0" w:type="dxa"/>
              <w:right w:w="149" w:type="dxa"/>
              <w:bottom w:w="0" w:type="dxa"/>
            </w:tcMar>
            <w:tcW w:w="625" w:type="dxa"/>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right w:val="single" w:color="000000" w:sz="6" w:space="0"/>
            </w:tcBorders>
            <w:tcMar>
              <w:left w:w="149" w:type="dxa"/>
              <w:top w:w="0" w:type="dxa"/>
              <w:right w:w="149" w:type="dxa"/>
              <w:bottom w:w="0" w:type="dxa"/>
            </w:tcMar>
            <w:tcW w:w="2957"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top w:val="single" w:color="000000" w:sz="6" w:space="0"/>
              <w:left w:val="single" w:color="000000" w:sz="6" w:space="0"/>
              <w:right w:val="single" w:color="000000" w:sz="6" w:space="0"/>
            </w:tcBorders>
            <w:tcMar>
              <w:left w:w="149" w:type="dxa"/>
              <w:top w:w="0" w:type="dxa"/>
              <w:right w:w="149" w:type="dxa"/>
              <w:bottom w:w="0" w:type="dxa"/>
            </w:tcMar>
            <w:tcW w:w="2093" w:type="dxa"/>
            <w:vMerge w:val="restart"/>
            <w:textDirection w:val="lrTb"/>
            <w:noWrap w:val="false"/>
          </w:tcPr>
          <w:p>
            <w:pPr>
              <w:widowControl/>
              <w:rPr>
                <w:sz w:val="20"/>
                <w:szCs w:val="20"/>
                <w:lang w:eastAsia="ru-RU"/>
              </w:rPr>
            </w:pPr>
            <w:r>
              <w:rPr>
                <w:sz w:val="20"/>
                <w:szCs w:val="20"/>
                <w:lang w:eastAsia="ru-RU"/>
              </w:rPr>
              <w:t xml:space="preserve">одноставочный, руб./Гкал &lt;*&gt;</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109" w:type="dxa"/>
            <w:textDirection w:val="lrTb"/>
            <w:noWrap w:val="false"/>
          </w:tcPr>
          <w:p>
            <w:pPr>
              <w:jc w:val="center"/>
              <w:widowControl/>
              <w:rPr>
                <w:sz w:val="20"/>
                <w:szCs w:val="20"/>
                <w:lang w:eastAsia="ru-RU"/>
              </w:rPr>
            </w:pPr>
            <w:r>
              <w:rPr>
                <w:sz w:val="20"/>
                <w:szCs w:val="20"/>
                <w:lang w:eastAsia="ru-RU"/>
              </w:rPr>
              <w:t xml:space="preserve">2023</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78" w:type="dxa"/>
            <w:textDirection w:val="lrTb"/>
            <w:noWrap w:val="false"/>
          </w:tcPr>
          <w:p>
            <w:pPr>
              <w:jc w:val="center"/>
              <w:widowControl/>
              <w:rPr>
                <w:sz w:val="20"/>
                <w:szCs w:val="20"/>
                <w:lang w:eastAsia="ru-RU"/>
              </w:rPr>
            </w:pPr>
            <w:r>
              <w:rPr>
                <w:sz w:val="20"/>
                <w:szCs w:val="20"/>
                <w:lang w:eastAsia="ru-RU"/>
              </w:rPr>
              <w:t xml:space="preserve">3772,38</w:t>
            </w:r>
            <w:r>
              <w:rPr>
                <w:sz w:val="20"/>
                <w:szCs w:val="20"/>
                <w:lang w:eastAsia="ru-RU"/>
              </w:rPr>
              <w:t xml:space="preserve">&lt;***&gt;</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jc w:val="center"/>
              <w:widowControl/>
              <w:rPr>
                <w:sz w:val="20"/>
                <w:szCs w:val="20"/>
                <w:lang w:eastAsia="ru-RU"/>
              </w:rPr>
            </w:pPr>
            <w:r>
              <w:rPr>
                <w:sz w:val="20"/>
                <w:szCs w:val="20"/>
                <w:lang w:eastAsia="ru-RU"/>
              </w:rPr>
              <w:t xml:space="preserve">3772,38</w:t>
            </w:r>
            <w:r>
              <w:rPr>
                <w:sz w:val="20"/>
                <w:szCs w:val="20"/>
                <w:lang w:eastAsia="ru-RU"/>
              </w:rPr>
            </w:r>
            <w:r>
              <w:rPr>
                <w:sz w:val="20"/>
                <w:szCs w:val="20"/>
                <w:lang w:eastAsia="ru-RU"/>
              </w:rPr>
            </w:r>
          </w:p>
        </w:tc>
      </w:tr>
      <w:tr>
        <w:tblPrEx/>
        <w:trPr/>
        <w:tc>
          <w:tcPr>
            <w:shd w:val="clear" w:color="auto" w:fill="auto"/>
            <w:tcBorders>
              <w:top w:val="none" w:color="000000" w:sz="4" w:space="0"/>
              <w:left w:val="single" w:color="000000" w:sz="6" w:space="0"/>
              <w:bottom w:val="none" w:color="000000" w:sz="4" w:space="0"/>
              <w:right w:val="single" w:color="000000" w:sz="6" w:space="0"/>
            </w:tcBorders>
            <w:tcMar>
              <w:left w:w="149" w:type="dxa"/>
              <w:top w:w="0" w:type="dxa"/>
              <w:right w:w="149" w:type="dxa"/>
              <w:bottom w:w="0" w:type="dxa"/>
            </w:tcMar>
            <w:tcW w:w="625" w:type="dxa"/>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right w:val="single" w:color="000000" w:sz="6" w:space="0"/>
            </w:tcBorders>
            <w:tcMar>
              <w:left w:w="149" w:type="dxa"/>
              <w:top w:w="0" w:type="dxa"/>
              <w:right w:w="149" w:type="dxa"/>
              <w:bottom w:w="0" w:type="dxa"/>
            </w:tcMar>
            <w:tcW w:w="2957"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right w:val="single" w:color="000000" w:sz="6" w:space="0"/>
            </w:tcBorders>
            <w:tcMar>
              <w:left w:w="149" w:type="dxa"/>
              <w:top w:w="0" w:type="dxa"/>
              <w:right w:w="149" w:type="dxa"/>
              <w:bottom w:w="0" w:type="dxa"/>
            </w:tcMar>
            <w:tcW w:w="2093"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109" w:type="dxa"/>
            <w:textDirection w:val="lrTb"/>
            <w:noWrap w:val="false"/>
          </w:tcPr>
          <w:p>
            <w:pPr>
              <w:jc w:val="center"/>
              <w:widowControl/>
              <w:rPr>
                <w:sz w:val="20"/>
                <w:szCs w:val="20"/>
                <w:lang w:eastAsia="ru-RU"/>
              </w:rPr>
            </w:pPr>
            <w:r>
              <w:rPr>
                <w:sz w:val="20"/>
                <w:szCs w:val="20"/>
                <w:lang w:eastAsia="ru-RU"/>
              </w:rPr>
              <w:t xml:space="preserve">2024</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78" w:type="dxa"/>
            <w:textDirection w:val="lrTb"/>
            <w:noWrap w:val="false"/>
          </w:tcPr>
          <w:p>
            <w:pPr>
              <w:jc w:val="center"/>
              <w:widowControl/>
              <w:rPr>
                <w:sz w:val="20"/>
                <w:szCs w:val="20"/>
                <w:lang w:eastAsia="ru-RU"/>
              </w:rPr>
            </w:pPr>
            <w:r>
              <w:rPr>
                <w:sz w:val="20"/>
                <w:szCs w:val="20"/>
                <w:lang w:eastAsia="ru-RU"/>
              </w:rPr>
              <w:t xml:space="preserve">3772,38</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jc w:val="center"/>
              <w:widowControl/>
              <w:rPr>
                <w:sz w:val="20"/>
                <w:szCs w:val="20"/>
                <w:lang w:eastAsia="ru-RU"/>
              </w:rPr>
            </w:pPr>
            <w:r>
              <w:rPr>
                <w:sz w:val="20"/>
                <w:szCs w:val="20"/>
                <w:lang w:eastAsia="ru-RU"/>
              </w:rPr>
              <w:t xml:space="preserve">5543,45</w:t>
            </w:r>
            <w:r>
              <w:rPr>
                <w:sz w:val="20"/>
                <w:szCs w:val="20"/>
                <w:lang w:eastAsia="ru-RU"/>
              </w:rPr>
            </w:r>
            <w:r>
              <w:rPr>
                <w:sz w:val="20"/>
                <w:szCs w:val="20"/>
                <w:lang w:eastAsia="ru-RU"/>
              </w:rPr>
            </w:r>
          </w:p>
        </w:tc>
      </w:tr>
      <w:tr>
        <w:tblPrEx/>
        <w:trPr/>
        <w:tc>
          <w:tcPr>
            <w:shd w:val="clear" w:color="auto" w:fill="auto"/>
            <w:tcBorders>
              <w:top w:val="none" w:color="000000" w:sz="4" w:space="0"/>
              <w:left w:val="single" w:color="000000" w:sz="6" w:space="0"/>
              <w:bottom w:val="none" w:color="000000" w:sz="4" w:space="0"/>
              <w:right w:val="single" w:color="000000" w:sz="6" w:space="0"/>
            </w:tcBorders>
            <w:tcMar>
              <w:left w:w="149" w:type="dxa"/>
              <w:top w:w="0" w:type="dxa"/>
              <w:right w:w="149" w:type="dxa"/>
              <w:bottom w:w="0" w:type="dxa"/>
            </w:tcMar>
            <w:tcW w:w="625" w:type="dxa"/>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right w:val="single" w:color="000000" w:sz="6" w:space="0"/>
            </w:tcBorders>
            <w:tcMar>
              <w:left w:w="149" w:type="dxa"/>
              <w:top w:w="0" w:type="dxa"/>
              <w:right w:w="149" w:type="dxa"/>
              <w:bottom w:w="0" w:type="dxa"/>
            </w:tcMar>
            <w:tcW w:w="2957"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right w:val="single" w:color="000000" w:sz="6" w:space="0"/>
            </w:tcBorders>
            <w:tcMar>
              <w:left w:w="149" w:type="dxa"/>
              <w:top w:w="0" w:type="dxa"/>
              <w:right w:w="149" w:type="dxa"/>
              <w:bottom w:w="0" w:type="dxa"/>
            </w:tcMar>
            <w:tcW w:w="2093"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109" w:type="dxa"/>
            <w:textDirection w:val="lrTb"/>
            <w:noWrap w:val="false"/>
          </w:tcPr>
          <w:p>
            <w:pPr>
              <w:jc w:val="center"/>
              <w:widowControl/>
              <w:rPr>
                <w:sz w:val="20"/>
                <w:szCs w:val="20"/>
                <w:lang w:eastAsia="ru-RU"/>
              </w:rPr>
            </w:pPr>
            <w:r>
              <w:rPr>
                <w:sz w:val="20"/>
                <w:szCs w:val="20"/>
                <w:lang w:eastAsia="ru-RU"/>
              </w:rPr>
              <w:t xml:space="preserve">2025</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78" w:type="dxa"/>
            <w:textDirection w:val="lrTb"/>
            <w:noWrap w:val="false"/>
          </w:tcPr>
          <w:p>
            <w:pPr>
              <w:jc w:val="center"/>
              <w:widowControl/>
              <w:rPr>
                <w:sz w:val="20"/>
                <w:szCs w:val="20"/>
                <w:lang w:eastAsia="ru-RU"/>
              </w:rPr>
            </w:pPr>
            <w:r>
              <w:rPr>
                <w:sz w:val="20"/>
                <w:szCs w:val="20"/>
                <w:lang w:eastAsia="ru-RU"/>
              </w:rPr>
              <w:t xml:space="preserve">4636,15</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jc w:val="center"/>
              <w:widowControl/>
              <w:rPr>
                <w:sz w:val="20"/>
                <w:szCs w:val="20"/>
                <w:lang w:eastAsia="ru-RU"/>
              </w:rPr>
            </w:pPr>
            <w:r>
              <w:rPr>
                <w:sz w:val="20"/>
                <w:szCs w:val="20"/>
                <w:lang w:eastAsia="ru-RU"/>
              </w:rPr>
              <w:t xml:space="preserve">4636,15</w:t>
            </w:r>
            <w:r>
              <w:rPr>
                <w:sz w:val="20"/>
                <w:szCs w:val="20"/>
                <w:lang w:eastAsia="ru-RU"/>
              </w:rPr>
            </w:r>
            <w:r>
              <w:rPr>
                <w:sz w:val="20"/>
                <w:szCs w:val="20"/>
                <w:lang w:eastAsia="ru-RU"/>
              </w:rPr>
            </w:r>
          </w:p>
        </w:tc>
      </w:tr>
      <w:tr>
        <w:tblPrEx/>
        <w:trPr/>
        <w:tc>
          <w:tcPr>
            <w:shd w:val="clear" w:color="auto" w:fill="auto"/>
            <w:tcBorders>
              <w:top w:val="none" w:color="000000" w:sz="4" w:space="0"/>
              <w:left w:val="single" w:color="000000" w:sz="6" w:space="0"/>
              <w:bottom w:val="none" w:color="000000" w:sz="4" w:space="0"/>
              <w:right w:val="single" w:color="000000" w:sz="6" w:space="0"/>
            </w:tcBorders>
            <w:tcMar>
              <w:left w:w="149" w:type="dxa"/>
              <w:top w:w="0" w:type="dxa"/>
              <w:right w:w="149" w:type="dxa"/>
              <w:bottom w:w="0" w:type="dxa"/>
            </w:tcMar>
            <w:tcW w:w="625" w:type="dxa"/>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right w:val="single" w:color="000000" w:sz="6" w:space="0"/>
            </w:tcBorders>
            <w:tcMar>
              <w:left w:w="149" w:type="dxa"/>
              <w:top w:w="0" w:type="dxa"/>
              <w:right w:w="149" w:type="dxa"/>
              <w:bottom w:w="0" w:type="dxa"/>
            </w:tcMar>
            <w:tcW w:w="2957"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right w:val="single" w:color="000000" w:sz="6" w:space="0"/>
            </w:tcBorders>
            <w:tcMar>
              <w:left w:w="149" w:type="dxa"/>
              <w:top w:w="0" w:type="dxa"/>
              <w:right w:w="149" w:type="dxa"/>
              <w:bottom w:w="0" w:type="dxa"/>
            </w:tcMar>
            <w:tcW w:w="2093"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109" w:type="dxa"/>
            <w:textDirection w:val="lrTb"/>
            <w:noWrap w:val="false"/>
          </w:tcPr>
          <w:p>
            <w:pPr>
              <w:jc w:val="center"/>
              <w:widowControl/>
              <w:rPr>
                <w:sz w:val="20"/>
                <w:szCs w:val="20"/>
                <w:lang w:eastAsia="ru-RU"/>
              </w:rPr>
            </w:pPr>
            <w:r>
              <w:rPr>
                <w:sz w:val="20"/>
                <w:szCs w:val="20"/>
                <w:lang w:eastAsia="ru-RU"/>
              </w:rPr>
              <w:t xml:space="preserve">2026</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78" w:type="dxa"/>
            <w:textDirection w:val="lrTb"/>
            <w:noWrap w:val="false"/>
          </w:tcPr>
          <w:p>
            <w:pPr>
              <w:jc w:val="center"/>
              <w:widowControl/>
              <w:rPr>
                <w:sz w:val="20"/>
                <w:szCs w:val="20"/>
                <w:lang w:eastAsia="ru-RU"/>
              </w:rPr>
            </w:pPr>
            <w:r>
              <w:rPr>
                <w:sz w:val="20"/>
                <w:szCs w:val="20"/>
                <w:lang w:eastAsia="ru-RU"/>
              </w:rPr>
              <w:t xml:space="preserve">4636,15</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jc w:val="center"/>
              <w:widowControl/>
              <w:rPr>
                <w:sz w:val="20"/>
                <w:szCs w:val="20"/>
                <w:lang w:eastAsia="ru-RU"/>
              </w:rPr>
            </w:pPr>
            <w:r>
              <w:rPr>
                <w:sz w:val="20"/>
                <w:szCs w:val="20"/>
                <w:lang w:eastAsia="ru-RU"/>
              </w:rPr>
              <w:t xml:space="preserve">4657,87</w:t>
            </w:r>
            <w:r>
              <w:rPr>
                <w:sz w:val="20"/>
                <w:szCs w:val="20"/>
                <w:lang w:eastAsia="ru-RU"/>
              </w:rPr>
            </w:r>
            <w:r>
              <w:rPr>
                <w:sz w:val="20"/>
                <w:szCs w:val="20"/>
                <w:lang w:eastAsia="ru-RU"/>
              </w:rPr>
            </w:r>
          </w:p>
        </w:tc>
      </w:tr>
      <w:tr>
        <w:tblPrEx/>
        <w:trPr/>
        <w:tc>
          <w:tcPr>
            <w:shd w:val="clear" w:color="auto" w:fill="auto"/>
            <w:tcBorders>
              <w:top w:val="none" w:color="000000" w:sz="4" w:space="0"/>
              <w:left w:val="single" w:color="000000" w:sz="6" w:space="0"/>
              <w:bottom w:val="none" w:color="000000" w:sz="4" w:space="0"/>
              <w:right w:val="single" w:color="000000" w:sz="6" w:space="0"/>
            </w:tcBorders>
            <w:tcMar>
              <w:left w:w="149" w:type="dxa"/>
              <w:top w:w="0" w:type="dxa"/>
              <w:right w:w="149" w:type="dxa"/>
              <w:bottom w:w="0" w:type="dxa"/>
            </w:tcMar>
            <w:tcW w:w="625" w:type="dxa"/>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right w:val="single" w:color="000000" w:sz="6" w:space="0"/>
            </w:tcBorders>
            <w:tcMar>
              <w:left w:w="149" w:type="dxa"/>
              <w:top w:w="0" w:type="dxa"/>
              <w:right w:w="149" w:type="dxa"/>
              <w:bottom w:w="0" w:type="dxa"/>
            </w:tcMar>
            <w:tcW w:w="2957"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bottom w:val="none" w:color="000000" w:sz="4" w:space="0"/>
              <w:right w:val="single" w:color="000000" w:sz="6" w:space="0"/>
            </w:tcBorders>
            <w:tcMar>
              <w:left w:w="149" w:type="dxa"/>
              <w:top w:w="0" w:type="dxa"/>
              <w:right w:w="149" w:type="dxa"/>
              <w:bottom w:w="0" w:type="dxa"/>
            </w:tcMar>
            <w:tcW w:w="2093"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109" w:type="dxa"/>
            <w:textDirection w:val="lrTb"/>
            <w:noWrap w:val="false"/>
          </w:tcPr>
          <w:p>
            <w:pPr>
              <w:jc w:val="center"/>
              <w:widowControl/>
              <w:rPr>
                <w:sz w:val="20"/>
                <w:szCs w:val="20"/>
                <w:lang w:eastAsia="ru-RU"/>
              </w:rPr>
            </w:pPr>
            <w:r>
              <w:rPr>
                <w:sz w:val="20"/>
                <w:szCs w:val="20"/>
                <w:lang w:eastAsia="ru-RU"/>
              </w:rPr>
              <w:t xml:space="preserve">2027</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78" w:type="dxa"/>
            <w:textDirection w:val="lrTb"/>
            <w:noWrap w:val="false"/>
          </w:tcPr>
          <w:p>
            <w:pPr>
              <w:jc w:val="center"/>
              <w:widowControl/>
              <w:rPr>
                <w:sz w:val="20"/>
                <w:szCs w:val="20"/>
                <w:lang w:eastAsia="ru-RU"/>
              </w:rPr>
            </w:pPr>
            <w:r>
              <w:rPr>
                <w:sz w:val="20"/>
                <w:szCs w:val="20"/>
                <w:lang w:eastAsia="ru-RU"/>
              </w:rPr>
              <w:t xml:space="preserve">4631,48</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jc w:val="center"/>
              <w:widowControl/>
              <w:rPr>
                <w:sz w:val="20"/>
                <w:szCs w:val="20"/>
                <w:lang w:eastAsia="ru-RU"/>
              </w:rPr>
            </w:pPr>
            <w:r>
              <w:rPr>
                <w:sz w:val="20"/>
                <w:szCs w:val="20"/>
                <w:lang w:eastAsia="ru-RU"/>
              </w:rPr>
              <w:t xml:space="preserve">4631,48</w:t>
            </w:r>
            <w:r>
              <w:rPr>
                <w:sz w:val="20"/>
                <w:szCs w:val="20"/>
                <w:lang w:eastAsia="ru-RU"/>
              </w:rPr>
            </w:r>
            <w:r>
              <w:rPr>
                <w:sz w:val="20"/>
                <w:szCs w:val="20"/>
                <w:lang w:eastAsia="ru-RU"/>
              </w:rPr>
            </w:r>
          </w:p>
        </w:tc>
      </w:tr>
      <w:tr>
        <w:tblPrEx/>
        <w:trPr/>
        <w:tc>
          <w:tcPr>
            <w:shd w:val="clear" w:color="auto" w:fill="auto"/>
            <w:tcBorders>
              <w:top w:val="none" w:color="000000" w:sz="4" w:space="0"/>
              <w:left w:val="single" w:color="000000" w:sz="6" w:space="0"/>
              <w:bottom w:val="none" w:color="000000" w:sz="4" w:space="0"/>
              <w:right w:val="single" w:color="000000" w:sz="6" w:space="0"/>
            </w:tcBorders>
            <w:tcMar>
              <w:left w:w="149" w:type="dxa"/>
              <w:top w:w="0" w:type="dxa"/>
              <w:right w:w="149" w:type="dxa"/>
              <w:bottom w:w="0" w:type="dxa"/>
            </w:tcMar>
            <w:tcW w:w="625" w:type="dxa"/>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right w:val="single" w:color="000000" w:sz="6" w:space="0"/>
            </w:tcBorders>
            <w:tcMar>
              <w:left w:w="149" w:type="dxa"/>
              <w:top w:w="0" w:type="dxa"/>
              <w:right w:w="149" w:type="dxa"/>
              <w:bottom w:w="0" w:type="dxa"/>
            </w:tcMar>
            <w:tcW w:w="2957"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gridSpan w:val="4"/>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5974" w:type="dxa"/>
            <w:textDirection w:val="lrTb"/>
            <w:noWrap w:val="false"/>
          </w:tcPr>
          <w:p>
            <w:pPr>
              <w:widowControl/>
              <w:rPr>
                <w:sz w:val="20"/>
                <w:szCs w:val="20"/>
                <w:lang w:eastAsia="ru-RU"/>
              </w:rPr>
            </w:pPr>
            <w:r>
              <w:rPr>
                <w:sz w:val="20"/>
                <w:szCs w:val="20"/>
                <w:lang w:eastAsia="ru-RU"/>
              </w:rPr>
              <w:t xml:space="preserve">Население &lt;**&gt;</w:t>
            </w:r>
            <w:r>
              <w:rPr>
                <w:sz w:val="20"/>
                <w:szCs w:val="20"/>
                <w:lang w:eastAsia="ru-RU"/>
              </w:rPr>
            </w:r>
            <w:r>
              <w:rPr>
                <w:sz w:val="20"/>
                <w:szCs w:val="20"/>
                <w:lang w:eastAsia="ru-RU"/>
              </w:rPr>
            </w:r>
          </w:p>
        </w:tc>
      </w:tr>
      <w:tr>
        <w:tblPrEx/>
        <w:trPr>
          <w:trHeight w:val="230"/>
        </w:trPr>
        <w:tc>
          <w:tcPr>
            <w:shd w:val="clear" w:color="auto" w:fill="auto"/>
            <w:tcBorders>
              <w:top w:val="none" w:color="000000" w:sz="4" w:space="0"/>
              <w:left w:val="single" w:color="000000" w:sz="6" w:space="0"/>
              <w:bottom w:val="none" w:color="000000" w:sz="4" w:space="0"/>
              <w:right w:val="single" w:color="000000" w:sz="6" w:space="0"/>
            </w:tcBorders>
            <w:tcMar>
              <w:left w:w="149" w:type="dxa"/>
              <w:top w:w="0" w:type="dxa"/>
              <w:right w:w="149" w:type="dxa"/>
              <w:bottom w:w="0" w:type="dxa"/>
            </w:tcMar>
            <w:tcW w:w="625" w:type="dxa"/>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right w:val="single" w:color="000000" w:sz="6" w:space="0"/>
            </w:tcBorders>
            <w:tcMar>
              <w:left w:w="149" w:type="dxa"/>
              <w:top w:w="0" w:type="dxa"/>
              <w:right w:w="149" w:type="dxa"/>
              <w:bottom w:w="0" w:type="dxa"/>
            </w:tcMar>
            <w:tcW w:w="2957"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top w:val="single" w:color="000000" w:sz="6" w:space="0"/>
              <w:left w:val="single" w:color="000000" w:sz="6" w:space="0"/>
              <w:right w:val="single" w:color="000000" w:sz="6" w:space="0"/>
            </w:tcBorders>
            <w:tcMar>
              <w:left w:w="149" w:type="dxa"/>
              <w:top w:w="0" w:type="dxa"/>
              <w:right w:w="149" w:type="dxa"/>
              <w:bottom w:w="0" w:type="dxa"/>
            </w:tcMar>
            <w:tcW w:w="2093" w:type="dxa"/>
            <w:vMerge w:val="restart"/>
            <w:textDirection w:val="lrTb"/>
            <w:noWrap w:val="false"/>
          </w:tcPr>
          <w:p>
            <w:pPr>
              <w:widowControl/>
              <w:rPr>
                <w:sz w:val="20"/>
                <w:szCs w:val="20"/>
                <w:lang w:eastAsia="ru-RU"/>
              </w:rPr>
            </w:pPr>
            <w:r>
              <w:rPr>
                <w:sz w:val="20"/>
                <w:szCs w:val="20"/>
                <w:lang w:eastAsia="ru-RU"/>
              </w:rPr>
              <w:t xml:space="preserve">одноставочный, руб./Гкал &lt;*&gt;</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109" w:type="dxa"/>
            <w:textDirection w:val="lrTb"/>
            <w:noWrap w:val="false"/>
          </w:tcPr>
          <w:p>
            <w:pPr>
              <w:jc w:val="center"/>
              <w:widowControl/>
              <w:rPr>
                <w:sz w:val="20"/>
                <w:szCs w:val="20"/>
                <w:lang w:eastAsia="ru-RU"/>
              </w:rPr>
            </w:pPr>
            <w:r>
              <w:rPr>
                <w:sz w:val="20"/>
                <w:szCs w:val="20"/>
                <w:lang w:eastAsia="ru-RU"/>
              </w:rPr>
              <w:t xml:space="preserve">2023</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78" w:type="dxa"/>
            <w:textDirection w:val="lrTb"/>
            <w:noWrap w:val="false"/>
          </w:tcPr>
          <w:p>
            <w:pPr>
              <w:jc w:val="center"/>
              <w:widowControl/>
              <w:rPr>
                <w:sz w:val="20"/>
                <w:szCs w:val="20"/>
                <w:lang w:eastAsia="ru-RU"/>
              </w:rPr>
            </w:pPr>
            <w:r>
              <w:rPr>
                <w:sz w:val="20"/>
                <w:szCs w:val="20"/>
                <w:lang w:eastAsia="ru-RU"/>
              </w:rPr>
              <w:t xml:space="preserve">3772,38</w:t>
            </w:r>
            <w:r>
              <w:rPr>
                <w:sz w:val="20"/>
                <w:szCs w:val="20"/>
                <w:lang w:eastAsia="ru-RU"/>
              </w:rPr>
              <w:t xml:space="preserve">&lt;***&gt;</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jc w:val="center"/>
              <w:widowControl/>
              <w:rPr>
                <w:sz w:val="20"/>
                <w:szCs w:val="20"/>
                <w:lang w:eastAsia="ru-RU"/>
              </w:rPr>
            </w:pPr>
            <w:r>
              <w:rPr>
                <w:sz w:val="20"/>
                <w:szCs w:val="20"/>
                <w:lang w:eastAsia="ru-RU"/>
              </w:rPr>
              <w:t xml:space="preserve">3772,38</w:t>
            </w:r>
            <w:r>
              <w:rPr>
                <w:sz w:val="20"/>
                <w:szCs w:val="20"/>
                <w:lang w:eastAsia="ru-RU"/>
              </w:rPr>
            </w:r>
            <w:r>
              <w:rPr>
                <w:sz w:val="20"/>
                <w:szCs w:val="20"/>
                <w:lang w:eastAsia="ru-RU"/>
              </w:rPr>
            </w:r>
          </w:p>
        </w:tc>
      </w:tr>
      <w:tr>
        <w:tblPrEx/>
        <w:trPr/>
        <w:tc>
          <w:tcPr>
            <w:shd w:val="clear" w:color="auto" w:fill="auto"/>
            <w:tcBorders>
              <w:top w:val="none" w:color="000000" w:sz="4" w:space="0"/>
              <w:left w:val="single" w:color="000000" w:sz="6" w:space="0"/>
              <w:bottom w:val="none" w:color="000000" w:sz="4" w:space="0"/>
              <w:right w:val="single" w:color="000000" w:sz="6" w:space="0"/>
            </w:tcBorders>
            <w:tcMar>
              <w:left w:w="149" w:type="dxa"/>
              <w:top w:w="0" w:type="dxa"/>
              <w:right w:w="149" w:type="dxa"/>
              <w:bottom w:w="0" w:type="dxa"/>
            </w:tcMar>
            <w:tcW w:w="625" w:type="dxa"/>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right w:val="single" w:color="000000" w:sz="6" w:space="0"/>
            </w:tcBorders>
            <w:tcMar>
              <w:left w:w="149" w:type="dxa"/>
              <w:top w:w="0" w:type="dxa"/>
              <w:right w:w="149" w:type="dxa"/>
              <w:bottom w:w="0" w:type="dxa"/>
            </w:tcMar>
            <w:tcW w:w="2957"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right w:val="single" w:color="000000" w:sz="6" w:space="0"/>
            </w:tcBorders>
            <w:tcMar>
              <w:left w:w="149" w:type="dxa"/>
              <w:top w:w="0" w:type="dxa"/>
              <w:right w:w="149" w:type="dxa"/>
              <w:bottom w:w="0" w:type="dxa"/>
            </w:tcMar>
            <w:tcW w:w="2093"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109" w:type="dxa"/>
            <w:textDirection w:val="lrTb"/>
            <w:noWrap w:val="false"/>
          </w:tcPr>
          <w:p>
            <w:pPr>
              <w:jc w:val="center"/>
              <w:widowControl/>
              <w:rPr>
                <w:sz w:val="20"/>
                <w:szCs w:val="20"/>
                <w:lang w:eastAsia="ru-RU"/>
              </w:rPr>
            </w:pPr>
            <w:r>
              <w:rPr>
                <w:sz w:val="20"/>
                <w:szCs w:val="20"/>
                <w:lang w:eastAsia="ru-RU"/>
              </w:rPr>
              <w:t xml:space="preserve">2024</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78" w:type="dxa"/>
            <w:textDirection w:val="lrTb"/>
            <w:noWrap w:val="false"/>
          </w:tcPr>
          <w:p>
            <w:pPr>
              <w:jc w:val="center"/>
              <w:widowControl/>
              <w:rPr>
                <w:sz w:val="20"/>
                <w:szCs w:val="20"/>
                <w:lang w:eastAsia="ru-RU"/>
              </w:rPr>
            </w:pPr>
            <w:r>
              <w:rPr>
                <w:sz w:val="20"/>
                <w:szCs w:val="20"/>
                <w:lang w:eastAsia="ru-RU"/>
              </w:rPr>
              <w:t xml:space="preserve">3772,38</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jc w:val="center"/>
              <w:widowControl/>
              <w:rPr>
                <w:sz w:val="20"/>
                <w:szCs w:val="20"/>
                <w:lang w:eastAsia="ru-RU"/>
              </w:rPr>
            </w:pPr>
            <w:r>
              <w:rPr>
                <w:sz w:val="20"/>
                <w:szCs w:val="20"/>
                <w:lang w:eastAsia="ru-RU"/>
              </w:rPr>
              <w:t xml:space="preserve">5543,45</w:t>
            </w:r>
            <w:r>
              <w:rPr>
                <w:sz w:val="20"/>
                <w:szCs w:val="20"/>
                <w:lang w:eastAsia="ru-RU"/>
              </w:rPr>
            </w:r>
            <w:r>
              <w:rPr>
                <w:sz w:val="20"/>
                <w:szCs w:val="20"/>
                <w:lang w:eastAsia="ru-RU"/>
              </w:rPr>
            </w:r>
          </w:p>
        </w:tc>
      </w:tr>
      <w:tr>
        <w:tblPrEx/>
        <w:trPr/>
        <w:tc>
          <w:tcPr>
            <w:shd w:val="clear" w:color="auto" w:fill="auto"/>
            <w:tcBorders>
              <w:top w:val="none" w:color="000000" w:sz="4" w:space="0"/>
              <w:left w:val="single" w:color="000000" w:sz="6" w:space="0"/>
              <w:bottom w:val="none" w:color="000000" w:sz="4" w:space="0"/>
              <w:right w:val="single" w:color="000000" w:sz="6" w:space="0"/>
            </w:tcBorders>
            <w:tcMar>
              <w:left w:w="149" w:type="dxa"/>
              <w:top w:w="0" w:type="dxa"/>
              <w:right w:w="149" w:type="dxa"/>
              <w:bottom w:w="0" w:type="dxa"/>
            </w:tcMar>
            <w:tcW w:w="625" w:type="dxa"/>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right w:val="single" w:color="000000" w:sz="6" w:space="0"/>
            </w:tcBorders>
            <w:tcMar>
              <w:left w:w="149" w:type="dxa"/>
              <w:top w:w="0" w:type="dxa"/>
              <w:right w:w="149" w:type="dxa"/>
              <w:bottom w:w="0" w:type="dxa"/>
            </w:tcMar>
            <w:tcW w:w="2957"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right w:val="single" w:color="000000" w:sz="6" w:space="0"/>
            </w:tcBorders>
            <w:tcMar>
              <w:left w:w="149" w:type="dxa"/>
              <w:top w:w="0" w:type="dxa"/>
              <w:right w:w="149" w:type="dxa"/>
              <w:bottom w:w="0" w:type="dxa"/>
            </w:tcMar>
            <w:tcW w:w="2093"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109" w:type="dxa"/>
            <w:textDirection w:val="lrTb"/>
            <w:noWrap w:val="false"/>
          </w:tcPr>
          <w:p>
            <w:pPr>
              <w:jc w:val="center"/>
              <w:widowControl/>
              <w:rPr>
                <w:sz w:val="20"/>
                <w:szCs w:val="20"/>
                <w:lang w:eastAsia="ru-RU"/>
              </w:rPr>
            </w:pPr>
            <w:r>
              <w:rPr>
                <w:sz w:val="20"/>
                <w:szCs w:val="20"/>
                <w:lang w:eastAsia="ru-RU"/>
              </w:rPr>
              <w:t xml:space="preserve">2025</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78" w:type="dxa"/>
            <w:textDirection w:val="lrTb"/>
            <w:noWrap w:val="false"/>
          </w:tcPr>
          <w:p>
            <w:pPr>
              <w:jc w:val="center"/>
              <w:widowControl/>
              <w:rPr>
                <w:sz w:val="20"/>
                <w:szCs w:val="20"/>
                <w:lang w:eastAsia="ru-RU"/>
              </w:rPr>
            </w:pPr>
            <w:r>
              <w:rPr>
                <w:sz w:val="20"/>
                <w:szCs w:val="20"/>
                <w:lang w:eastAsia="ru-RU"/>
              </w:rPr>
              <w:t xml:space="preserve">4636,15</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jc w:val="center"/>
              <w:widowControl/>
              <w:rPr>
                <w:sz w:val="20"/>
                <w:szCs w:val="20"/>
                <w:lang w:eastAsia="ru-RU"/>
              </w:rPr>
            </w:pPr>
            <w:r>
              <w:rPr>
                <w:sz w:val="20"/>
                <w:szCs w:val="20"/>
                <w:lang w:eastAsia="ru-RU"/>
              </w:rPr>
              <w:t xml:space="preserve">4636,15</w:t>
            </w:r>
            <w:r>
              <w:rPr>
                <w:sz w:val="20"/>
                <w:szCs w:val="20"/>
                <w:lang w:eastAsia="ru-RU"/>
              </w:rPr>
            </w:r>
            <w:r>
              <w:rPr>
                <w:sz w:val="20"/>
                <w:szCs w:val="20"/>
                <w:lang w:eastAsia="ru-RU"/>
              </w:rPr>
            </w:r>
          </w:p>
        </w:tc>
      </w:tr>
      <w:tr>
        <w:tblPrEx/>
        <w:trPr/>
        <w:tc>
          <w:tcPr>
            <w:shd w:val="clear" w:color="auto" w:fill="auto"/>
            <w:tcBorders>
              <w:top w:val="none" w:color="000000" w:sz="4" w:space="0"/>
              <w:left w:val="single" w:color="000000" w:sz="6" w:space="0"/>
              <w:bottom w:val="none" w:color="000000" w:sz="4" w:space="0"/>
              <w:right w:val="single" w:color="000000" w:sz="6" w:space="0"/>
            </w:tcBorders>
            <w:tcMar>
              <w:left w:w="149" w:type="dxa"/>
              <w:top w:w="0" w:type="dxa"/>
              <w:right w:w="149" w:type="dxa"/>
              <w:bottom w:w="0" w:type="dxa"/>
            </w:tcMar>
            <w:tcW w:w="625" w:type="dxa"/>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right w:val="single" w:color="000000" w:sz="6" w:space="0"/>
            </w:tcBorders>
            <w:tcMar>
              <w:left w:w="149" w:type="dxa"/>
              <w:top w:w="0" w:type="dxa"/>
              <w:right w:w="149" w:type="dxa"/>
              <w:bottom w:w="0" w:type="dxa"/>
            </w:tcMar>
            <w:tcW w:w="2957"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right w:val="single" w:color="000000" w:sz="6" w:space="0"/>
            </w:tcBorders>
            <w:tcMar>
              <w:left w:w="149" w:type="dxa"/>
              <w:top w:w="0" w:type="dxa"/>
              <w:right w:w="149" w:type="dxa"/>
              <w:bottom w:w="0" w:type="dxa"/>
            </w:tcMar>
            <w:tcW w:w="2093"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109" w:type="dxa"/>
            <w:textDirection w:val="lrTb"/>
            <w:noWrap w:val="false"/>
          </w:tcPr>
          <w:p>
            <w:pPr>
              <w:jc w:val="center"/>
              <w:widowControl/>
              <w:rPr>
                <w:sz w:val="20"/>
                <w:szCs w:val="20"/>
                <w:lang w:eastAsia="ru-RU"/>
              </w:rPr>
            </w:pPr>
            <w:r>
              <w:rPr>
                <w:sz w:val="20"/>
                <w:szCs w:val="20"/>
                <w:lang w:eastAsia="ru-RU"/>
              </w:rPr>
              <w:t xml:space="preserve">2026</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78" w:type="dxa"/>
            <w:textDirection w:val="lrTb"/>
            <w:noWrap w:val="false"/>
          </w:tcPr>
          <w:p>
            <w:pPr>
              <w:jc w:val="center"/>
              <w:widowControl/>
              <w:rPr>
                <w:sz w:val="20"/>
                <w:szCs w:val="20"/>
                <w:lang w:eastAsia="ru-RU"/>
              </w:rPr>
            </w:pPr>
            <w:r>
              <w:rPr>
                <w:sz w:val="20"/>
                <w:szCs w:val="20"/>
                <w:lang w:eastAsia="ru-RU"/>
              </w:rPr>
              <w:t xml:space="preserve">4636,15</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jc w:val="center"/>
              <w:widowControl/>
              <w:rPr>
                <w:sz w:val="20"/>
                <w:szCs w:val="20"/>
                <w:lang w:eastAsia="ru-RU"/>
              </w:rPr>
            </w:pPr>
            <w:r>
              <w:rPr>
                <w:sz w:val="20"/>
                <w:szCs w:val="20"/>
                <w:lang w:eastAsia="ru-RU"/>
              </w:rPr>
              <w:t xml:space="preserve">4657,87</w:t>
            </w:r>
            <w:r>
              <w:rPr>
                <w:sz w:val="20"/>
                <w:szCs w:val="20"/>
                <w:lang w:eastAsia="ru-RU"/>
              </w:rPr>
            </w:r>
            <w:r>
              <w:rPr>
                <w:sz w:val="20"/>
                <w:szCs w:val="20"/>
                <w:lang w:eastAsia="ru-RU"/>
              </w:rPr>
            </w:r>
          </w:p>
        </w:tc>
      </w:tr>
      <w:tr>
        <w:tblPrEx/>
        <w:trPr/>
        <w:tc>
          <w:tcPr>
            <w:shd w:val="clear" w:color="auto" w:fill="auto"/>
            <w:tcBorders>
              <w:top w:val="none" w:color="000000" w:sz="4" w:space="0"/>
              <w:left w:val="single" w:color="000000" w:sz="6" w:space="0"/>
              <w:bottom w:val="single" w:color="000000" w:sz="6" w:space="0"/>
              <w:right w:val="single" w:color="000000" w:sz="6" w:space="0"/>
            </w:tcBorders>
            <w:tcMar>
              <w:left w:w="149" w:type="dxa"/>
              <w:top w:w="0" w:type="dxa"/>
              <w:right w:w="149" w:type="dxa"/>
              <w:bottom w:w="0" w:type="dxa"/>
            </w:tcMar>
            <w:tcW w:w="625" w:type="dxa"/>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bottom w:val="single" w:color="000000" w:sz="6" w:space="0"/>
              <w:right w:val="single" w:color="000000" w:sz="6" w:space="0"/>
            </w:tcBorders>
            <w:tcMar>
              <w:left w:w="149" w:type="dxa"/>
              <w:top w:w="0" w:type="dxa"/>
              <w:right w:w="149" w:type="dxa"/>
              <w:bottom w:w="0" w:type="dxa"/>
            </w:tcMar>
            <w:tcW w:w="2957"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bottom w:val="single" w:color="000000" w:sz="6" w:space="0"/>
              <w:right w:val="single" w:color="000000" w:sz="6" w:space="0"/>
            </w:tcBorders>
            <w:tcMar>
              <w:left w:w="149" w:type="dxa"/>
              <w:top w:w="0" w:type="dxa"/>
              <w:right w:w="149" w:type="dxa"/>
              <w:bottom w:w="0" w:type="dxa"/>
            </w:tcMar>
            <w:tcW w:w="2093"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109" w:type="dxa"/>
            <w:textDirection w:val="lrTb"/>
            <w:noWrap w:val="false"/>
          </w:tcPr>
          <w:p>
            <w:pPr>
              <w:jc w:val="center"/>
              <w:widowControl/>
              <w:rPr>
                <w:sz w:val="20"/>
                <w:szCs w:val="20"/>
                <w:lang w:eastAsia="ru-RU"/>
              </w:rPr>
            </w:pPr>
            <w:r>
              <w:rPr>
                <w:sz w:val="20"/>
                <w:szCs w:val="20"/>
                <w:lang w:eastAsia="ru-RU"/>
              </w:rPr>
              <w:t xml:space="preserve">2027</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78" w:type="dxa"/>
            <w:textDirection w:val="lrTb"/>
            <w:noWrap w:val="false"/>
          </w:tcPr>
          <w:p>
            <w:pPr>
              <w:jc w:val="center"/>
              <w:widowControl/>
              <w:rPr>
                <w:sz w:val="20"/>
                <w:szCs w:val="20"/>
                <w:lang w:eastAsia="ru-RU"/>
              </w:rPr>
            </w:pPr>
            <w:r>
              <w:rPr>
                <w:sz w:val="20"/>
                <w:szCs w:val="20"/>
                <w:lang w:eastAsia="ru-RU"/>
              </w:rPr>
              <w:t xml:space="preserve">4631,48</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jc w:val="center"/>
              <w:widowControl/>
              <w:rPr>
                <w:sz w:val="20"/>
                <w:szCs w:val="20"/>
                <w:lang w:eastAsia="ru-RU"/>
              </w:rPr>
            </w:pPr>
            <w:r>
              <w:rPr>
                <w:sz w:val="20"/>
                <w:szCs w:val="20"/>
                <w:lang w:eastAsia="ru-RU"/>
              </w:rPr>
              <w:t xml:space="preserve">4631,48</w:t>
            </w:r>
            <w:r>
              <w:rPr>
                <w:sz w:val="20"/>
                <w:szCs w:val="20"/>
                <w:lang w:eastAsia="ru-RU"/>
              </w:rPr>
            </w:r>
            <w:r>
              <w:rPr>
                <w:sz w:val="20"/>
                <w:szCs w:val="20"/>
                <w:lang w:eastAsia="ru-RU"/>
              </w:rPr>
            </w:r>
          </w:p>
        </w:tc>
      </w:tr>
    </w:tbl>
    <w:p>
      <w:pPr>
        <w:ind w:left="142"/>
        <w:rPr>
          <w:sz w:val="20"/>
          <w:szCs w:val="20"/>
        </w:rPr>
      </w:pPr>
      <w:r>
        <w:rPr>
          <w:sz w:val="20"/>
          <w:szCs w:val="20"/>
        </w:rPr>
        <w:t xml:space="preserve">Примечания:</w:t>
      </w:r>
      <w:r>
        <w:rPr>
          <w:sz w:val="20"/>
          <w:szCs w:val="20"/>
        </w:rPr>
      </w:r>
      <w:r>
        <w:rPr>
          <w:sz w:val="20"/>
          <w:szCs w:val="20"/>
        </w:rPr>
      </w:r>
    </w:p>
    <w:p>
      <w:pPr>
        <w:ind w:left="142" w:right="129"/>
        <w:rPr>
          <w:sz w:val="20"/>
          <w:szCs w:val="20"/>
        </w:rPr>
      </w:pPr>
      <w:r>
        <w:rPr>
          <w:sz w:val="20"/>
          <w:szCs w:val="20"/>
        </w:rPr>
        <w:t xml:space="preserve">* Предприятие применяет упрощенную систему налогообложения и не является плательщиком НДС в соответствии со ст. 346.11 главы 26.2 </w:t>
      </w:r>
      <w:hyperlink r:id="rId21" w:tooltip="https://docs.cntd.ru/document/901714421" w:history="1">
        <w:r>
          <w:rPr>
            <w:rStyle w:val="1267"/>
            <w:color w:val="auto"/>
            <w:sz w:val="20"/>
            <w:szCs w:val="20"/>
            <w:u w:val="none"/>
          </w:rPr>
          <w:t xml:space="preserve">Налогового кодекса Российской Федерации</w:t>
        </w:r>
      </w:hyperlink>
      <w:r>
        <w:rPr>
          <w:sz w:val="20"/>
          <w:szCs w:val="20"/>
        </w:rPr>
        <w:t xml:space="preserve">.</w:t>
      </w:r>
      <w:r>
        <w:rPr>
          <w:sz w:val="20"/>
          <w:szCs w:val="20"/>
        </w:rPr>
        <w:br/>
        <w:t xml:space="preserve">** Тариф действует с 1 декабря 2022 года.</w:t>
      </w:r>
      <w:r>
        <w:rPr>
          <w:sz w:val="20"/>
          <w:szCs w:val="20"/>
        </w:rPr>
        <w:br/>
        <w:t xml:space="preserve">*** Выделяется в целях реализации пункта 6 статьи 168 </w:t>
      </w:r>
      <w:hyperlink r:id="rId22" w:tooltip="https://docs.cntd.ru/document/901714421" w:history="1">
        <w:r>
          <w:rPr>
            <w:rStyle w:val="1267"/>
            <w:color w:val="auto"/>
            <w:sz w:val="20"/>
            <w:szCs w:val="20"/>
            <w:u w:val="none"/>
          </w:rPr>
          <w:t xml:space="preserve">Налогового кодекса Российской Федерации</w:t>
        </w:r>
      </w:hyperlink>
      <w:r>
        <w:rPr>
          <w:sz w:val="20"/>
          <w:szCs w:val="20"/>
        </w:rPr>
        <w:t xml:space="preserve"> (часть вторая).</w:t>
      </w:r>
      <w:r>
        <w:rPr>
          <w:sz w:val="20"/>
          <w:szCs w:val="20"/>
        </w:rPr>
      </w:r>
      <w:r>
        <w:rPr>
          <w:sz w:val="20"/>
          <w:szCs w:val="20"/>
        </w:rPr>
      </w:r>
    </w:p>
    <w:p>
      <w:pPr>
        <w:rPr>
          <w:sz w:val="24"/>
          <w:szCs w:val="24"/>
        </w:rPr>
      </w:pPr>
      <w:r>
        <w:br w:type="page" w:clear="all"/>
      </w:r>
      <w:r>
        <w:rPr>
          <w:sz w:val="24"/>
          <w:szCs w:val="24"/>
        </w:rPr>
      </w:r>
      <w:r>
        <w:rPr>
          <w:sz w:val="24"/>
          <w:szCs w:val="24"/>
        </w:rPr>
      </w:r>
    </w:p>
    <w:p>
      <w:pPr>
        <w:pStyle w:val="1247"/>
        <w:ind w:left="119" w:right="147" w:firstLine="709"/>
        <w:jc w:val="right"/>
      </w:pPr>
      <w:r>
        <w:t xml:space="preserve">Таблица 1.11.1.2</w:t>
      </w:r>
      <w:r/>
    </w:p>
    <w:p>
      <w:pPr>
        <w:pStyle w:val="1247"/>
        <w:ind w:left="119" w:right="147" w:firstLine="23"/>
        <w:jc w:val="center"/>
        <w:rPr>
          <w:rFonts w:ascii="Liberation Serif" w:hAnsi="Liberation Serif" w:cs="Liberation Serif"/>
        </w:rPr>
      </w:pPr>
      <w:r>
        <w:t xml:space="preserve">Динамика утверждённых тарифов на тепловую энергию </w:t>
      </w:r>
      <w:r>
        <w:rPr>
          <w:rFonts w:ascii="Liberation Serif" w:hAnsi="Liberation Serif" w:cs="Liberation Serif"/>
        </w:rPr>
        <w:t xml:space="preserve">Южно-Уральская дирекции по тепловодоснабжению – СП ЦДТВ - филиала ОАО «РЖД»</w:t>
      </w:r>
      <w:r>
        <w:rPr>
          <w:rFonts w:ascii="Liberation Serif" w:hAnsi="Liberation Serif" w:cs="Liberation Serif"/>
        </w:rPr>
      </w:r>
      <w:r>
        <w:rPr>
          <w:rFonts w:ascii="Liberation Serif" w:hAnsi="Liberation Serif" w:cs="Liberation Serif"/>
        </w:rPr>
      </w:r>
    </w:p>
    <w:p>
      <w:pPr>
        <w:pStyle w:val="1247"/>
        <w:ind w:left="119" w:right="147" w:firstLine="23"/>
        <w:jc w:val="center"/>
      </w:pPr>
      <w:r>
        <w:t xml:space="preserve">(Постановление Департамента государственного регулирования цен и тарифов Курганской области от 14.11.2023г. №49-17)</w:t>
      </w:r>
      <w:r/>
    </w:p>
    <w:tbl>
      <w:tblPr>
        <w:tblW w:w="0" w:type="auto"/>
        <w:tblInd w:w="134" w:type="dxa"/>
        <w:shd w:val="clear" w:color="auto" w:fill="ffffff"/>
        <w:tblCellMar>
          <w:left w:w="0" w:type="dxa"/>
          <w:right w:w="0" w:type="dxa"/>
        </w:tblCellMar>
        <w:tblLook w:val="04A0" w:firstRow="1" w:lastRow="0" w:firstColumn="1" w:lastColumn="0" w:noHBand="0" w:noVBand="1"/>
      </w:tblPr>
      <w:tblGrid>
        <w:gridCol w:w="625"/>
        <w:gridCol w:w="2957"/>
        <w:gridCol w:w="2093"/>
        <w:gridCol w:w="1109"/>
        <w:gridCol w:w="1478"/>
        <w:gridCol w:w="1294"/>
      </w:tblGrid>
      <w:tr>
        <w:tblPrEx/>
        <w:trPr/>
        <w:tc>
          <w:tcPr>
            <w:shd w:val="clear" w:color="auto" w:fill="auto"/>
            <w:tcBorders>
              <w:top w:val="single" w:color="000000" w:sz="6" w:space="0"/>
              <w:left w:val="single" w:color="000000" w:sz="6" w:space="0"/>
              <w:right w:val="single" w:color="000000" w:sz="6" w:space="0"/>
            </w:tcBorders>
            <w:tcMar>
              <w:left w:w="149" w:type="dxa"/>
              <w:top w:w="0" w:type="dxa"/>
              <w:right w:w="149" w:type="dxa"/>
              <w:bottom w:w="0" w:type="dxa"/>
            </w:tcMar>
            <w:tcW w:w="625" w:type="dxa"/>
            <w:vMerge w:val="restart"/>
            <w:textDirection w:val="lrTb"/>
            <w:noWrap w:val="false"/>
          </w:tcPr>
          <w:p>
            <w:pPr>
              <w:jc w:val="center"/>
              <w:widowControl/>
              <w:rPr>
                <w:sz w:val="20"/>
                <w:szCs w:val="20"/>
                <w:lang w:eastAsia="ru-RU"/>
              </w:rPr>
            </w:pPr>
            <w:r>
              <w:rPr>
                <w:sz w:val="20"/>
                <w:szCs w:val="20"/>
                <w:lang w:eastAsia="ru-RU"/>
              </w:rPr>
              <w:t xml:space="preserve">N п/п</w:t>
            </w:r>
            <w:r>
              <w:rPr>
                <w:sz w:val="20"/>
                <w:szCs w:val="20"/>
                <w:lang w:eastAsia="ru-RU"/>
              </w:rPr>
            </w:r>
            <w:r>
              <w:rPr>
                <w:sz w:val="20"/>
                <w:szCs w:val="20"/>
                <w:lang w:eastAsia="ru-RU"/>
              </w:rPr>
            </w:r>
          </w:p>
        </w:tc>
        <w:tc>
          <w:tcPr>
            <w:shd w:val="clear" w:color="auto" w:fill="auto"/>
            <w:tcBorders>
              <w:top w:val="single" w:color="000000" w:sz="6" w:space="0"/>
              <w:left w:val="single" w:color="000000" w:sz="6" w:space="0"/>
              <w:right w:val="single" w:color="000000" w:sz="6" w:space="0"/>
            </w:tcBorders>
            <w:tcMar>
              <w:left w:w="149" w:type="dxa"/>
              <w:top w:w="0" w:type="dxa"/>
              <w:right w:w="149" w:type="dxa"/>
              <w:bottom w:w="0" w:type="dxa"/>
            </w:tcMar>
            <w:tcW w:w="2957" w:type="dxa"/>
            <w:vMerge w:val="restart"/>
            <w:textDirection w:val="lrTb"/>
            <w:noWrap w:val="false"/>
          </w:tcPr>
          <w:p>
            <w:pPr>
              <w:jc w:val="center"/>
              <w:widowControl/>
              <w:rPr>
                <w:sz w:val="20"/>
                <w:szCs w:val="20"/>
                <w:lang w:eastAsia="ru-RU"/>
              </w:rPr>
            </w:pPr>
            <w:r>
              <w:rPr>
                <w:sz w:val="20"/>
                <w:szCs w:val="20"/>
                <w:lang w:eastAsia="ru-RU"/>
              </w:rPr>
              <w:t xml:space="preserve">Наименование регулируемой организации</w:t>
            </w:r>
            <w:r>
              <w:rPr>
                <w:sz w:val="20"/>
                <w:szCs w:val="20"/>
                <w:lang w:eastAsia="ru-RU"/>
              </w:rPr>
            </w:r>
            <w:r>
              <w:rPr>
                <w:sz w:val="20"/>
                <w:szCs w:val="20"/>
                <w:lang w:eastAsia="ru-RU"/>
              </w:rPr>
            </w:r>
          </w:p>
        </w:tc>
        <w:tc>
          <w:tcPr>
            <w:shd w:val="clear" w:color="auto" w:fill="auto"/>
            <w:tcBorders>
              <w:top w:val="single" w:color="000000" w:sz="6" w:space="0"/>
              <w:left w:val="single" w:color="000000" w:sz="6" w:space="0"/>
              <w:right w:val="single" w:color="000000" w:sz="6" w:space="0"/>
            </w:tcBorders>
            <w:tcMar>
              <w:left w:w="149" w:type="dxa"/>
              <w:top w:w="0" w:type="dxa"/>
              <w:right w:w="149" w:type="dxa"/>
              <w:bottom w:w="0" w:type="dxa"/>
            </w:tcMar>
            <w:tcW w:w="2093" w:type="dxa"/>
            <w:vMerge w:val="restart"/>
            <w:textDirection w:val="lrTb"/>
            <w:noWrap w:val="false"/>
          </w:tcPr>
          <w:p>
            <w:pPr>
              <w:jc w:val="center"/>
              <w:widowControl/>
              <w:rPr>
                <w:sz w:val="20"/>
                <w:szCs w:val="20"/>
                <w:lang w:eastAsia="ru-RU"/>
              </w:rPr>
            </w:pPr>
            <w:r>
              <w:rPr>
                <w:sz w:val="20"/>
                <w:szCs w:val="20"/>
                <w:lang w:eastAsia="ru-RU"/>
              </w:rPr>
              <w:t xml:space="preserve">Вид тарифа</w:t>
            </w:r>
            <w:r>
              <w:rPr>
                <w:sz w:val="20"/>
                <w:szCs w:val="20"/>
                <w:lang w:eastAsia="ru-RU"/>
              </w:rPr>
            </w:r>
            <w:r>
              <w:rPr>
                <w:sz w:val="20"/>
                <w:szCs w:val="20"/>
                <w:lang w:eastAsia="ru-RU"/>
              </w:rPr>
            </w:r>
          </w:p>
        </w:tc>
        <w:tc>
          <w:tcPr>
            <w:shd w:val="clear" w:color="auto" w:fill="auto"/>
            <w:tcBorders>
              <w:top w:val="single" w:color="000000" w:sz="6" w:space="0"/>
              <w:left w:val="single" w:color="000000" w:sz="6" w:space="0"/>
              <w:right w:val="single" w:color="000000" w:sz="6" w:space="0"/>
            </w:tcBorders>
            <w:tcMar>
              <w:left w:w="149" w:type="dxa"/>
              <w:top w:w="0" w:type="dxa"/>
              <w:right w:w="149" w:type="dxa"/>
              <w:bottom w:w="0" w:type="dxa"/>
            </w:tcMar>
            <w:tcW w:w="1109" w:type="dxa"/>
            <w:vMerge w:val="restart"/>
            <w:textDirection w:val="lrTb"/>
            <w:noWrap w:val="false"/>
          </w:tcPr>
          <w:p>
            <w:pPr>
              <w:jc w:val="center"/>
              <w:widowControl/>
              <w:rPr>
                <w:sz w:val="20"/>
                <w:szCs w:val="20"/>
                <w:lang w:eastAsia="ru-RU"/>
              </w:rPr>
            </w:pPr>
            <w:r>
              <w:rPr>
                <w:sz w:val="20"/>
                <w:szCs w:val="20"/>
                <w:lang w:eastAsia="ru-RU"/>
              </w:rPr>
              <w:t xml:space="preserve">Год</w:t>
            </w:r>
            <w:r>
              <w:rPr>
                <w:sz w:val="20"/>
                <w:szCs w:val="20"/>
                <w:lang w:eastAsia="ru-RU"/>
              </w:rPr>
            </w:r>
            <w:r>
              <w:rPr>
                <w:sz w:val="20"/>
                <w:szCs w:val="20"/>
                <w:lang w:eastAsia="ru-RU"/>
              </w:rPr>
            </w:r>
          </w:p>
        </w:tc>
        <w:tc>
          <w:tcPr>
            <w:gridSpan w:val="2"/>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2772" w:type="dxa"/>
            <w:textDirection w:val="lrTb"/>
            <w:noWrap w:val="false"/>
          </w:tcPr>
          <w:p>
            <w:pPr>
              <w:jc w:val="center"/>
              <w:widowControl/>
              <w:rPr>
                <w:sz w:val="20"/>
                <w:szCs w:val="20"/>
                <w:lang w:eastAsia="ru-RU"/>
              </w:rPr>
            </w:pPr>
            <w:r>
              <w:rPr>
                <w:sz w:val="20"/>
                <w:szCs w:val="20"/>
                <w:lang w:eastAsia="ru-RU"/>
              </w:rPr>
              <w:t xml:space="preserve">Вода</w:t>
            </w:r>
            <w:r>
              <w:rPr>
                <w:sz w:val="20"/>
                <w:szCs w:val="20"/>
                <w:lang w:eastAsia="ru-RU"/>
              </w:rPr>
            </w:r>
            <w:r>
              <w:rPr>
                <w:sz w:val="20"/>
                <w:szCs w:val="20"/>
                <w:lang w:eastAsia="ru-RU"/>
              </w:rPr>
            </w:r>
          </w:p>
        </w:tc>
      </w:tr>
      <w:tr>
        <w:tblPrEx/>
        <w:trPr/>
        <w:tc>
          <w:tcPr>
            <w:shd w:val="clear" w:color="auto" w:fill="auto"/>
            <w:tcBorders>
              <w:left w:val="single" w:color="000000" w:sz="6" w:space="0"/>
              <w:bottom w:val="none" w:color="000000" w:sz="4" w:space="0"/>
              <w:right w:val="single" w:color="000000" w:sz="6" w:space="0"/>
            </w:tcBorders>
            <w:tcMar>
              <w:left w:w="149" w:type="dxa"/>
              <w:top w:w="0" w:type="dxa"/>
              <w:right w:w="149" w:type="dxa"/>
              <w:bottom w:w="0" w:type="dxa"/>
            </w:tcMar>
            <w:tcW w:w="625"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bottom w:val="none" w:color="000000" w:sz="4" w:space="0"/>
              <w:right w:val="single" w:color="000000" w:sz="6" w:space="0"/>
            </w:tcBorders>
            <w:tcMar>
              <w:left w:w="149" w:type="dxa"/>
              <w:top w:w="0" w:type="dxa"/>
              <w:right w:w="149" w:type="dxa"/>
              <w:bottom w:w="0" w:type="dxa"/>
            </w:tcMar>
            <w:tcW w:w="2957"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bottom w:val="none" w:color="000000" w:sz="4" w:space="0"/>
              <w:right w:val="single" w:color="000000" w:sz="6" w:space="0"/>
            </w:tcBorders>
            <w:tcMar>
              <w:left w:w="149" w:type="dxa"/>
              <w:top w:w="0" w:type="dxa"/>
              <w:right w:w="149" w:type="dxa"/>
              <w:bottom w:w="0" w:type="dxa"/>
            </w:tcMar>
            <w:tcW w:w="2093"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bottom w:val="none" w:color="000000" w:sz="4" w:space="0"/>
              <w:right w:val="single" w:color="000000" w:sz="6" w:space="0"/>
            </w:tcBorders>
            <w:tcMar>
              <w:left w:w="149" w:type="dxa"/>
              <w:top w:w="0" w:type="dxa"/>
              <w:right w:w="149" w:type="dxa"/>
              <w:bottom w:w="0" w:type="dxa"/>
            </w:tcMar>
            <w:tcW w:w="1109"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78" w:type="dxa"/>
            <w:textDirection w:val="lrTb"/>
            <w:noWrap w:val="false"/>
          </w:tcPr>
          <w:p>
            <w:pPr>
              <w:jc w:val="center"/>
              <w:widowControl/>
              <w:rPr>
                <w:sz w:val="20"/>
                <w:szCs w:val="20"/>
                <w:lang w:eastAsia="ru-RU"/>
              </w:rPr>
            </w:pPr>
            <w:r>
              <w:rPr>
                <w:sz w:val="20"/>
                <w:szCs w:val="20"/>
                <w:lang w:eastAsia="ru-RU"/>
              </w:rPr>
              <w:t xml:space="preserve">с 1 января по 30 июня</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jc w:val="center"/>
              <w:widowControl/>
              <w:rPr>
                <w:sz w:val="20"/>
                <w:szCs w:val="20"/>
                <w:lang w:eastAsia="ru-RU"/>
              </w:rPr>
            </w:pPr>
            <w:r>
              <w:rPr>
                <w:sz w:val="20"/>
                <w:szCs w:val="20"/>
                <w:lang w:eastAsia="ru-RU"/>
              </w:rPr>
              <w:t xml:space="preserve">с 1 июля по 31 декабря</w:t>
            </w:r>
            <w:r>
              <w:rPr>
                <w:sz w:val="20"/>
                <w:szCs w:val="20"/>
                <w:lang w:eastAsia="ru-RU"/>
              </w:rPr>
            </w:r>
            <w:r>
              <w:rPr>
                <w:sz w:val="20"/>
                <w:szCs w:val="20"/>
                <w:lang w:eastAsia="ru-RU"/>
              </w:rPr>
            </w:r>
          </w:p>
        </w:tc>
      </w:tr>
      <w:tr>
        <w:tblPrEx/>
        <w:trPr/>
        <w:tc>
          <w:tcPr>
            <w:shd w:val="clear" w:color="auto" w:fill="auto"/>
            <w:tcBorders>
              <w:top w:val="single" w:color="000000" w:sz="6" w:space="0"/>
              <w:left w:val="single" w:color="000000" w:sz="6" w:space="0"/>
              <w:bottom w:val="none" w:color="000000" w:sz="4" w:space="0"/>
              <w:right w:val="single" w:color="000000" w:sz="6" w:space="0"/>
            </w:tcBorders>
            <w:tcMar>
              <w:left w:w="149" w:type="dxa"/>
              <w:top w:w="0" w:type="dxa"/>
              <w:right w:w="149" w:type="dxa"/>
              <w:bottom w:w="0" w:type="dxa"/>
            </w:tcMar>
            <w:tcW w:w="625" w:type="dxa"/>
            <w:textDirection w:val="lrTb"/>
            <w:noWrap w:val="false"/>
          </w:tcPr>
          <w:p>
            <w:pPr>
              <w:widowControl/>
              <w:rPr>
                <w:sz w:val="20"/>
                <w:szCs w:val="20"/>
                <w:lang w:eastAsia="ru-RU"/>
              </w:rPr>
            </w:pPr>
            <w:r>
              <w:rPr>
                <w:sz w:val="20"/>
                <w:szCs w:val="20"/>
                <w:lang w:eastAsia="ru-RU"/>
              </w:rPr>
              <w:t xml:space="preserve">1.</w:t>
            </w:r>
            <w:r>
              <w:rPr>
                <w:sz w:val="20"/>
                <w:szCs w:val="20"/>
                <w:lang w:eastAsia="ru-RU"/>
              </w:rPr>
            </w:r>
            <w:r>
              <w:rPr>
                <w:sz w:val="20"/>
                <w:szCs w:val="20"/>
                <w:lang w:eastAsia="ru-RU"/>
              </w:rPr>
            </w:r>
          </w:p>
        </w:tc>
        <w:tc>
          <w:tcPr>
            <w:shd w:val="clear" w:color="auto" w:fill="auto"/>
            <w:tcBorders>
              <w:top w:val="single" w:color="000000" w:sz="6" w:space="0"/>
              <w:left w:val="single" w:color="000000" w:sz="6" w:space="0"/>
              <w:right w:val="single" w:color="000000" w:sz="6" w:space="0"/>
            </w:tcBorders>
            <w:tcMar>
              <w:left w:w="149" w:type="dxa"/>
              <w:top w:w="0" w:type="dxa"/>
              <w:right w:w="149" w:type="dxa"/>
              <w:bottom w:w="0" w:type="dxa"/>
            </w:tcMar>
            <w:tcW w:w="2957" w:type="dxa"/>
            <w:vMerge w:val="restart"/>
            <w:textDirection w:val="lrTb"/>
            <w:noWrap w:val="false"/>
          </w:tcPr>
          <w:p>
            <w:pPr>
              <w:widowControl/>
              <w:rPr>
                <w:sz w:val="20"/>
                <w:szCs w:val="20"/>
                <w:lang w:eastAsia="ru-RU"/>
              </w:rPr>
            </w:pPr>
            <w:r>
              <w:rPr>
                <w:sz w:val="20"/>
                <w:szCs w:val="20"/>
                <w:lang w:eastAsia="ru-RU"/>
              </w:rPr>
              <w:t xml:space="preserve">Открытое акционерное общество «Российские железные дороги» (филиал Центральная дирекция по тепловодоснабжению, структурное подразделение Южно-Уральская дирекция по тепловодоснабжению (Курганинский территориальный участок) </w:t>
            </w:r>
            <w:r>
              <w:rPr>
                <w:sz w:val="20"/>
                <w:szCs w:val="20"/>
                <w:lang w:eastAsia="ru-RU"/>
              </w:rPr>
            </w:r>
            <w:r>
              <w:rPr>
                <w:sz w:val="20"/>
                <w:szCs w:val="20"/>
                <w:lang w:eastAsia="ru-RU"/>
              </w:rPr>
            </w:r>
          </w:p>
        </w:tc>
        <w:tc>
          <w:tcPr>
            <w:gridSpan w:val="4"/>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5974" w:type="dxa"/>
            <w:textDirection w:val="lrTb"/>
            <w:noWrap w:val="false"/>
          </w:tcPr>
          <w:p>
            <w:pPr>
              <w:widowControl/>
              <w:rPr>
                <w:sz w:val="20"/>
                <w:szCs w:val="20"/>
                <w:lang w:eastAsia="ru-RU"/>
              </w:rPr>
            </w:pPr>
            <w:r>
              <w:rPr>
                <w:sz w:val="20"/>
                <w:szCs w:val="20"/>
                <w:lang w:eastAsia="ru-RU"/>
              </w:rPr>
              <w:t xml:space="preserve">Для потребителей, в случае отсутствия дифференциации тарифов по схеме подключения</w:t>
            </w:r>
            <w:r>
              <w:rPr>
                <w:sz w:val="20"/>
                <w:szCs w:val="20"/>
                <w:lang w:eastAsia="ru-RU"/>
              </w:rPr>
            </w:r>
            <w:r>
              <w:rPr>
                <w:sz w:val="20"/>
                <w:szCs w:val="20"/>
                <w:lang w:eastAsia="ru-RU"/>
              </w:rPr>
            </w:r>
          </w:p>
        </w:tc>
      </w:tr>
      <w:tr>
        <w:tblPrEx/>
        <w:trPr>
          <w:trHeight w:val="230"/>
        </w:trPr>
        <w:tc>
          <w:tcPr>
            <w:shd w:val="clear" w:color="auto" w:fill="auto"/>
            <w:tcBorders>
              <w:top w:val="none" w:color="000000" w:sz="4" w:space="0"/>
              <w:left w:val="single" w:color="000000" w:sz="6" w:space="0"/>
              <w:bottom w:val="none" w:color="000000" w:sz="4" w:space="0"/>
              <w:right w:val="single" w:color="000000" w:sz="6" w:space="0"/>
            </w:tcBorders>
            <w:tcMar>
              <w:left w:w="149" w:type="dxa"/>
              <w:top w:w="0" w:type="dxa"/>
              <w:right w:w="149" w:type="dxa"/>
              <w:bottom w:w="0" w:type="dxa"/>
            </w:tcMar>
            <w:tcW w:w="625" w:type="dxa"/>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right w:val="single" w:color="000000" w:sz="6" w:space="0"/>
            </w:tcBorders>
            <w:tcMar>
              <w:left w:w="149" w:type="dxa"/>
              <w:top w:w="0" w:type="dxa"/>
              <w:right w:w="149" w:type="dxa"/>
              <w:bottom w:w="0" w:type="dxa"/>
            </w:tcMar>
            <w:tcW w:w="2957"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top w:val="single" w:color="000000" w:sz="6" w:space="0"/>
              <w:left w:val="single" w:color="000000" w:sz="6" w:space="0"/>
              <w:right w:val="single" w:color="000000" w:sz="6" w:space="0"/>
            </w:tcBorders>
            <w:tcMar>
              <w:left w:w="149" w:type="dxa"/>
              <w:top w:w="0" w:type="dxa"/>
              <w:right w:w="149" w:type="dxa"/>
              <w:bottom w:w="0" w:type="dxa"/>
            </w:tcMar>
            <w:tcW w:w="2093" w:type="dxa"/>
            <w:vMerge w:val="restart"/>
            <w:textDirection w:val="lrTb"/>
            <w:noWrap w:val="false"/>
          </w:tcPr>
          <w:p>
            <w:pPr>
              <w:widowControl/>
              <w:rPr>
                <w:sz w:val="20"/>
                <w:szCs w:val="20"/>
                <w:lang w:eastAsia="ru-RU"/>
              </w:rPr>
            </w:pPr>
            <w:r>
              <w:rPr>
                <w:sz w:val="20"/>
                <w:szCs w:val="20"/>
                <w:lang w:eastAsia="ru-RU"/>
              </w:rPr>
              <w:t xml:space="preserve">одноставочный, руб./Гкал &lt;*&gt;</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109" w:type="dxa"/>
            <w:textDirection w:val="lrTb"/>
            <w:noWrap w:val="false"/>
          </w:tcPr>
          <w:p>
            <w:pPr>
              <w:jc w:val="center"/>
              <w:widowControl/>
              <w:rPr>
                <w:sz w:val="20"/>
                <w:szCs w:val="20"/>
                <w:lang w:eastAsia="ru-RU"/>
              </w:rPr>
            </w:pPr>
            <w:r>
              <w:rPr>
                <w:sz w:val="20"/>
                <w:szCs w:val="20"/>
                <w:lang w:eastAsia="ru-RU"/>
              </w:rPr>
              <w:t xml:space="preserve">2024</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78" w:type="dxa"/>
            <w:textDirection w:val="lrTb"/>
            <w:noWrap w:val="false"/>
          </w:tcPr>
          <w:p>
            <w:pPr>
              <w:jc w:val="center"/>
              <w:widowControl/>
              <w:rPr>
                <w:sz w:val="20"/>
                <w:szCs w:val="20"/>
                <w:lang w:eastAsia="ru-RU"/>
              </w:rPr>
            </w:pPr>
            <w:r>
              <w:rPr>
                <w:sz w:val="20"/>
                <w:szCs w:val="20"/>
                <w:lang w:eastAsia="ru-RU"/>
              </w:rPr>
              <w:t xml:space="preserve">3559,36</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jc w:val="center"/>
              <w:widowControl/>
              <w:rPr>
                <w:sz w:val="20"/>
                <w:szCs w:val="20"/>
                <w:lang w:eastAsia="ru-RU"/>
              </w:rPr>
            </w:pPr>
            <w:r>
              <w:rPr>
                <w:sz w:val="20"/>
                <w:szCs w:val="20"/>
                <w:lang w:eastAsia="ru-RU"/>
              </w:rPr>
              <w:t xml:space="preserve">3902,96</w:t>
            </w:r>
            <w:r>
              <w:rPr>
                <w:sz w:val="20"/>
                <w:szCs w:val="20"/>
                <w:lang w:eastAsia="ru-RU"/>
              </w:rPr>
            </w:r>
            <w:r>
              <w:rPr>
                <w:sz w:val="20"/>
                <w:szCs w:val="20"/>
                <w:lang w:eastAsia="ru-RU"/>
              </w:rPr>
            </w:r>
          </w:p>
        </w:tc>
      </w:tr>
      <w:tr>
        <w:tblPrEx/>
        <w:trPr/>
        <w:tc>
          <w:tcPr>
            <w:shd w:val="clear" w:color="auto" w:fill="auto"/>
            <w:tcBorders>
              <w:top w:val="none" w:color="000000" w:sz="4" w:space="0"/>
              <w:left w:val="single" w:color="000000" w:sz="6" w:space="0"/>
              <w:bottom w:val="none" w:color="000000" w:sz="4" w:space="0"/>
              <w:right w:val="single" w:color="000000" w:sz="6" w:space="0"/>
            </w:tcBorders>
            <w:tcMar>
              <w:left w:w="149" w:type="dxa"/>
              <w:top w:w="0" w:type="dxa"/>
              <w:right w:w="149" w:type="dxa"/>
              <w:bottom w:w="0" w:type="dxa"/>
            </w:tcMar>
            <w:tcW w:w="625" w:type="dxa"/>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right w:val="single" w:color="000000" w:sz="6" w:space="0"/>
            </w:tcBorders>
            <w:tcMar>
              <w:left w:w="149" w:type="dxa"/>
              <w:top w:w="0" w:type="dxa"/>
              <w:right w:w="149" w:type="dxa"/>
              <w:bottom w:w="0" w:type="dxa"/>
            </w:tcMar>
            <w:tcW w:w="2957"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right w:val="single" w:color="000000" w:sz="6" w:space="0"/>
            </w:tcBorders>
            <w:tcMar>
              <w:left w:w="149" w:type="dxa"/>
              <w:top w:w="0" w:type="dxa"/>
              <w:right w:w="149" w:type="dxa"/>
              <w:bottom w:w="0" w:type="dxa"/>
            </w:tcMar>
            <w:tcW w:w="2093"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109" w:type="dxa"/>
            <w:textDirection w:val="lrTb"/>
            <w:noWrap w:val="false"/>
          </w:tcPr>
          <w:p>
            <w:pPr>
              <w:jc w:val="center"/>
              <w:widowControl/>
              <w:rPr>
                <w:sz w:val="20"/>
                <w:szCs w:val="20"/>
                <w:lang w:eastAsia="ru-RU"/>
              </w:rPr>
            </w:pPr>
            <w:r>
              <w:rPr>
                <w:sz w:val="20"/>
                <w:szCs w:val="20"/>
                <w:lang w:eastAsia="ru-RU"/>
              </w:rPr>
              <w:t xml:space="preserve">2025</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78" w:type="dxa"/>
            <w:textDirection w:val="lrTb"/>
            <w:noWrap w:val="false"/>
          </w:tcPr>
          <w:p>
            <w:pPr>
              <w:jc w:val="center"/>
              <w:widowControl/>
              <w:rPr>
                <w:sz w:val="20"/>
                <w:szCs w:val="20"/>
                <w:lang w:eastAsia="ru-RU"/>
              </w:rPr>
            </w:pPr>
            <w:r>
              <w:rPr>
                <w:sz w:val="20"/>
                <w:szCs w:val="20"/>
                <w:lang w:eastAsia="ru-RU"/>
              </w:rPr>
              <w:t xml:space="preserve">4734,58</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jc w:val="center"/>
              <w:widowControl/>
              <w:rPr>
                <w:sz w:val="20"/>
                <w:szCs w:val="20"/>
                <w:lang w:eastAsia="ru-RU"/>
              </w:rPr>
            </w:pPr>
            <w:r>
              <w:rPr>
                <w:sz w:val="20"/>
                <w:szCs w:val="20"/>
                <w:lang w:eastAsia="ru-RU"/>
              </w:rPr>
              <w:t xml:space="preserve">4734,58</w:t>
            </w:r>
            <w:r>
              <w:rPr>
                <w:sz w:val="20"/>
                <w:szCs w:val="20"/>
                <w:lang w:eastAsia="ru-RU"/>
              </w:rPr>
            </w:r>
            <w:r>
              <w:rPr>
                <w:sz w:val="20"/>
                <w:szCs w:val="20"/>
                <w:lang w:eastAsia="ru-RU"/>
              </w:rPr>
            </w:r>
          </w:p>
        </w:tc>
      </w:tr>
      <w:tr>
        <w:tblPrEx/>
        <w:trPr/>
        <w:tc>
          <w:tcPr>
            <w:shd w:val="clear" w:color="auto" w:fill="auto"/>
            <w:tcBorders>
              <w:top w:val="none" w:color="000000" w:sz="4" w:space="0"/>
              <w:left w:val="single" w:color="000000" w:sz="6" w:space="0"/>
              <w:bottom w:val="none" w:color="000000" w:sz="4" w:space="0"/>
              <w:right w:val="single" w:color="000000" w:sz="6" w:space="0"/>
            </w:tcBorders>
            <w:tcMar>
              <w:left w:w="149" w:type="dxa"/>
              <w:top w:w="0" w:type="dxa"/>
              <w:right w:w="149" w:type="dxa"/>
              <w:bottom w:w="0" w:type="dxa"/>
            </w:tcMar>
            <w:tcW w:w="625" w:type="dxa"/>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right w:val="single" w:color="000000" w:sz="6" w:space="0"/>
            </w:tcBorders>
            <w:tcMar>
              <w:left w:w="149" w:type="dxa"/>
              <w:top w:w="0" w:type="dxa"/>
              <w:right w:w="149" w:type="dxa"/>
              <w:bottom w:w="0" w:type="dxa"/>
            </w:tcMar>
            <w:tcW w:w="2957"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right w:val="single" w:color="000000" w:sz="6" w:space="0"/>
            </w:tcBorders>
            <w:tcMar>
              <w:left w:w="149" w:type="dxa"/>
              <w:top w:w="0" w:type="dxa"/>
              <w:right w:w="149" w:type="dxa"/>
              <w:bottom w:w="0" w:type="dxa"/>
            </w:tcMar>
            <w:tcW w:w="2093"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109" w:type="dxa"/>
            <w:textDirection w:val="lrTb"/>
            <w:noWrap w:val="false"/>
          </w:tcPr>
          <w:p>
            <w:pPr>
              <w:jc w:val="center"/>
              <w:widowControl/>
              <w:rPr>
                <w:sz w:val="20"/>
                <w:szCs w:val="20"/>
                <w:lang w:eastAsia="ru-RU"/>
              </w:rPr>
            </w:pPr>
            <w:r>
              <w:rPr>
                <w:sz w:val="20"/>
                <w:szCs w:val="20"/>
                <w:lang w:eastAsia="ru-RU"/>
              </w:rPr>
              <w:t xml:space="preserve">2026</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78" w:type="dxa"/>
            <w:textDirection w:val="lrTb"/>
            <w:noWrap w:val="false"/>
          </w:tcPr>
          <w:p>
            <w:pPr>
              <w:jc w:val="center"/>
              <w:widowControl/>
              <w:rPr>
                <w:sz w:val="20"/>
                <w:szCs w:val="20"/>
                <w:lang w:eastAsia="ru-RU"/>
              </w:rPr>
            </w:pPr>
            <w:r>
              <w:rPr>
                <w:sz w:val="20"/>
                <w:szCs w:val="20"/>
                <w:lang w:eastAsia="ru-RU"/>
              </w:rPr>
              <w:t xml:space="preserve">4734,58</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jc w:val="center"/>
              <w:widowControl/>
              <w:rPr>
                <w:sz w:val="20"/>
                <w:szCs w:val="20"/>
                <w:lang w:eastAsia="ru-RU"/>
              </w:rPr>
            </w:pPr>
            <w:r>
              <w:rPr>
                <w:sz w:val="20"/>
                <w:szCs w:val="20"/>
                <w:lang w:eastAsia="ru-RU"/>
              </w:rPr>
              <w:t xml:space="preserve">5028,89</w:t>
            </w:r>
            <w:r>
              <w:rPr>
                <w:sz w:val="20"/>
                <w:szCs w:val="20"/>
                <w:lang w:eastAsia="ru-RU"/>
              </w:rPr>
            </w:r>
            <w:r>
              <w:rPr>
                <w:sz w:val="20"/>
                <w:szCs w:val="20"/>
                <w:lang w:eastAsia="ru-RU"/>
              </w:rPr>
            </w:r>
          </w:p>
        </w:tc>
      </w:tr>
      <w:tr>
        <w:tblPrEx/>
        <w:trPr>
          <w:trHeight w:val="72"/>
        </w:trPr>
        <w:tc>
          <w:tcPr>
            <w:shd w:val="clear" w:color="auto" w:fill="auto"/>
            <w:tcBorders>
              <w:top w:val="none" w:color="000000" w:sz="4" w:space="0"/>
              <w:left w:val="single" w:color="000000" w:sz="6" w:space="0"/>
              <w:bottom w:val="none" w:color="000000" w:sz="4" w:space="0"/>
              <w:right w:val="single" w:color="000000" w:sz="6" w:space="0"/>
            </w:tcBorders>
            <w:tcMar>
              <w:left w:w="149" w:type="dxa"/>
              <w:top w:w="0" w:type="dxa"/>
              <w:right w:w="149" w:type="dxa"/>
              <w:bottom w:w="0" w:type="dxa"/>
            </w:tcMar>
            <w:tcW w:w="625" w:type="dxa"/>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right w:val="single" w:color="000000" w:sz="6" w:space="0"/>
            </w:tcBorders>
            <w:tcMar>
              <w:left w:w="149" w:type="dxa"/>
              <w:top w:w="0" w:type="dxa"/>
              <w:right w:w="149" w:type="dxa"/>
              <w:bottom w:w="0" w:type="dxa"/>
            </w:tcMar>
            <w:tcW w:w="2957"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right w:val="single" w:color="000000" w:sz="6" w:space="0"/>
            </w:tcBorders>
            <w:tcMar>
              <w:left w:w="149" w:type="dxa"/>
              <w:top w:w="0" w:type="dxa"/>
              <w:right w:w="149" w:type="dxa"/>
              <w:bottom w:w="0" w:type="dxa"/>
            </w:tcMar>
            <w:tcW w:w="2093"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109" w:type="dxa"/>
            <w:textDirection w:val="lrTb"/>
            <w:noWrap w:val="false"/>
          </w:tcPr>
          <w:p>
            <w:pPr>
              <w:jc w:val="center"/>
              <w:widowControl/>
              <w:rPr>
                <w:sz w:val="20"/>
                <w:szCs w:val="20"/>
                <w:lang w:eastAsia="ru-RU"/>
              </w:rPr>
            </w:pPr>
            <w:r>
              <w:rPr>
                <w:sz w:val="20"/>
                <w:szCs w:val="20"/>
                <w:lang w:eastAsia="ru-RU"/>
              </w:rPr>
              <w:t xml:space="preserve">2027</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78" w:type="dxa"/>
            <w:textDirection w:val="lrTb"/>
            <w:noWrap w:val="false"/>
          </w:tcPr>
          <w:p>
            <w:pPr>
              <w:jc w:val="center"/>
              <w:widowControl/>
              <w:rPr>
                <w:sz w:val="20"/>
                <w:szCs w:val="20"/>
                <w:lang w:eastAsia="ru-RU"/>
              </w:rPr>
            </w:pPr>
            <w:r>
              <w:rPr>
                <w:sz w:val="20"/>
                <w:szCs w:val="20"/>
                <w:lang w:eastAsia="ru-RU"/>
              </w:rPr>
              <w:t xml:space="preserve">5021,82</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jc w:val="center"/>
              <w:widowControl/>
              <w:rPr>
                <w:sz w:val="20"/>
                <w:szCs w:val="20"/>
                <w:lang w:eastAsia="ru-RU"/>
              </w:rPr>
            </w:pPr>
            <w:r>
              <w:rPr>
                <w:sz w:val="20"/>
                <w:szCs w:val="20"/>
                <w:lang w:eastAsia="ru-RU"/>
              </w:rPr>
              <w:t xml:space="preserve">5021,82</w:t>
            </w:r>
            <w:r>
              <w:rPr>
                <w:sz w:val="20"/>
                <w:szCs w:val="20"/>
                <w:lang w:eastAsia="ru-RU"/>
              </w:rPr>
            </w:r>
            <w:r>
              <w:rPr>
                <w:sz w:val="20"/>
                <w:szCs w:val="20"/>
                <w:lang w:eastAsia="ru-RU"/>
              </w:rPr>
            </w:r>
          </w:p>
        </w:tc>
      </w:tr>
      <w:tr>
        <w:tblPrEx/>
        <w:trPr/>
        <w:tc>
          <w:tcPr>
            <w:shd w:val="clear" w:color="auto" w:fill="auto"/>
            <w:tcBorders>
              <w:top w:val="none" w:color="000000" w:sz="4" w:space="0"/>
              <w:left w:val="single" w:color="000000" w:sz="6" w:space="0"/>
              <w:bottom w:val="none" w:color="000000" w:sz="4" w:space="0"/>
              <w:right w:val="single" w:color="000000" w:sz="6" w:space="0"/>
            </w:tcBorders>
            <w:tcMar>
              <w:left w:w="149" w:type="dxa"/>
              <w:top w:w="0" w:type="dxa"/>
              <w:right w:w="149" w:type="dxa"/>
              <w:bottom w:w="0" w:type="dxa"/>
            </w:tcMar>
            <w:tcW w:w="625" w:type="dxa"/>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right w:val="single" w:color="000000" w:sz="6" w:space="0"/>
            </w:tcBorders>
            <w:tcMar>
              <w:left w:w="149" w:type="dxa"/>
              <w:top w:w="0" w:type="dxa"/>
              <w:right w:w="149" w:type="dxa"/>
              <w:bottom w:w="0" w:type="dxa"/>
            </w:tcMar>
            <w:tcW w:w="2957"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bottom w:val="none" w:color="000000" w:sz="4" w:space="0"/>
              <w:right w:val="single" w:color="000000" w:sz="6" w:space="0"/>
            </w:tcBorders>
            <w:tcMar>
              <w:left w:w="149" w:type="dxa"/>
              <w:top w:w="0" w:type="dxa"/>
              <w:right w:w="149" w:type="dxa"/>
              <w:bottom w:w="0" w:type="dxa"/>
            </w:tcMar>
            <w:tcW w:w="2093"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109" w:type="dxa"/>
            <w:textDirection w:val="lrTb"/>
            <w:noWrap w:val="false"/>
          </w:tcPr>
          <w:p>
            <w:pPr>
              <w:jc w:val="center"/>
              <w:widowControl/>
              <w:rPr>
                <w:sz w:val="20"/>
                <w:szCs w:val="20"/>
                <w:lang w:eastAsia="ru-RU"/>
              </w:rPr>
            </w:pPr>
            <w:r>
              <w:rPr>
                <w:sz w:val="20"/>
                <w:szCs w:val="20"/>
                <w:lang w:eastAsia="ru-RU"/>
              </w:rPr>
              <w:t xml:space="preserve">2028</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78" w:type="dxa"/>
            <w:textDirection w:val="lrTb"/>
            <w:noWrap w:val="false"/>
          </w:tcPr>
          <w:p>
            <w:pPr>
              <w:jc w:val="center"/>
              <w:widowControl/>
              <w:rPr>
                <w:sz w:val="20"/>
                <w:szCs w:val="20"/>
                <w:lang w:eastAsia="ru-RU"/>
              </w:rPr>
            </w:pPr>
            <w:r>
              <w:rPr>
                <w:sz w:val="20"/>
                <w:szCs w:val="20"/>
                <w:lang w:eastAsia="ru-RU"/>
              </w:rPr>
              <w:t xml:space="preserve">5021,82</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jc w:val="center"/>
              <w:widowControl/>
              <w:rPr>
                <w:sz w:val="20"/>
                <w:szCs w:val="20"/>
                <w:lang w:eastAsia="ru-RU"/>
              </w:rPr>
            </w:pPr>
            <w:r>
              <w:rPr>
                <w:sz w:val="20"/>
                <w:szCs w:val="20"/>
                <w:lang w:eastAsia="ru-RU"/>
              </w:rPr>
              <w:t xml:space="preserve">5334,02</w:t>
            </w:r>
            <w:r>
              <w:rPr>
                <w:sz w:val="20"/>
                <w:szCs w:val="20"/>
                <w:lang w:eastAsia="ru-RU"/>
              </w:rPr>
            </w:r>
            <w:r>
              <w:rPr>
                <w:sz w:val="20"/>
                <w:szCs w:val="20"/>
                <w:lang w:eastAsia="ru-RU"/>
              </w:rPr>
            </w:r>
          </w:p>
        </w:tc>
      </w:tr>
      <w:tr>
        <w:tblPrEx/>
        <w:trPr/>
        <w:tc>
          <w:tcPr>
            <w:shd w:val="clear" w:color="auto" w:fill="auto"/>
            <w:tcBorders>
              <w:top w:val="none" w:color="000000" w:sz="4" w:space="0"/>
              <w:left w:val="single" w:color="000000" w:sz="6" w:space="0"/>
              <w:bottom w:val="none" w:color="000000" w:sz="4" w:space="0"/>
              <w:right w:val="single" w:color="000000" w:sz="6" w:space="0"/>
            </w:tcBorders>
            <w:tcMar>
              <w:left w:w="149" w:type="dxa"/>
              <w:top w:w="0" w:type="dxa"/>
              <w:right w:w="149" w:type="dxa"/>
              <w:bottom w:w="0" w:type="dxa"/>
            </w:tcMar>
            <w:tcW w:w="625" w:type="dxa"/>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right w:val="single" w:color="000000" w:sz="6" w:space="0"/>
            </w:tcBorders>
            <w:tcMar>
              <w:left w:w="149" w:type="dxa"/>
              <w:top w:w="0" w:type="dxa"/>
              <w:right w:w="149" w:type="dxa"/>
              <w:bottom w:w="0" w:type="dxa"/>
            </w:tcMar>
            <w:tcW w:w="2957"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gridSpan w:val="4"/>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5974" w:type="dxa"/>
            <w:textDirection w:val="lrTb"/>
            <w:noWrap w:val="false"/>
          </w:tcPr>
          <w:p>
            <w:pPr>
              <w:widowControl/>
              <w:rPr>
                <w:sz w:val="20"/>
                <w:szCs w:val="20"/>
                <w:lang w:eastAsia="ru-RU"/>
              </w:rPr>
            </w:pPr>
            <w:r>
              <w:rPr>
                <w:sz w:val="20"/>
                <w:szCs w:val="20"/>
                <w:lang w:eastAsia="ru-RU"/>
              </w:rPr>
              <w:t xml:space="preserve">Население (тарифы указываются с учетом НДС)&lt;*&gt;</w:t>
            </w:r>
            <w:r>
              <w:rPr>
                <w:sz w:val="20"/>
                <w:szCs w:val="20"/>
                <w:lang w:eastAsia="ru-RU"/>
              </w:rPr>
            </w:r>
            <w:r>
              <w:rPr>
                <w:sz w:val="20"/>
                <w:szCs w:val="20"/>
                <w:lang w:eastAsia="ru-RU"/>
              </w:rPr>
            </w:r>
          </w:p>
        </w:tc>
      </w:tr>
      <w:tr>
        <w:tblPrEx/>
        <w:trPr>
          <w:trHeight w:val="230"/>
        </w:trPr>
        <w:tc>
          <w:tcPr>
            <w:shd w:val="clear" w:color="auto" w:fill="auto"/>
            <w:tcBorders>
              <w:top w:val="none" w:color="000000" w:sz="4" w:space="0"/>
              <w:left w:val="single" w:color="000000" w:sz="6" w:space="0"/>
              <w:bottom w:val="none" w:color="000000" w:sz="4" w:space="0"/>
              <w:right w:val="single" w:color="000000" w:sz="6" w:space="0"/>
            </w:tcBorders>
            <w:tcMar>
              <w:left w:w="149" w:type="dxa"/>
              <w:top w:w="0" w:type="dxa"/>
              <w:right w:w="149" w:type="dxa"/>
              <w:bottom w:w="0" w:type="dxa"/>
            </w:tcMar>
            <w:tcW w:w="625" w:type="dxa"/>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right w:val="single" w:color="000000" w:sz="6" w:space="0"/>
            </w:tcBorders>
            <w:tcMar>
              <w:left w:w="149" w:type="dxa"/>
              <w:top w:w="0" w:type="dxa"/>
              <w:right w:w="149" w:type="dxa"/>
              <w:bottom w:w="0" w:type="dxa"/>
            </w:tcMar>
            <w:tcW w:w="2957"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top w:val="single" w:color="000000" w:sz="6" w:space="0"/>
              <w:left w:val="single" w:color="000000" w:sz="6" w:space="0"/>
              <w:right w:val="single" w:color="000000" w:sz="6" w:space="0"/>
            </w:tcBorders>
            <w:tcMar>
              <w:left w:w="149" w:type="dxa"/>
              <w:top w:w="0" w:type="dxa"/>
              <w:right w:w="149" w:type="dxa"/>
              <w:bottom w:w="0" w:type="dxa"/>
            </w:tcMar>
            <w:tcW w:w="2093" w:type="dxa"/>
            <w:vMerge w:val="restart"/>
            <w:textDirection w:val="lrTb"/>
            <w:noWrap w:val="false"/>
          </w:tcPr>
          <w:p>
            <w:pPr>
              <w:widowControl/>
              <w:rPr>
                <w:sz w:val="20"/>
                <w:szCs w:val="20"/>
                <w:lang w:eastAsia="ru-RU"/>
              </w:rPr>
            </w:pPr>
            <w:r>
              <w:rPr>
                <w:sz w:val="20"/>
                <w:szCs w:val="20"/>
                <w:lang w:eastAsia="ru-RU"/>
              </w:rPr>
              <w:t xml:space="preserve">одноставочный, руб./Гкал &lt;*&gt;</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109" w:type="dxa"/>
            <w:textDirection w:val="lrTb"/>
            <w:noWrap w:val="false"/>
          </w:tcPr>
          <w:p>
            <w:pPr>
              <w:jc w:val="center"/>
              <w:widowControl/>
              <w:rPr>
                <w:sz w:val="20"/>
                <w:szCs w:val="20"/>
                <w:lang w:eastAsia="ru-RU"/>
              </w:rPr>
            </w:pPr>
            <w:r>
              <w:rPr>
                <w:sz w:val="20"/>
                <w:szCs w:val="20"/>
                <w:lang w:eastAsia="ru-RU"/>
              </w:rPr>
              <w:t xml:space="preserve">2024</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78" w:type="dxa"/>
            <w:textDirection w:val="lrTb"/>
            <w:noWrap w:val="false"/>
          </w:tcPr>
          <w:p>
            <w:pPr>
              <w:jc w:val="center"/>
              <w:widowControl/>
              <w:rPr>
                <w:sz w:val="20"/>
                <w:szCs w:val="20"/>
                <w:lang w:eastAsia="ru-RU"/>
              </w:rPr>
            </w:pPr>
            <w:r>
              <w:rPr>
                <w:sz w:val="20"/>
                <w:szCs w:val="20"/>
                <w:lang w:eastAsia="ru-RU"/>
              </w:rPr>
              <w:t xml:space="preserve">4271,23</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jc w:val="center"/>
              <w:widowControl/>
              <w:rPr>
                <w:sz w:val="20"/>
                <w:szCs w:val="20"/>
                <w:lang w:eastAsia="ru-RU"/>
              </w:rPr>
            </w:pPr>
            <w:r>
              <w:rPr>
                <w:sz w:val="20"/>
                <w:szCs w:val="20"/>
                <w:lang w:eastAsia="ru-RU"/>
              </w:rPr>
              <w:t xml:space="preserve">4683,55</w:t>
            </w:r>
            <w:r>
              <w:rPr>
                <w:sz w:val="20"/>
                <w:szCs w:val="20"/>
                <w:lang w:eastAsia="ru-RU"/>
              </w:rPr>
            </w:r>
            <w:r>
              <w:rPr>
                <w:sz w:val="20"/>
                <w:szCs w:val="20"/>
                <w:lang w:eastAsia="ru-RU"/>
              </w:rPr>
            </w:r>
          </w:p>
        </w:tc>
      </w:tr>
      <w:tr>
        <w:tblPrEx/>
        <w:trPr/>
        <w:tc>
          <w:tcPr>
            <w:shd w:val="clear" w:color="auto" w:fill="auto"/>
            <w:tcBorders>
              <w:top w:val="none" w:color="000000" w:sz="4" w:space="0"/>
              <w:left w:val="single" w:color="000000" w:sz="6" w:space="0"/>
              <w:bottom w:val="none" w:color="000000" w:sz="4" w:space="0"/>
              <w:right w:val="single" w:color="000000" w:sz="6" w:space="0"/>
            </w:tcBorders>
            <w:tcMar>
              <w:left w:w="149" w:type="dxa"/>
              <w:top w:w="0" w:type="dxa"/>
              <w:right w:w="149" w:type="dxa"/>
              <w:bottom w:w="0" w:type="dxa"/>
            </w:tcMar>
            <w:tcW w:w="625" w:type="dxa"/>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right w:val="single" w:color="000000" w:sz="6" w:space="0"/>
            </w:tcBorders>
            <w:tcMar>
              <w:left w:w="149" w:type="dxa"/>
              <w:top w:w="0" w:type="dxa"/>
              <w:right w:w="149" w:type="dxa"/>
              <w:bottom w:w="0" w:type="dxa"/>
            </w:tcMar>
            <w:tcW w:w="2957"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right w:val="single" w:color="000000" w:sz="6" w:space="0"/>
            </w:tcBorders>
            <w:tcMar>
              <w:left w:w="149" w:type="dxa"/>
              <w:top w:w="0" w:type="dxa"/>
              <w:right w:w="149" w:type="dxa"/>
              <w:bottom w:w="0" w:type="dxa"/>
            </w:tcMar>
            <w:tcW w:w="2093"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109" w:type="dxa"/>
            <w:textDirection w:val="lrTb"/>
            <w:noWrap w:val="false"/>
          </w:tcPr>
          <w:p>
            <w:pPr>
              <w:jc w:val="center"/>
              <w:widowControl/>
              <w:rPr>
                <w:sz w:val="20"/>
                <w:szCs w:val="20"/>
                <w:lang w:eastAsia="ru-RU"/>
              </w:rPr>
            </w:pPr>
            <w:r>
              <w:rPr>
                <w:sz w:val="20"/>
                <w:szCs w:val="20"/>
                <w:lang w:eastAsia="ru-RU"/>
              </w:rPr>
              <w:t xml:space="preserve">2025</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78" w:type="dxa"/>
            <w:textDirection w:val="lrTb"/>
            <w:noWrap w:val="false"/>
          </w:tcPr>
          <w:p>
            <w:pPr>
              <w:jc w:val="center"/>
              <w:widowControl/>
              <w:rPr>
                <w:sz w:val="20"/>
                <w:szCs w:val="20"/>
                <w:lang w:eastAsia="ru-RU"/>
              </w:rPr>
            </w:pPr>
            <w:r>
              <w:rPr>
                <w:sz w:val="20"/>
                <w:szCs w:val="20"/>
                <w:lang w:eastAsia="ru-RU"/>
              </w:rPr>
              <w:t xml:space="preserve">5681,50</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jc w:val="center"/>
              <w:widowControl/>
              <w:rPr>
                <w:sz w:val="20"/>
                <w:szCs w:val="20"/>
                <w:lang w:eastAsia="ru-RU"/>
              </w:rPr>
            </w:pPr>
            <w:r>
              <w:rPr>
                <w:sz w:val="20"/>
                <w:szCs w:val="20"/>
                <w:lang w:eastAsia="ru-RU"/>
              </w:rPr>
              <w:t xml:space="preserve">5681,50</w:t>
            </w:r>
            <w:r>
              <w:rPr>
                <w:sz w:val="20"/>
                <w:szCs w:val="20"/>
                <w:lang w:eastAsia="ru-RU"/>
              </w:rPr>
            </w:r>
            <w:r>
              <w:rPr>
                <w:sz w:val="20"/>
                <w:szCs w:val="20"/>
                <w:lang w:eastAsia="ru-RU"/>
              </w:rPr>
            </w:r>
          </w:p>
        </w:tc>
      </w:tr>
      <w:tr>
        <w:tblPrEx/>
        <w:trPr/>
        <w:tc>
          <w:tcPr>
            <w:shd w:val="clear" w:color="auto" w:fill="auto"/>
            <w:tcBorders>
              <w:top w:val="none" w:color="000000" w:sz="4" w:space="0"/>
              <w:left w:val="single" w:color="000000" w:sz="6" w:space="0"/>
              <w:bottom w:val="none" w:color="000000" w:sz="4" w:space="0"/>
              <w:right w:val="single" w:color="000000" w:sz="6" w:space="0"/>
            </w:tcBorders>
            <w:tcMar>
              <w:left w:w="149" w:type="dxa"/>
              <w:top w:w="0" w:type="dxa"/>
              <w:right w:w="149" w:type="dxa"/>
              <w:bottom w:w="0" w:type="dxa"/>
            </w:tcMar>
            <w:tcW w:w="625" w:type="dxa"/>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right w:val="single" w:color="000000" w:sz="6" w:space="0"/>
            </w:tcBorders>
            <w:tcMar>
              <w:left w:w="149" w:type="dxa"/>
              <w:top w:w="0" w:type="dxa"/>
              <w:right w:w="149" w:type="dxa"/>
              <w:bottom w:w="0" w:type="dxa"/>
            </w:tcMar>
            <w:tcW w:w="2957"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right w:val="single" w:color="000000" w:sz="6" w:space="0"/>
            </w:tcBorders>
            <w:tcMar>
              <w:left w:w="149" w:type="dxa"/>
              <w:top w:w="0" w:type="dxa"/>
              <w:right w:w="149" w:type="dxa"/>
              <w:bottom w:w="0" w:type="dxa"/>
            </w:tcMar>
            <w:tcW w:w="2093"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109" w:type="dxa"/>
            <w:textDirection w:val="lrTb"/>
            <w:noWrap w:val="false"/>
          </w:tcPr>
          <w:p>
            <w:pPr>
              <w:jc w:val="center"/>
              <w:widowControl/>
              <w:rPr>
                <w:sz w:val="20"/>
                <w:szCs w:val="20"/>
                <w:lang w:eastAsia="ru-RU"/>
              </w:rPr>
            </w:pPr>
            <w:r>
              <w:rPr>
                <w:sz w:val="20"/>
                <w:szCs w:val="20"/>
                <w:lang w:eastAsia="ru-RU"/>
              </w:rPr>
              <w:t xml:space="preserve">2026</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78" w:type="dxa"/>
            <w:textDirection w:val="lrTb"/>
            <w:noWrap w:val="false"/>
          </w:tcPr>
          <w:p>
            <w:pPr>
              <w:jc w:val="center"/>
              <w:widowControl/>
              <w:rPr>
                <w:sz w:val="20"/>
                <w:szCs w:val="20"/>
                <w:lang w:eastAsia="ru-RU"/>
              </w:rPr>
            </w:pPr>
            <w:r>
              <w:rPr>
                <w:sz w:val="20"/>
                <w:szCs w:val="20"/>
                <w:lang w:eastAsia="ru-RU"/>
              </w:rPr>
              <w:t xml:space="preserve">5681,50</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jc w:val="center"/>
              <w:widowControl/>
              <w:rPr>
                <w:sz w:val="20"/>
                <w:szCs w:val="20"/>
                <w:lang w:eastAsia="ru-RU"/>
              </w:rPr>
            </w:pPr>
            <w:r>
              <w:rPr>
                <w:sz w:val="20"/>
                <w:szCs w:val="20"/>
                <w:lang w:eastAsia="ru-RU"/>
              </w:rPr>
              <w:t xml:space="preserve">6034,67</w:t>
            </w:r>
            <w:r>
              <w:rPr>
                <w:sz w:val="20"/>
                <w:szCs w:val="20"/>
                <w:lang w:eastAsia="ru-RU"/>
              </w:rPr>
            </w:r>
            <w:r>
              <w:rPr>
                <w:sz w:val="20"/>
                <w:szCs w:val="20"/>
                <w:lang w:eastAsia="ru-RU"/>
              </w:rPr>
            </w:r>
          </w:p>
        </w:tc>
      </w:tr>
      <w:tr>
        <w:tblPrEx/>
        <w:trPr/>
        <w:tc>
          <w:tcPr>
            <w:shd w:val="clear" w:color="auto" w:fill="auto"/>
            <w:tcBorders>
              <w:top w:val="none" w:color="000000" w:sz="4" w:space="0"/>
              <w:left w:val="single" w:color="000000" w:sz="6" w:space="0"/>
              <w:bottom w:val="none" w:color="000000" w:sz="4" w:space="0"/>
              <w:right w:val="single" w:color="000000" w:sz="6" w:space="0"/>
            </w:tcBorders>
            <w:tcMar>
              <w:left w:w="149" w:type="dxa"/>
              <w:top w:w="0" w:type="dxa"/>
              <w:right w:w="149" w:type="dxa"/>
              <w:bottom w:w="0" w:type="dxa"/>
            </w:tcMar>
            <w:tcW w:w="625" w:type="dxa"/>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right w:val="single" w:color="000000" w:sz="6" w:space="0"/>
            </w:tcBorders>
            <w:tcMar>
              <w:left w:w="149" w:type="dxa"/>
              <w:top w:w="0" w:type="dxa"/>
              <w:right w:w="149" w:type="dxa"/>
              <w:bottom w:w="0" w:type="dxa"/>
            </w:tcMar>
            <w:tcW w:w="2957"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right w:val="single" w:color="000000" w:sz="6" w:space="0"/>
            </w:tcBorders>
            <w:tcMar>
              <w:left w:w="149" w:type="dxa"/>
              <w:top w:w="0" w:type="dxa"/>
              <w:right w:w="149" w:type="dxa"/>
              <w:bottom w:w="0" w:type="dxa"/>
            </w:tcMar>
            <w:tcW w:w="2093"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109" w:type="dxa"/>
            <w:textDirection w:val="lrTb"/>
            <w:noWrap w:val="false"/>
          </w:tcPr>
          <w:p>
            <w:pPr>
              <w:jc w:val="center"/>
              <w:widowControl/>
              <w:rPr>
                <w:sz w:val="20"/>
                <w:szCs w:val="20"/>
                <w:lang w:eastAsia="ru-RU"/>
              </w:rPr>
            </w:pPr>
            <w:r>
              <w:rPr>
                <w:sz w:val="20"/>
                <w:szCs w:val="20"/>
                <w:lang w:eastAsia="ru-RU"/>
              </w:rPr>
              <w:t xml:space="preserve">2027</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78" w:type="dxa"/>
            <w:textDirection w:val="lrTb"/>
            <w:noWrap w:val="false"/>
          </w:tcPr>
          <w:p>
            <w:pPr>
              <w:jc w:val="center"/>
              <w:widowControl/>
              <w:rPr>
                <w:sz w:val="20"/>
                <w:szCs w:val="20"/>
                <w:lang w:eastAsia="ru-RU"/>
              </w:rPr>
            </w:pPr>
            <w:r>
              <w:rPr>
                <w:sz w:val="20"/>
                <w:szCs w:val="20"/>
                <w:lang w:eastAsia="ru-RU"/>
              </w:rPr>
              <w:t xml:space="preserve">6026,18</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jc w:val="center"/>
              <w:widowControl/>
              <w:rPr>
                <w:sz w:val="20"/>
                <w:szCs w:val="20"/>
                <w:lang w:eastAsia="ru-RU"/>
              </w:rPr>
            </w:pPr>
            <w:r>
              <w:rPr>
                <w:sz w:val="20"/>
                <w:szCs w:val="20"/>
                <w:lang w:eastAsia="ru-RU"/>
              </w:rPr>
              <w:t xml:space="preserve">6026,18</w:t>
            </w:r>
            <w:r>
              <w:rPr>
                <w:sz w:val="20"/>
                <w:szCs w:val="20"/>
                <w:lang w:eastAsia="ru-RU"/>
              </w:rPr>
            </w:r>
            <w:r>
              <w:rPr>
                <w:sz w:val="20"/>
                <w:szCs w:val="20"/>
                <w:lang w:eastAsia="ru-RU"/>
              </w:rPr>
            </w:r>
          </w:p>
        </w:tc>
      </w:tr>
      <w:tr>
        <w:tblPrEx/>
        <w:trPr/>
        <w:tc>
          <w:tcPr>
            <w:shd w:val="clear" w:color="auto" w:fill="auto"/>
            <w:tcBorders>
              <w:top w:val="none" w:color="000000" w:sz="4" w:space="0"/>
              <w:left w:val="single" w:color="000000" w:sz="6" w:space="0"/>
              <w:bottom w:val="single" w:color="000000" w:sz="6" w:space="0"/>
              <w:right w:val="single" w:color="000000" w:sz="6" w:space="0"/>
            </w:tcBorders>
            <w:tcMar>
              <w:left w:w="149" w:type="dxa"/>
              <w:top w:w="0" w:type="dxa"/>
              <w:right w:w="149" w:type="dxa"/>
              <w:bottom w:w="0" w:type="dxa"/>
            </w:tcMar>
            <w:tcW w:w="625" w:type="dxa"/>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bottom w:val="single" w:color="000000" w:sz="6" w:space="0"/>
              <w:right w:val="single" w:color="000000" w:sz="6" w:space="0"/>
            </w:tcBorders>
            <w:tcMar>
              <w:left w:w="149" w:type="dxa"/>
              <w:top w:w="0" w:type="dxa"/>
              <w:right w:w="149" w:type="dxa"/>
              <w:bottom w:w="0" w:type="dxa"/>
            </w:tcMar>
            <w:tcW w:w="2957"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bottom w:val="single" w:color="000000" w:sz="6" w:space="0"/>
              <w:right w:val="single" w:color="000000" w:sz="6" w:space="0"/>
            </w:tcBorders>
            <w:tcMar>
              <w:left w:w="149" w:type="dxa"/>
              <w:top w:w="0" w:type="dxa"/>
              <w:right w:w="149" w:type="dxa"/>
              <w:bottom w:w="0" w:type="dxa"/>
            </w:tcMar>
            <w:tcW w:w="2093"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109" w:type="dxa"/>
            <w:textDirection w:val="lrTb"/>
            <w:noWrap w:val="false"/>
          </w:tcPr>
          <w:p>
            <w:pPr>
              <w:jc w:val="center"/>
              <w:widowControl/>
              <w:rPr>
                <w:sz w:val="20"/>
                <w:szCs w:val="20"/>
                <w:lang w:eastAsia="ru-RU"/>
              </w:rPr>
            </w:pPr>
            <w:r>
              <w:rPr>
                <w:sz w:val="20"/>
                <w:szCs w:val="20"/>
                <w:lang w:eastAsia="ru-RU"/>
              </w:rPr>
              <w:t xml:space="preserve">2028</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78" w:type="dxa"/>
            <w:textDirection w:val="lrTb"/>
            <w:noWrap w:val="false"/>
          </w:tcPr>
          <w:p>
            <w:pPr>
              <w:jc w:val="center"/>
              <w:widowControl/>
              <w:rPr>
                <w:sz w:val="20"/>
                <w:szCs w:val="20"/>
                <w:lang w:eastAsia="ru-RU"/>
              </w:rPr>
            </w:pPr>
            <w:r>
              <w:rPr>
                <w:sz w:val="20"/>
                <w:szCs w:val="20"/>
                <w:lang w:eastAsia="ru-RU"/>
              </w:rPr>
              <w:t xml:space="preserve">6026,18</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jc w:val="center"/>
              <w:widowControl/>
              <w:rPr>
                <w:sz w:val="20"/>
                <w:szCs w:val="20"/>
                <w:lang w:eastAsia="ru-RU"/>
              </w:rPr>
            </w:pPr>
            <w:r>
              <w:rPr>
                <w:sz w:val="20"/>
                <w:szCs w:val="20"/>
                <w:lang w:eastAsia="ru-RU"/>
              </w:rPr>
              <w:t xml:space="preserve">6400,82</w:t>
            </w:r>
            <w:r>
              <w:rPr>
                <w:sz w:val="20"/>
                <w:szCs w:val="20"/>
                <w:lang w:eastAsia="ru-RU"/>
              </w:rPr>
            </w:r>
            <w:r>
              <w:rPr>
                <w:sz w:val="20"/>
                <w:szCs w:val="20"/>
                <w:lang w:eastAsia="ru-RU"/>
              </w:rPr>
            </w:r>
          </w:p>
        </w:tc>
      </w:tr>
    </w:tbl>
    <w:p>
      <w:pPr>
        <w:ind w:left="142"/>
        <w:rPr>
          <w:sz w:val="20"/>
          <w:szCs w:val="20"/>
        </w:rPr>
      </w:pPr>
      <w:r>
        <w:rPr>
          <w:sz w:val="20"/>
          <w:szCs w:val="20"/>
        </w:rPr>
        <w:t xml:space="preserve">Примечания:</w:t>
      </w:r>
      <w:r>
        <w:rPr>
          <w:sz w:val="20"/>
          <w:szCs w:val="20"/>
        </w:rPr>
      </w:r>
      <w:r>
        <w:rPr>
          <w:sz w:val="20"/>
          <w:szCs w:val="20"/>
        </w:rPr>
      </w:r>
    </w:p>
    <w:p>
      <w:pPr>
        <w:ind w:right="129"/>
        <w:rPr>
          <w:sz w:val="20"/>
          <w:szCs w:val="20"/>
        </w:rPr>
      </w:pPr>
      <w:r>
        <w:rPr>
          <w:sz w:val="20"/>
          <w:szCs w:val="20"/>
        </w:rPr>
        <w:t xml:space="preserve">* Выделяется в целях реализации пункта 6 статьи 168 </w:t>
      </w:r>
      <w:hyperlink r:id="rId23" w:tooltip="https://docs.cntd.ru/document/901714421" w:history="1">
        <w:r>
          <w:rPr>
            <w:rStyle w:val="1267"/>
            <w:color w:val="auto"/>
            <w:sz w:val="20"/>
            <w:szCs w:val="20"/>
            <w:u w:val="none"/>
          </w:rPr>
          <w:t xml:space="preserve">Налогового кодекса Российской Федерации</w:t>
        </w:r>
      </w:hyperlink>
      <w:r>
        <w:rPr>
          <w:sz w:val="20"/>
          <w:szCs w:val="20"/>
        </w:rPr>
        <w:t xml:space="preserve"> (часть вторая).</w:t>
      </w:r>
      <w:r>
        <w:rPr>
          <w:sz w:val="20"/>
          <w:szCs w:val="20"/>
        </w:rPr>
      </w:r>
      <w:r>
        <w:rPr>
          <w:sz w:val="20"/>
          <w:szCs w:val="20"/>
        </w:rPr>
      </w:r>
    </w:p>
    <w:p>
      <w:pPr>
        <w:rPr>
          <w:sz w:val="24"/>
          <w:szCs w:val="24"/>
        </w:rPr>
      </w:pPr>
      <w:r>
        <w:rPr>
          <w:sz w:val="24"/>
          <w:szCs w:val="24"/>
        </w:rPr>
      </w:r>
      <w:r>
        <w:rPr>
          <w:sz w:val="24"/>
          <w:szCs w:val="24"/>
        </w:rPr>
      </w:r>
      <w:r>
        <w:rPr>
          <w:sz w:val="24"/>
          <w:szCs w:val="24"/>
        </w:rPr>
      </w:r>
    </w:p>
    <w:p>
      <w:pPr>
        <w:pStyle w:val="1247"/>
        <w:ind w:left="119" w:right="147" w:firstLine="709"/>
        <w:jc w:val="right"/>
      </w:pPr>
      <w:r>
        <w:t xml:space="preserve">Таблица 1.11.1.3</w:t>
      </w:r>
      <w:r/>
    </w:p>
    <w:p>
      <w:pPr>
        <w:pStyle w:val="1247"/>
        <w:ind w:left="119" w:right="147" w:firstLine="23"/>
        <w:jc w:val="center"/>
      </w:pPr>
      <w:r>
        <w:t xml:space="preserve">Динамика утверждённых тарифов на тепловую энергию ФКУ ИК №7 УФСИН России по Курганской области</w:t>
      </w:r>
      <w:r/>
    </w:p>
    <w:p>
      <w:pPr>
        <w:pStyle w:val="1247"/>
        <w:ind w:left="119" w:right="147" w:firstLine="23"/>
        <w:jc w:val="center"/>
      </w:pPr>
      <w:r>
        <w:t xml:space="preserve">(Постановление Департамента государственного регулирования цен и тарифов Курганской области от 28.11.2023г. №53-6)</w:t>
      </w:r>
      <w:r/>
    </w:p>
    <w:tbl>
      <w:tblPr>
        <w:tblW w:w="0" w:type="auto"/>
        <w:tblInd w:w="134" w:type="dxa"/>
        <w:shd w:val="clear" w:color="auto" w:fill="ffffff"/>
        <w:tblLayout w:type="fixed"/>
        <w:tblCellMar>
          <w:left w:w="0" w:type="dxa"/>
          <w:right w:w="0" w:type="dxa"/>
        </w:tblCellMar>
        <w:tblLook w:val="04A0" w:firstRow="1" w:lastRow="0" w:firstColumn="1" w:lastColumn="0" w:noHBand="0" w:noVBand="1"/>
      </w:tblPr>
      <w:tblGrid>
        <w:gridCol w:w="625"/>
        <w:gridCol w:w="2919"/>
        <w:gridCol w:w="2093"/>
        <w:gridCol w:w="1167"/>
        <w:gridCol w:w="1418"/>
        <w:gridCol w:w="1417"/>
      </w:tblGrid>
      <w:tr>
        <w:tblPrEx/>
        <w:trPr/>
        <w:tc>
          <w:tcPr>
            <w:shd w:val="clear" w:color="auto" w:fill="auto"/>
            <w:tcBorders>
              <w:top w:val="single" w:color="000000" w:sz="6" w:space="0"/>
              <w:left w:val="single" w:color="000000" w:sz="6" w:space="0"/>
              <w:right w:val="single" w:color="000000" w:sz="6" w:space="0"/>
            </w:tcBorders>
            <w:tcMar>
              <w:left w:w="149" w:type="dxa"/>
              <w:top w:w="0" w:type="dxa"/>
              <w:right w:w="149" w:type="dxa"/>
              <w:bottom w:w="0" w:type="dxa"/>
            </w:tcMar>
            <w:tcW w:w="625" w:type="dxa"/>
            <w:vMerge w:val="restart"/>
            <w:textDirection w:val="lrTb"/>
            <w:noWrap w:val="false"/>
          </w:tcPr>
          <w:p>
            <w:pPr>
              <w:jc w:val="center"/>
              <w:widowControl/>
              <w:rPr>
                <w:sz w:val="20"/>
                <w:szCs w:val="20"/>
                <w:lang w:eastAsia="ru-RU"/>
              </w:rPr>
            </w:pPr>
            <w:r>
              <w:rPr>
                <w:sz w:val="20"/>
                <w:szCs w:val="20"/>
                <w:lang w:eastAsia="ru-RU"/>
              </w:rPr>
              <w:t xml:space="preserve">N п/п</w:t>
            </w:r>
            <w:r>
              <w:rPr>
                <w:sz w:val="20"/>
                <w:szCs w:val="20"/>
                <w:lang w:eastAsia="ru-RU"/>
              </w:rPr>
            </w:r>
            <w:r>
              <w:rPr>
                <w:sz w:val="20"/>
                <w:szCs w:val="20"/>
                <w:lang w:eastAsia="ru-RU"/>
              </w:rPr>
            </w:r>
          </w:p>
        </w:tc>
        <w:tc>
          <w:tcPr>
            <w:shd w:val="clear" w:color="auto" w:fill="auto"/>
            <w:tcBorders>
              <w:top w:val="single" w:color="000000" w:sz="6" w:space="0"/>
              <w:left w:val="single" w:color="000000" w:sz="6" w:space="0"/>
              <w:right w:val="single" w:color="000000" w:sz="6" w:space="0"/>
            </w:tcBorders>
            <w:tcMar>
              <w:left w:w="149" w:type="dxa"/>
              <w:top w:w="0" w:type="dxa"/>
              <w:right w:w="149" w:type="dxa"/>
              <w:bottom w:w="0" w:type="dxa"/>
            </w:tcMar>
            <w:tcW w:w="2919" w:type="dxa"/>
            <w:vMerge w:val="restart"/>
            <w:textDirection w:val="lrTb"/>
            <w:noWrap w:val="false"/>
          </w:tcPr>
          <w:p>
            <w:pPr>
              <w:jc w:val="center"/>
              <w:widowControl/>
              <w:rPr>
                <w:sz w:val="20"/>
                <w:szCs w:val="20"/>
                <w:lang w:eastAsia="ru-RU"/>
              </w:rPr>
            </w:pPr>
            <w:r>
              <w:rPr>
                <w:sz w:val="20"/>
                <w:szCs w:val="20"/>
                <w:lang w:eastAsia="ru-RU"/>
              </w:rPr>
              <w:t xml:space="preserve">Наименование регулируемой организации</w:t>
            </w:r>
            <w:r>
              <w:rPr>
                <w:sz w:val="20"/>
                <w:szCs w:val="20"/>
                <w:lang w:eastAsia="ru-RU"/>
              </w:rPr>
            </w:r>
            <w:r>
              <w:rPr>
                <w:sz w:val="20"/>
                <w:szCs w:val="20"/>
                <w:lang w:eastAsia="ru-RU"/>
              </w:rPr>
            </w:r>
          </w:p>
        </w:tc>
        <w:tc>
          <w:tcPr>
            <w:shd w:val="clear" w:color="auto" w:fill="auto"/>
            <w:tcBorders>
              <w:top w:val="single" w:color="000000" w:sz="6" w:space="0"/>
              <w:left w:val="single" w:color="000000" w:sz="6" w:space="0"/>
              <w:right w:val="single" w:color="000000" w:sz="6" w:space="0"/>
            </w:tcBorders>
            <w:tcMar>
              <w:left w:w="149" w:type="dxa"/>
              <w:top w:w="0" w:type="dxa"/>
              <w:right w:w="149" w:type="dxa"/>
              <w:bottom w:w="0" w:type="dxa"/>
            </w:tcMar>
            <w:tcW w:w="2093" w:type="dxa"/>
            <w:vMerge w:val="restart"/>
            <w:textDirection w:val="lrTb"/>
            <w:noWrap w:val="false"/>
          </w:tcPr>
          <w:p>
            <w:pPr>
              <w:jc w:val="center"/>
              <w:widowControl/>
              <w:rPr>
                <w:sz w:val="20"/>
                <w:szCs w:val="20"/>
                <w:lang w:eastAsia="ru-RU"/>
              </w:rPr>
            </w:pPr>
            <w:r>
              <w:rPr>
                <w:sz w:val="20"/>
                <w:szCs w:val="20"/>
                <w:lang w:eastAsia="ru-RU"/>
              </w:rPr>
              <w:t xml:space="preserve">Вид тарифа</w:t>
            </w:r>
            <w:r>
              <w:rPr>
                <w:sz w:val="20"/>
                <w:szCs w:val="20"/>
                <w:lang w:eastAsia="ru-RU"/>
              </w:rPr>
            </w:r>
            <w:r>
              <w:rPr>
                <w:sz w:val="20"/>
                <w:szCs w:val="20"/>
                <w:lang w:eastAsia="ru-RU"/>
              </w:rPr>
            </w:r>
          </w:p>
        </w:tc>
        <w:tc>
          <w:tcPr>
            <w:shd w:val="clear" w:color="auto" w:fill="auto"/>
            <w:tcBorders>
              <w:top w:val="single" w:color="000000" w:sz="6" w:space="0"/>
              <w:left w:val="single" w:color="000000" w:sz="6" w:space="0"/>
              <w:right w:val="single" w:color="000000" w:sz="6" w:space="0"/>
            </w:tcBorders>
            <w:tcMar>
              <w:left w:w="149" w:type="dxa"/>
              <w:top w:w="0" w:type="dxa"/>
              <w:right w:w="149" w:type="dxa"/>
              <w:bottom w:w="0" w:type="dxa"/>
            </w:tcMar>
            <w:tcW w:w="1167" w:type="dxa"/>
            <w:vMerge w:val="restart"/>
            <w:textDirection w:val="lrTb"/>
            <w:noWrap w:val="false"/>
          </w:tcPr>
          <w:p>
            <w:pPr>
              <w:jc w:val="center"/>
              <w:widowControl/>
              <w:rPr>
                <w:sz w:val="20"/>
                <w:szCs w:val="20"/>
                <w:lang w:eastAsia="ru-RU"/>
              </w:rPr>
            </w:pPr>
            <w:r>
              <w:rPr>
                <w:sz w:val="20"/>
                <w:szCs w:val="20"/>
                <w:lang w:eastAsia="ru-RU"/>
              </w:rPr>
              <w:t xml:space="preserve">Год</w:t>
            </w:r>
            <w:r>
              <w:rPr>
                <w:sz w:val="20"/>
                <w:szCs w:val="20"/>
                <w:lang w:eastAsia="ru-RU"/>
              </w:rPr>
            </w:r>
            <w:r>
              <w:rPr>
                <w:sz w:val="20"/>
                <w:szCs w:val="20"/>
                <w:lang w:eastAsia="ru-RU"/>
              </w:rPr>
            </w:r>
          </w:p>
        </w:tc>
        <w:tc>
          <w:tcPr>
            <w:gridSpan w:val="2"/>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2835" w:type="dxa"/>
            <w:textDirection w:val="lrTb"/>
            <w:noWrap w:val="false"/>
          </w:tcPr>
          <w:p>
            <w:pPr>
              <w:jc w:val="center"/>
              <w:widowControl/>
              <w:rPr>
                <w:sz w:val="20"/>
                <w:szCs w:val="20"/>
                <w:lang w:eastAsia="ru-RU"/>
              </w:rPr>
            </w:pPr>
            <w:r>
              <w:rPr>
                <w:sz w:val="20"/>
                <w:szCs w:val="20"/>
                <w:lang w:eastAsia="ru-RU"/>
              </w:rPr>
              <w:t xml:space="preserve">Вода</w:t>
            </w:r>
            <w:r>
              <w:rPr>
                <w:sz w:val="20"/>
                <w:szCs w:val="20"/>
                <w:lang w:eastAsia="ru-RU"/>
              </w:rPr>
            </w:r>
            <w:r>
              <w:rPr>
                <w:sz w:val="20"/>
                <w:szCs w:val="20"/>
                <w:lang w:eastAsia="ru-RU"/>
              </w:rPr>
            </w:r>
          </w:p>
        </w:tc>
      </w:tr>
      <w:tr>
        <w:tblPrEx/>
        <w:trPr/>
        <w:tc>
          <w:tcPr>
            <w:shd w:val="clear" w:color="auto" w:fill="auto"/>
            <w:tcBorders>
              <w:left w:val="single" w:color="000000" w:sz="6" w:space="0"/>
              <w:bottom w:val="none" w:color="000000" w:sz="4" w:space="0"/>
              <w:right w:val="single" w:color="000000" w:sz="6" w:space="0"/>
            </w:tcBorders>
            <w:tcMar>
              <w:left w:w="149" w:type="dxa"/>
              <w:top w:w="0" w:type="dxa"/>
              <w:right w:w="149" w:type="dxa"/>
              <w:bottom w:w="0" w:type="dxa"/>
            </w:tcMar>
            <w:tcW w:w="625"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bottom w:val="none" w:color="000000" w:sz="4" w:space="0"/>
              <w:right w:val="single" w:color="000000" w:sz="6" w:space="0"/>
            </w:tcBorders>
            <w:tcMar>
              <w:left w:w="149" w:type="dxa"/>
              <w:top w:w="0" w:type="dxa"/>
              <w:right w:w="149" w:type="dxa"/>
              <w:bottom w:w="0" w:type="dxa"/>
            </w:tcMar>
            <w:tcW w:w="2919"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bottom w:val="none" w:color="000000" w:sz="4" w:space="0"/>
              <w:right w:val="single" w:color="000000" w:sz="6" w:space="0"/>
            </w:tcBorders>
            <w:tcMar>
              <w:left w:w="149" w:type="dxa"/>
              <w:top w:w="0" w:type="dxa"/>
              <w:right w:w="149" w:type="dxa"/>
              <w:bottom w:w="0" w:type="dxa"/>
            </w:tcMar>
            <w:tcW w:w="2093"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bottom w:val="none" w:color="000000" w:sz="4" w:space="0"/>
              <w:right w:val="single" w:color="000000" w:sz="6" w:space="0"/>
            </w:tcBorders>
            <w:tcMar>
              <w:left w:w="149" w:type="dxa"/>
              <w:top w:w="0" w:type="dxa"/>
              <w:right w:w="149" w:type="dxa"/>
              <w:bottom w:w="0" w:type="dxa"/>
            </w:tcMar>
            <w:tcW w:w="1167"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18" w:type="dxa"/>
            <w:textDirection w:val="lrTb"/>
            <w:noWrap w:val="false"/>
          </w:tcPr>
          <w:p>
            <w:pPr>
              <w:jc w:val="center"/>
              <w:widowControl/>
              <w:rPr>
                <w:sz w:val="20"/>
                <w:szCs w:val="20"/>
                <w:lang w:eastAsia="ru-RU"/>
              </w:rPr>
            </w:pPr>
            <w:r>
              <w:rPr>
                <w:sz w:val="20"/>
                <w:szCs w:val="20"/>
                <w:lang w:eastAsia="ru-RU"/>
              </w:rPr>
              <w:t xml:space="preserve">с 1 января по 30 июня</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17" w:type="dxa"/>
            <w:textDirection w:val="lrTb"/>
            <w:noWrap w:val="false"/>
          </w:tcPr>
          <w:p>
            <w:pPr>
              <w:jc w:val="center"/>
              <w:widowControl/>
              <w:rPr>
                <w:sz w:val="20"/>
                <w:szCs w:val="20"/>
                <w:lang w:eastAsia="ru-RU"/>
              </w:rPr>
            </w:pPr>
            <w:r>
              <w:rPr>
                <w:sz w:val="20"/>
                <w:szCs w:val="20"/>
                <w:lang w:eastAsia="ru-RU"/>
              </w:rPr>
              <w:t xml:space="preserve">с 1 июля по 31 декабря</w:t>
            </w:r>
            <w:r>
              <w:rPr>
                <w:sz w:val="20"/>
                <w:szCs w:val="20"/>
                <w:lang w:eastAsia="ru-RU"/>
              </w:rPr>
            </w:r>
            <w:r>
              <w:rPr>
                <w:sz w:val="20"/>
                <w:szCs w:val="20"/>
                <w:lang w:eastAsia="ru-RU"/>
              </w:rPr>
            </w:r>
          </w:p>
        </w:tc>
      </w:tr>
      <w:tr>
        <w:tblPrEx/>
        <w:trPr/>
        <w:tc>
          <w:tcPr>
            <w:shd w:val="clear" w:color="auto" w:fill="auto"/>
            <w:tcBorders>
              <w:top w:val="single" w:color="000000" w:sz="6" w:space="0"/>
              <w:left w:val="single" w:color="000000" w:sz="6" w:space="0"/>
              <w:right w:val="single" w:color="000000" w:sz="6" w:space="0"/>
            </w:tcBorders>
            <w:tcMar>
              <w:left w:w="149" w:type="dxa"/>
              <w:top w:w="0" w:type="dxa"/>
              <w:right w:w="149" w:type="dxa"/>
              <w:bottom w:w="0" w:type="dxa"/>
            </w:tcMar>
            <w:tcW w:w="625" w:type="dxa"/>
            <w:vMerge w:val="restart"/>
            <w:textDirection w:val="lrTb"/>
            <w:noWrap w:val="false"/>
          </w:tcPr>
          <w:p>
            <w:pPr>
              <w:widowControl/>
              <w:rPr>
                <w:sz w:val="20"/>
                <w:szCs w:val="20"/>
                <w:lang w:eastAsia="ru-RU"/>
              </w:rPr>
            </w:pPr>
            <w:r>
              <w:rPr>
                <w:sz w:val="20"/>
                <w:szCs w:val="20"/>
                <w:lang w:eastAsia="ru-RU"/>
              </w:rPr>
              <w:t xml:space="preserve">1.</w:t>
            </w:r>
            <w:r>
              <w:rPr>
                <w:sz w:val="20"/>
                <w:szCs w:val="20"/>
                <w:lang w:eastAsia="ru-RU"/>
              </w:rPr>
            </w:r>
            <w:r>
              <w:rPr>
                <w:sz w:val="20"/>
                <w:szCs w:val="20"/>
                <w:lang w:eastAsia="ru-RU"/>
              </w:rPr>
            </w:r>
          </w:p>
        </w:tc>
        <w:tc>
          <w:tcPr>
            <w:shd w:val="clear" w:color="auto" w:fill="auto"/>
            <w:tcBorders>
              <w:top w:val="single" w:color="000000" w:sz="6" w:space="0"/>
              <w:left w:val="single" w:color="000000" w:sz="6" w:space="0"/>
              <w:right w:val="single" w:color="000000" w:sz="6" w:space="0"/>
            </w:tcBorders>
            <w:tcMar>
              <w:left w:w="149" w:type="dxa"/>
              <w:top w:w="0" w:type="dxa"/>
              <w:right w:w="149" w:type="dxa"/>
              <w:bottom w:w="0" w:type="dxa"/>
            </w:tcMar>
            <w:tcW w:w="2919" w:type="dxa"/>
            <w:vMerge w:val="restart"/>
            <w:textDirection w:val="lrTb"/>
            <w:noWrap w:val="false"/>
          </w:tcPr>
          <w:p>
            <w:pPr>
              <w:jc w:val="center"/>
              <w:widowControl/>
              <w:rPr>
                <w:sz w:val="20"/>
                <w:szCs w:val="20"/>
                <w:lang w:eastAsia="ru-RU"/>
              </w:rPr>
            </w:pPr>
            <w:r>
              <w:rPr>
                <w:sz w:val="20"/>
                <w:szCs w:val="20"/>
                <w:lang w:eastAsia="ru-RU"/>
              </w:rPr>
              <w:t xml:space="preserve">Исправительная колония N 7 Управления Федеральной службы исполнения наказаний по Курганской области</w:t>
            </w:r>
            <w:r>
              <w:rPr>
                <w:sz w:val="20"/>
                <w:szCs w:val="20"/>
                <w:lang w:eastAsia="ru-RU"/>
              </w:rPr>
            </w:r>
            <w:r>
              <w:rPr>
                <w:sz w:val="20"/>
                <w:szCs w:val="20"/>
                <w:lang w:eastAsia="ru-RU"/>
              </w:rPr>
            </w:r>
          </w:p>
        </w:tc>
        <w:tc>
          <w:tcPr>
            <w:gridSpan w:val="4"/>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6095" w:type="dxa"/>
            <w:textDirection w:val="lrTb"/>
            <w:noWrap w:val="false"/>
          </w:tcPr>
          <w:p>
            <w:pPr>
              <w:jc w:val="center"/>
              <w:widowControl/>
              <w:rPr>
                <w:sz w:val="20"/>
                <w:szCs w:val="20"/>
                <w:lang w:eastAsia="ru-RU"/>
              </w:rPr>
            </w:pPr>
            <w:r>
              <w:rPr>
                <w:sz w:val="20"/>
                <w:szCs w:val="20"/>
                <w:lang w:eastAsia="ru-RU"/>
              </w:rPr>
              <w:t xml:space="preserve">Для потребителей, в случае отсутствия дифференциации тарифов по схеме подключения</w:t>
            </w:r>
            <w:r>
              <w:rPr>
                <w:sz w:val="20"/>
                <w:szCs w:val="20"/>
                <w:lang w:eastAsia="ru-RU"/>
              </w:rPr>
            </w:r>
            <w:r>
              <w:rPr>
                <w:sz w:val="20"/>
                <w:szCs w:val="20"/>
                <w:lang w:eastAsia="ru-RU"/>
              </w:rPr>
            </w:r>
          </w:p>
        </w:tc>
      </w:tr>
      <w:tr>
        <w:tblPrEx/>
        <w:trPr>
          <w:trHeight w:val="230"/>
        </w:trPr>
        <w:tc>
          <w:tcPr>
            <w:shd w:val="clear" w:color="auto" w:fill="auto"/>
            <w:tcBorders>
              <w:left w:val="single" w:color="000000" w:sz="6" w:space="0"/>
              <w:right w:val="single" w:color="000000" w:sz="6" w:space="0"/>
            </w:tcBorders>
            <w:tcMar>
              <w:left w:w="149" w:type="dxa"/>
              <w:top w:w="0" w:type="dxa"/>
              <w:right w:w="149" w:type="dxa"/>
              <w:bottom w:w="0" w:type="dxa"/>
            </w:tcMar>
            <w:tcW w:w="625"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right w:val="single" w:color="000000" w:sz="6" w:space="0"/>
            </w:tcBorders>
            <w:tcMar>
              <w:left w:w="149" w:type="dxa"/>
              <w:top w:w="0" w:type="dxa"/>
              <w:right w:w="149" w:type="dxa"/>
              <w:bottom w:w="0" w:type="dxa"/>
            </w:tcMar>
            <w:tcW w:w="2919"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top w:val="single" w:color="000000" w:sz="6" w:space="0"/>
              <w:left w:val="single" w:color="000000" w:sz="6" w:space="0"/>
              <w:right w:val="single" w:color="000000" w:sz="6" w:space="0"/>
            </w:tcBorders>
            <w:tcMar>
              <w:left w:w="149" w:type="dxa"/>
              <w:top w:w="0" w:type="dxa"/>
              <w:right w:w="149" w:type="dxa"/>
              <w:bottom w:w="0" w:type="dxa"/>
            </w:tcMar>
            <w:tcW w:w="2093" w:type="dxa"/>
            <w:vMerge w:val="restart"/>
            <w:textDirection w:val="lrTb"/>
            <w:noWrap w:val="false"/>
          </w:tcPr>
          <w:p>
            <w:pPr>
              <w:jc w:val="center"/>
              <w:widowControl/>
              <w:rPr>
                <w:sz w:val="20"/>
                <w:szCs w:val="20"/>
                <w:lang w:eastAsia="ru-RU"/>
              </w:rPr>
            </w:pPr>
            <w:r>
              <w:rPr>
                <w:sz w:val="20"/>
                <w:szCs w:val="20"/>
                <w:lang w:eastAsia="ru-RU"/>
              </w:rPr>
              <w:t xml:space="preserve">одноставочный, руб./Гкал &lt;*&gt;</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167" w:type="dxa"/>
            <w:textDirection w:val="lrTb"/>
            <w:noWrap w:val="false"/>
          </w:tcPr>
          <w:p>
            <w:pPr>
              <w:jc w:val="center"/>
              <w:widowControl/>
              <w:rPr>
                <w:sz w:val="20"/>
                <w:szCs w:val="20"/>
                <w:lang w:eastAsia="ru-RU"/>
              </w:rPr>
            </w:pPr>
            <w:r>
              <w:rPr>
                <w:sz w:val="20"/>
                <w:szCs w:val="20"/>
                <w:lang w:eastAsia="ru-RU"/>
              </w:rPr>
              <w:t xml:space="preserve">2024</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18" w:type="dxa"/>
            <w:textDirection w:val="lrTb"/>
            <w:noWrap w:val="false"/>
          </w:tcPr>
          <w:p>
            <w:pPr>
              <w:jc w:val="center"/>
              <w:widowControl/>
              <w:rPr>
                <w:sz w:val="20"/>
                <w:szCs w:val="20"/>
                <w:lang w:eastAsia="ru-RU"/>
              </w:rPr>
            </w:pPr>
            <w:r>
              <w:rPr>
                <w:sz w:val="20"/>
                <w:szCs w:val="20"/>
                <w:lang w:eastAsia="ru-RU"/>
              </w:rPr>
              <w:t xml:space="preserve">2392,86</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17" w:type="dxa"/>
            <w:textDirection w:val="lrTb"/>
            <w:noWrap w:val="false"/>
          </w:tcPr>
          <w:p>
            <w:pPr>
              <w:jc w:val="center"/>
              <w:widowControl/>
              <w:rPr>
                <w:sz w:val="20"/>
                <w:szCs w:val="20"/>
                <w:lang w:eastAsia="ru-RU"/>
              </w:rPr>
            </w:pPr>
            <w:r>
              <w:rPr>
                <w:sz w:val="20"/>
                <w:szCs w:val="20"/>
                <w:lang w:eastAsia="ru-RU"/>
              </w:rPr>
              <w:t xml:space="preserve">2619,89</w:t>
            </w:r>
            <w:r>
              <w:rPr>
                <w:sz w:val="20"/>
                <w:szCs w:val="20"/>
                <w:lang w:eastAsia="ru-RU"/>
              </w:rPr>
            </w:r>
            <w:r>
              <w:rPr>
                <w:sz w:val="20"/>
                <w:szCs w:val="20"/>
                <w:lang w:eastAsia="ru-RU"/>
              </w:rPr>
            </w:r>
          </w:p>
        </w:tc>
      </w:tr>
      <w:tr>
        <w:tblPrEx/>
        <w:trPr/>
        <w:tc>
          <w:tcPr>
            <w:shd w:val="clear" w:color="auto" w:fill="auto"/>
            <w:tcBorders>
              <w:left w:val="single" w:color="000000" w:sz="6" w:space="0"/>
              <w:right w:val="single" w:color="000000" w:sz="6" w:space="0"/>
            </w:tcBorders>
            <w:tcMar>
              <w:left w:w="149" w:type="dxa"/>
              <w:top w:w="0" w:type="dxa"/>
              <w:right w:w="149" w:type="dxa"/>
              <w:bottom w:w="0" w:type="dxa"/>
            </w:tcMar>
            <w:tcW w:w="625"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right w:val="single" w:color="000000" w:sz="6" w:space="0"/>
            </w:tcBorders>
            <w:tcMar>
              <w:left w:w="149" w:type="dxa"/>
              <w:top w:w="0" w:type="dxa"/>
              <w:right w:w="149" w:type="dxa"/>
              <w:bottom w:w="0" w:type="dxa"/>
            </w:tcMar>
            <w:tcW w:w="2919"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right w:val="single" w:color="000000" w:sz="6" w:space="0"/>
            </w:tcBorders>
            <w:tcMar>
              <w:left w:w="149" w:type="dxa"/>
              <w:top w:w="0" w:type="dxa"/>
              <w:right w:w="149" w:type="dxa"/>
              <w:bottom w:w="0" w:type="dxa"/>
            </w:tcMar>
            <w:tcW w:w="2093"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167" w:type="dxa"/>
            <w:textDirection w:val="lrTb"/>
            <w:noWrap w:val="false"/>
          </w:tcPr>
          <w:p>
            <w:pPr>
              <w:jc w:val="center"/>
              <w:widowControl/>
              <w:rPr>
                <w:sz w:val="20"/>
                <w:szCs w:val="20"/>
                <w:lang w:eastAsia="ru-RU"/>
              </w:rPr>
            </w:pPr>
            <w:r>
              <w:rPr>
                <w:sz w:val="20"/>
                <w:szCs w:val="20"/>
                <w:lang w:eastAsia="ru-RU"/>
              </w:rPr>
              <w:t xml:space="preserve">2025</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18" w:type="dxa"/>
            <w:textDirection w:val="lrTb"/>
            <w:noWrap w:val="false"/>
          </w:tcPr>
          <w:p>
            <w:pPr>
              <w:jc w:val="center"/>
              <w:widowControl/>
              <w:rPr>
                <w:sz w:val="20"/>
                <w:szCs w:val="20"/>
                <w:lang w:eastAsia="ru-RU"/>
              </w:rPr>
            </w:pPr>
            <w:r>
              <w:rPr>
                <w:sz w:val="20"/>
                <w:szCs w:val="20"/>
                <w:lang w:eastAsia="ru-RU"/>
              </w:rPr>
              <w:t xml:space="preserve">2598,67</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17" w:type="dxa"/>
            <w:textDirection w:val="lrTb"/>
            <w:noWrap w:val="false"/>
          </w:tcPr>
          <w:p>
            <w:pPr>
              <w:jc w:val="center"/>
              <w:widowControl/>
              <w:rPr>
                <w:sz w:val="20"/>
                <w:szCs w:val="20"/>
                <w:lang w:eastAsia="ru-RU"/>
              </w:rPr>
            </w:pPr>
            <w:r>
              <w:rPr>
                <w:sz w:val="20"/>
                <w:szCs w:val="20"/>
                <w:lang w:eastAsia="ru-RU"/>
              </w:rPr>
              <w:t xml:space="preserve">2598,67</w:t>
            </w:r>
            <w:r>
              <w:rPr>
                <w:sz w:val="20"/>
                <w:szCs w:val="20"/>
                <w:lang w:eastAsia="ru-RU"/>
              </w:rPr>
            </w:r>
            <w:r>
              <w:rPr>
                <w:sz w:val="20"/>
                <w:szCs w:val="20"/>
                <w:lang w:eastAsia="ru-RU"/>
              </w:rPr>
            </w:r>
          </w:p>
        </w:tc>
      </w:tr>
      <w:tr>
        <w:tblPrEx/>
        <w:trPr/>
        <w:tc>
          <w:tcPr>
            <w:shd w:val="clear" w:color="auto" w:fill="auto"/>
            <w:tcBorders>
              <w:left w:val="single" w:color="000000" w:sz="6" w:space="0"/>
              <w:right w:val="single" w:color="000000" w:sz="6" w:space="0"/>
            </w:tcBorders>
            <w:tcMar>
              <w:left w:w="149" w:type="dxa"/>
              <w:top w:w="0" w:type="dxa"/>
              <w:right w:w="149" w:type="dxa"/>
              <w:bottom w:w="0" w:type="dxa"/>
            </w:tcMar>
            <w:tcW w:w="625"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right w:val="single" w:color="000000" w:sz="6" w:space="0"/>
            </w:tcBorders>
            <w:tcMar>
              <w:left w:w="149" w:type="dxa"/>
              <w:top w:w="0" w:type="dxa"/>
              <w:right w:w="149" w:type="dxa"/>
              <w:bottom w:w="0" w:type="dxa"/>
            </w:tcMar>
            <w:tcW w:w="2919"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right w:val="single" w:color="000000" w:sz="6" w:space="0"/>
            </w:tcBorders>
            <w:tcMar>
              <w:left w:w="149" w:type="dxa"/>
              <w:top w:w="0" w:type="dxa"/>
              <w:right w:w="149" w:type="dxa"/>
              <w:bottom w:w="0" w:type="dxa"/>
            </w:tcMar>
            <w:tcW w:w="2093"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167" w:type="dxa"/>
            <w:textDirection w:val="lrTb"/>
            <w:noWrap w:val="false"/>
          </w:tcPr>
          <w:p>
            <w:pPr>
              <w:jc w:val="center"/>
              <w:widowControl/>
              <w:rPr>
                <w:sz w:val="20"/>
                <w:szCs w:val="20"/>
                <w:lang w:eastAsia="ru-RU"/>
              </w:rPr>
            </w:pPr>
            <w:r>
              <w:rPr>
                <w:sz w:val="20"/>
                <w:szCs w:val="20"/>
                <w:lang w:eastAsia="ru-RU"/>
              </w:rPr>
              <w:t xml:space="preserve">2026</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18" w:type="dxa"/>
            <w:textDirection w:val="lrTb"/>
            <w:noWrap w:val="false"/>
          </w:tcPr>
          <w:p>
            <w:pPr>
              <w:jc w:val="center"/>
              <w:widowControl/>
              <w:rPr>
                <w:sz w:val="20"/>
                <w:szCs w:val="20"/>
                <w:lang w:eastAsia="ru-RU"/>
              </w:rPr>
            </w:pPr>
            <w:r>
              <w:rPr>
                <w:sz w:val="20"/>
                <w:szCs w:val="20"/>
                <w:lang w:eastAsia="ru-RU"/>
              </w:rPr>
              <w:t xml:space="preserve">2598,67</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17" w:type="dxa"/>
            <w:textDirection w:val="lrTb"/>
            <w:noWrap w:val="false"/>
          </w:tcPr>
          <w:p>
            <w:pPr>
              <w:jc w:val="center"/>
              <w:widowControl/>
              <w:rPr>
                <w:sz w:val="20"/>
                <w:szCs w:val="20"/>
                <w:lang w:eastAsia="ru-RU"/>
              </w:rPr>
            </w:pPr>
            <w:r>
              <w:rPr>
                <w:sz w:val="20"/>
                <w:szCs w:val="20"/>
                <w:lang w:eastAsia="ru-RU"/>
              </w:rPr>
              <w:t xml:space="preserve">2760,05</w:t>
            </w:r>
            <w:r>
              <w:rPr>
                <w:sz w:val="20"/>
                <w:szCs w:val="20"/>
                <w:lang w:eastAsia="ru-RU"/>
              </w:rPr>
            </w:r>
            <w:r>
              <w:rPr>
                <w:sz w:val="20"/>
                <w:szCs w:val="20"/>
                <w:lang w:eastAsia="ru-RU"/>
              </w:rPr>
            </w:r>
          </w:p>
        </w:tc>
      </w:tr>
      <w:tr>
        <w:tblPrEx/>
        <w:trPr/>
        <w:tc>
          <w:tcPr>
            <w:shd w:val="clear" w:color="auto" w:fill="auto"/>
            <w:tcBorders>
              <w:left w:val="single" w:color="000000" w:sz="6" w:space="0"/>
              <w:right w:val="single" w:color="000000" w:sz="6" w:space="0"/>
            </w:tcBorders>
            <w:tcMar>
              <w:left w:w="149" w:type="dxa"/>
              <w:top w:w="0" w:type="dxa"/>
              <w:right w:w="149" w:type="dxa"/>
              <w:bottom w:w="0" w:type="dxa"/>
            </w:tcMar>
            <w:tcW w:w="625"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right w:val="single" w:color="000000" w:sz="6" w:space="0"/>
            </w:tcBorders>
            <w:tcMar>
              <w:left w:w="149" w:type="dxa"/>
              <w:top w:w="0" w:type="dxa"/>
              <w:right w:w="149" w:type="dxa"/>
              <w:bottom w:w="0" w:type="dxa"/>
            </w:tcMar>
            <w:tcW w:w="2919"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right w:val="single" w:color="000000" w:sz="6" w:space="0"/>
            </w:tcBorders>
            <w:tcMar>
              <w:left w:w="149" w:type="dxa"/>
              <w:top w:w="0" w:type="dxa"/>
              <w:right w:w="149" w:type="dxa"/>
              <w:bottom w:w="0" w:type="dxa"/>
            </w:tcMar>
            <w:tcW w:w="2093"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167" w:type="dxa"/>
            <w:textDirection w:val="lrTb"/>
            <w:noWrap w:val="false"/>
          </w:tcPr>
          <w:p>
            <w:pPr>
              <w:jc w:val="center"/>
              <w:widowControl/>
              <w:rPr>
                <w:sz w:val="20"/>
                <w:szCs w:val="20"/>
                <w:lang w:eastAsia="ru-RU"/>
              </w:rPr>
            </w:pPr>
            <w:r>
              <w:rPr>
                <w:sz w:val="20"/>
                <w:szCs w:val="20"/>
                <w:lang w:eastAsia="ru-RU"/>
              </w:rPr>
              <w:t xml:space="preserve">2027</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18" w:type="dxa"/>
            <w:textDirection w:val="lrTb"/>
            <w:noWrap w:val="false"/>
          </w:tcPr>
          <w:p>
            <w:pPr>
              <w:jc w:val="center"/>
              <w:widowControl/>
              <w:rPr>
                <w:sz w:val="20"/>
                <w:szCs w:val="20"/>
                <w:lang w:eastAsia="ru-RU"/>
              </w:rPr>
            </w:pPr>
            <w:r>
              <w:rPr>
                <w:sz w:val="20"/>
                <w:szCs w:val="20"/>
                <w:lang w:eastAsia="ru-RU"/>
              </w:rPr>
              <w:t xml:space="preserve">2760,05</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17" w:type="dxa"/>
            <w:textDirection w:val="lrTb"/>
            <w:noWrap w:val="false"/>
          </w:tcPr>
          <w:p>
            <w:pPr>
              <w:jc w:val="center"/>
              <w:widowControl/>
              <w:rPr>
                <w:sz w:val="20"/>
                <w:szCs w:val="20"/>
                <w:lang w:eastAsia="ru-RU"/>
              </w:rPr>
            </w:pPr>
            <w:r>
              <w:rPr>
                <w:sz w:val="20"/>
                <w:szCs w:val="20"/>
                <w:lang w:eastAsia="ru-RU"/>
              </w:rPr>
              <w:t xml:space="preserve">2765,42</w:t>
            </w:r>
            <w:r>
              <w:rPr>
                <w:sz w:val="20"/>
                <w:szCs w:val="20"/>
                <w:lang w:eastAsia="ru-RU"/>
              </w:rPr>
            </w:r>
            <w:r>
              <w:rPr>
                <w:sz w:val="20"/>
                <w:szCs w:val="20"/>
                <w:lang w:eastAsia="ru-RU"/>
              </w:rPr>
            </w:r>
          </w:p>
        </w:tc>
      </w:tr>
      <w:tr>
        <w:tblPrEx/>
        <w:trPr/>
        <w:tc>
          <w:tcPr>
            <w:shd w:val="clear" w:color="auto" w:fill="auto"/>
            <w:tcBorders>
              <w:left w:val="single" w:color="000000" w:sz="6" w:space="0"/>
              <w:right w:val="single" w:color="000000" w:sz="6" w:space="0"/>
            </w:tcBorders>
            <w:tcMar>
              <w:left w:w="149" w:type="dxa"/>
              <w:top w:w="0" w:type="dxa"/>
              <w:right w:w="149" w:type="dxa"/>
              <w:bottom w:w="0" w:type="dxa"/>
            </w:tcMar>
            <w:tcW w:w="625"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right w:val="single" w:color="000000" w:sz="6" w:space="0"/>
            </w:tcBorders>
            <w:tcMar>
              <w:left w:w="149" w:type="dxa"/>
              <w:top w:w="0" w:type="dxa"/>
              <w:right w:w="149" w:type="dxa"/>
              <w:bottom w:w="0" w:type="dxa"/>
            </w:tcMar>
            <w:tcW w:w="2919"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bottom w:val="none" w:color="000000" w:sz="4" w:space="0"/>
              <w:right w:val="single" w:color="000000" w:sz="6" w:space="0"/>
            </w:tcBorders>
            <w:tcMar>
              <w:left w:w="149" w:type="dxa"/>
              <w:top w:w="0" w:type="dxa"/>
              <w:right w:w="149" w:type="dxa"/>
              <w:bottom w:w="0" w:type="dxa"/>
            </w:tcMar>
            <w:tcW w:w="2093"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167" w:type="dxa"/>
            <w:textDirection w:val="lrTb"/>
            <w:noWrap w:val="false"/>
          </w:tcPr>
          <w:p>
            <w:pPr>
              <w:jc w:val="center"/>
              <w:widowControl/>
              <w:rPr>
                <w:sz w:val="20"/>
                <w:szCs w:val="20"/>
                <w:lang w:eastAsia="ru-RU"/>
              </w:rPr>
            </w:pPr>
            <w:r>
              <w:rPr>
                <w:sz w:val="20"/>
                <w:szCs w:val="20"/>
                <w:lang w:eastAsia="ru-RU"/>
              </w:rPr>
              <w:t xml:space="preserve">2028</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18" w:type="dxa"/>
            <w:textDirection w:val="lrTb"/>
            <w:noWrap w:val="false"/>
          </w:tcPr>
          <w:p>
            <w:pPr>
              <w:jc w:val="center"/>
              <w:widowControl/>
              <w:rPr>
                <w:sz w:val="20"/>
                <w:szCs w:val="20"/>
                <w:lang w:eastAsia="ru-RU"/>
              </w:rPr>
            </w:pPr>
            <w:r>
              <w:rPr>
                <w:sz w:val="20"/>
                <w:szCs w:val="20"/>
                <w:lang w:eastAsia="ru-RU"/>
              </w:rPr>
              <w:t xml:space="preserve">2765,42</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17" w:type="dxa"/>
            <w:textDirection w:val="lrTb"/>
            <w:noWrap w:val="false"/>
          </w:tcPr>
          <w:p>
            <w:pPr>
              <w:jc w:val="center"/>
              <w:widowControl/>
              <w:rPr>
                <w:sz w:val="20"/>
                <w:szCs w:val="20"/>
                <w:lang w:eastAsia="ru-RU"/>
              </w:rPr>
            </w:pPr>
            <w:r>
              <w:rPr>
                <w:sz w:val="20"/>
                <w:szCs w:val="20"/>
                <w:lang w:eastAsia="ru-RU"/>
              </w:rPr>
              <w:t xml:space="preserve">2932,34</w:t>
            </w:r>
            <w:r>
              <w:rPr>
                <w:sz w:val="20"/>
                <w:szCs w:val="20"/>
                <w:lang w:eastAsia="ru-RU"/>
              </w:rPr>
            </w:r>
            <w:r>
              <w:rPr>
                <w:sz w:val="20"/>
                <w:szCs w:val="20"/>
                <w:lang w:eastAsia="ru-RU"/>
              </w:rPr>
            </w:r>
          </w:p>
        </w:tc>
      </w:tr>
      <w:tr>
        <w:tblPrEx/>
        <w:trPr/>
        <w:tc>
          <w:tcPr>
            <w:shd w:val="clear" w:color="auto" w:fill="auto"/>
            <w:tcBorders>
              <w:left w:val="single" w:color="000000" w:sz="6" w:space="0"/>
              <w:right w:val="single" w:color="000000" w:sz="6" w:space="0"/>
            </w:tcBorders>
            <w:tcMar>
              <w:left w:w="149" w:type="dxa"/>
              <w:top w:w="0" w:type="dxa"/>
              <w:right w:w="149" w:type="dxa"/>
              <w:bottom w:w="0" w:type="dxa"/>
            </w:tcMar>
            <w:tcW w:w="625"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right w:val="single" w:color="000000" w:sz="6" w:space="0"/>
            </w:tcBorders>
            <w:tcMar>
              <w:left w:w="149" w:type="dxa"/>
              <w:top w:w="0" w:type="dxa"/>
              <w:right w:w="149" w:type="dxa"/>
              <w:bottom w:w="0" w:type="dxa"/>
            </w:tcMar>
            <w:tcW w:w="2919"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gridSpan w:val="4"/>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6095" w:type="dxa"/>
            <w:textDirection w:val="lrTb"/>
            <w:noWrap w:val="false"/>
          </w:tcPr>
          <w:p>
            <w:pPr>
              <w:jc w:val="center"/>
              <w:widowControl/>
              <w:rPr>
                <w:sz w:val="20"/>
                <w:szCs w:val="20"/>
                <w:lang w:eastAsia="ru-RU"/>
              </w:rPr>
            </w:pPr>
            <w:r>
              <w:rPr>
                <w:sz w:val="20"/>
                <w:szCs w:val="20"/>
                <w:lang w:eastAsia="ru-RU"/>
              </w:rPr>
              <w:t xml:space="preserve">Население &lt;**&gt;</w:t>
            </w:r>
            <w:r>
              <w:rPr>
                <w:sz w:val="20"/>
                <w:szCs w:val="20"/>
                <w:lang w:eastAsia="ru-RU"/>
              </w:rPr>
            </w:r>
            <w:r>
              <w:rPr>
                <w:sz w:val="20"/>
                <w:szCs w:val="20"/>
                <w:lang w:eastAsia="ru-RU"/>
              </w:rPr>
            </w:r>
          </w:p>
        </w:tc>
      </w:tr>
      <w:tr>
        <w:tblPrEx/>
        <w:trPr>
          <w:trHeight w:val="230"/>
        </w:trPr>
        <w:tc>
          <w:tcPr>
            <w:shd w:val="clear" w:color="auto" w:fill="auto"/>
            <w:tcBorders>
              <w:left w:val="single" w:color="000000" w:sz="6" w:space="0"/>
              <w:right w:val="single" w:color="000000" w:sz="6" w:space="0"/>
            </w:tcBorders>
            <w:tcMar>
              <w:left w:w="149" w:type="dxa"/>
              <w:top w:w="0" w:type="dxa"/>
              <w:right w:w="149" w:type="dxa"/>
              <w:bottom w:w="0" w:type="dxa"/>
            </w:tcMar>
            <w:tcW w:w="625"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right w:val="single" w:color="000000" w:sz="6" w:space="0"/>
            </w:tcBorders>
            <w:tcMar>
              <w:left w:w="149" w:type="dxa"/>
              <w:top w:w="0" w:type="dxa"/>
              <w:right w:w="149" w:type="dxa"/>
              <w:bottom w:w="0" w:type="dxa"/>
            </w:tcMar>
            <w:tcW w:w="2919"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top w:val="single" w:color="000000" w:sz="6" w:space="0"/>
              <w:left w:val="single" w:color="000000" w:sz="6" w:space="0"/>
              <w:right w:val="single" w:color="000000" w:sz="6" w:space="0"/>
            </w:tcBorders>
            <w:tcMar>
              <w:left w:w="149" w:type="dxa"/>
              <w:top w:w="0" w:type="dxa"/>
              <w:right w:w="149" w:type="dxa"/>
              <w:bottom w:w="0" w:type="dxa"/>
            </w:tcMar>
            <w:tcW w:w="2093" w:type="dxa"/>
            <w:vMerge w:val="restart"/>
            <w:textDirection w:val="lrTb"/>
            <w:noWrap w:val="false"/>
          </w:tcPr>
          <w:p>
            <w:pPr>
              <w:jc w:val="center"/>
              <w:widowControl/>
              <w:rPr>
                <w:sz w:val="20"/>
                <w:szCs w:val="20"/>
                <w:lang w:eastAsia="ru-RU"/>
              </w:rPr>
            </w:pPr>
            <w:r>
              <w:rPr>
                <w:sz w:val="20"/>
                <w:szCs w:val="20"/>
                <w:lang w:eastAsia="ru-RU"/>
              </w:rPr>
              <w:t xml:space="preserve">одноставочный, руб./Гкал &lt;*&gt;</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167" w:type="dxa"/>
            <w:textDirection w:val="lrTb"/>
            <w:noWrap w:val="false"/>
          </w:tcPr>
          <w:p>
            <w:pPr>
              <w:jc w:val="center"/>
              <w:widowControl/>
              <w:rPr>
                <w:sz w:val="20"/>
                <w:szCs w:val="20"/>
                <w:lang w:eastAsia="ru-RU"/>
              </w:rPr>
            </w:pPr>
            <w:r>
              <w:rPr>
                <w:sz w:val="20"/>
                <w:szCs w:val="20"/>
                <w:lang w:eastAsia="ru-RU"/>
              </w:rPr>
              <w:t xml:space="preserve">2024</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18" w:type="dxa"/>
            <w:textDirection w:val="lrTb"/>
            <w:noWrap w:val="false"/>
          </w:tcPr>
          <w:p>
            <w:pPr>
              <w:jc w:val="center"/>
              <w:widowControl/>
              <w:rPr>
                <w:sz w:val="20"/>
                <w:szCs w:val="20"/>
                <w:lang w:eastAsia="ru-RU"/>
              </w:rPr>
            </w:pPr>
            <w:r>
              <w:rPr>
                <w:sz w:val="20"/>
                <w:szCs w:val="20"/>
                <w:lang w:eastAsia="ru-RU"/>
              </w:rPr>
              <w:t xml:space="preserve">2392,86</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17" w:type="dxa"/>
            <w:textDirection w:val="lrTb"/>
            <w:noWrap w:val="false"/>
          </w:tcPr>
          <w:p>
            <w:pPr>
              <w:jc w:val="center"/>
              <w:widowControl/>
              <w:rPr>
                <w:sz w:val="20"/>
                <w:szCs w:val="20"/>
                <w:lang w:eastAsia="ru-RU"/>
              </w:rPr>
            </w:pPr>
            <w:r>
              <w:rPr>
                <w:sz w:val="20"/>
                <w:szCs w:val="20"/>
                <w:lang w:eastAsia="ru-RU"/>
              </w:rPr>
              <w:t xml:space="preserve">2619,89</w:t>
            </w:r>
            <w:r>
              <w:rPr>
                <w:sz w:val="20"/>
                <w:szCs w:val="20"/>
                <w:lang w:eastAsia="ru-RU"/>
              </w:rPr>
            </w:r>
            <w:r>
              <w:rPr>
                <w:sz w:val="20"/>
                <w:szCs w:val="20"/>
                <w:lang w:eastAsia="ru-RU"/>
              </w:rPr>
            </w:r>
          </w:p>
        </w:tc>
      </w:tr>
      <w:tr>
        <w:tblPrEx/>
        <w:trPr/>
        <w:tc>
          <w:tcPr>
            <w:shd w:val="clear" w:color="auto" w:fill="auto"/>
            <w:tcBorders>
              <w:left w:val="single" w:color="000000" w:sz="6" w:space="0"/>
              <w:right w:val="single" w:color="000000" w:sz="6" w:space="0"/>
            </w:tcBorders>
            <w:tcMar>
              <w:left w:w="149" w:type="dxa"/>
              <w:top w:w="0" w:type="dxa"/>
              <w:right w:w="149" w:type="dxa"/>
              <w:bottom w:w="0" w:type="dxa"/>
            </w:tcMar>
            <w:tcW w:w="625"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right w:val="single" w:color="000000" w:sz="6" w:space="0"/>
            </w:tcBorders>
            <w:tcMar>
              <w:left w:w="149" w:type="dxa"/>
              <w:top w:w="0" w:type="dxa"/>
              <w:right w:w="149" w:type="dxa"/>
              <w:bottom w:w="0" w:type="dxa"/>
            </w:tcMar>
            <w:tcW w:w="2919"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right w:val="single" w:color="000000" w:sz="6" w:space="0"/>
            </w:tcBorders>
            <w:tcMar>
              <w:left w:w="149" w:type="dxa"/>
              <w:top w:w="0" w:type="dxa"/>
              <w:right w:w="149" w:type="dxa"/>
              <w:bottom w:w="0" w:type="dxa"/>
            </w:tcMar>
            <w:tcW w:w="2093"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167" w:type="dxa"/>
            <w:textDirection w:val="lrTb"/>
            <w:noWrap w:val="false"/>
          </w:tcPr>
          <w:p>
            <w:pPr>
              <w:jc w:val="center"/>
              <w:widowControl/>
              <w:rPr>
                <w:sz w:val="20"/>
                <w:szCs w:val="20"/>
                <w:lang w:eastAsia="ru-RU"/>
              </w:rPr>
            </w:pPr>
            <w:r>
              <w:rPr>
                <w:sz w:val="20"/>
                <w:szCs w:val="20"/>
                <w:lang w:eastAsia="ru-RU"/>
              </w:rPr>
              <w:t xml:space="preserve">2025</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18" w:type="dxa"/>
            <w:textDirection w:val="lrTb"/>
            <w:noWrap w:val="false"/>
          </w:tcPr>
          <w:p>
            <w:pPr>
              <w:jc w:val="center"/>
              <w:widowControl/>
              <w:rPr>
                <w:sz w:val="20"/>
                <w:szCs w:val="20"/>
                <w:lang w:eastAsia="ru-RU"/>
              </w:rPr>
            </w:pPr>
            <w:r>
              <w:rPr>
                <w:sz w:val="20"/>
                <w:szCs w:val="20"/>
                <w:lang w:eastAsia="ru-RU"/>
              </w:rPr>
              <w:t xml:space="preserve">2598,67</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17" w:type="dxa"/>
            <w:textDirection w:val="lrTb"/>
            <w:noWrap w:val="false"/>
          </w:tcPr>
          <w:p>
            <w:pPr>
              <w:jc w:val="center"/>
              <w:widowControl/>
              <w:rPr>
                <w:sz w:val="20"/>
                <w:szCs w:val="20"/>
                <w:lang w:eastAsia="ru-RU"/>
              </w:rPr>
            </w:pPr>
            <w:r>
              <w:rPr>
                <w:sz w:val="20"/>
                <w:szCs w:val="20"/>
                <w:lang w:eastAsia="ru-RU"/>
              </w:rPr>
              <w:t xml:space="preserve">2598,67</w:t>
            </w:r>
            <w:r>
              <w:rPr>
                <w:sz w:val="20"/>
                <w:szCs w:val="20"/>
                <w:lang w:eastAsia="ru-RU"/>
              </w:rPr>
            </w:r>
            <w:r>
              <w:rPr>
                <w:sz w:val="20"/>
                <w:szCs w:val="20"/>
                <w:lang w:eastAsia="ru-RU"/>
              </w:rPr>
            </w:r>
          </w:p>
        </w:tc>
      </w:tr>
      <w:tr>
        <w:tblPrEx/>
        <w:trPr/>
        <w:tc>
          <w:tcPr>
            <w:shd w:val="clear" w:color="auto" w:fill="auto"/>
            <w:tcBorders>
              <w:left w:val="single" w:color="000000" w:sz="6" w:space="0"/>
              <w:right w:val="single" w:color="000000" w:sz="6" w:space="0"/>
            </w:tcBorders>
            <w:tcMar>
              <w:left w:w="149" w:type="dxa"/>
              <w:top w:w="0" w:type="dxa"/>
              <w:right w:w="149" w:type="dxa"/>
              <w:bottom w:w="0" w:type="dxa"/>
            </w:tcMar>
            <w:tcW w:w="625"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right w:val="single" w:color="000000" w:sz="6" w:space="0"/>
            </w:tcBorders>
            <w:tcMar>
              <w:left w:w="149" w:type="dxa"/>
              <w:top w:w="0" w:type="dxa"/>
              <w:right w:w="149" w:type="dxa"/>
              <w:bottom w:w="0" w:type="dxa"/>
            </w:tcMar>
            <w:tcW w:w="2919"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right w:val="single" w:color="000000" w:sz="6" w:space="0"/>
            </w:tcBorders>
            <w:tcMar>
              <w:left w:w="149" w:type="dxa"/>
              <w:top w:w="0" w:type="dxa"/>
              <w:right w:w="149" w:type="dxa"/>
              <w:bottom w:w="0" w:type="dxa"/>
            </w:tcMar>
            <w:tcW w:w="2093"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167" w:type="dxa"/>
            <w:textDirection w:val="lrTb"/>
            <w:noWrap w:val="false"/>
          </w:tcPr>
          <w:p>
            <w:pPr>
              <w:jc w:val="center"/>
              <w:widowControl/>
              <w:rPr>
                <w:sz w:val="20"/>
                <w:szCs w:val="20"/>
                <w:lang w:eastAsia="ru-RU"/>
              </w:rPr>
            </w:pPr>
            <w:r>
              <w:rPr>
                <w:sz w:val="20"/>
                <w:szCs w:val="20"/>
                <w:lang w:eastAsia="ru-RU"/>
              </w:rPr>
              <w:t xml:space="preserve">2026</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18" w:type="dxa"/>
            <w:textDirection w:val="lrTb"/>
            <w:noWrap w:val="false"/>
          </w:tcPr>
          <w:p>
            <w:pPr>
              <w:jc w:val="center"/>
              <w:widowControl/>
              <w:rPr>
                <w:sz w:val="20"/>
                <w:szCs w:val="20"/>
                <w:lang w:eastAsia="ru-RU"/>
              </w:rPr>
            </w:pPr>
            <w:r>
              <w:rPr>
                <w:sz w:val="20"/>
                <w:szCs w:val="20"/>
                <w:lang w:eastAsia="ru-RU"/>
              </w:rPr>
              <w:t xml:space="preserve">2598,67</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17" w:type="dxa"/>
            <w:textDirection w:val="lrTb"/>
            <w:noWrap w:val="false"/>
          </w:tcPr>
          <w:p>
            <w:pPr>
              <w:jc w:val="center"/>
              <w:widowControl/>
              <w:rPr>
                <w:sz w:val="20"/>
                <w:szCs w:val="20"/>
                <w:lang w:eastAsia="ru-RU"/>
              </w:rPr>
            </w:pPr>
            <w:r>
              <w:rPr>
                <w:sz w:val="20"/>
                <w:szCs w:val="20"/>
                <w:lang w:eastAsia="ru-RU"/>
              </w:rPr>
              <w:t xml:space="preserve">2760,05</w:t>
            </w:r>
            <w:r>
              <w:rPr>
                <w:sz w:val="20"/>
                <w:szCs w:val="20"/>
                <w:lang w:eastAsia="ru-RU"/>
              </w:rPr>
            </w:r>
            <w:r>
              <w:rPr>
                <w:sz w:val="20"/>
                <w:szCs w:val="20"/>
                <w:lang w:eastAsia="ru-RU"/>
              </w:rPr>
            </w:r>
          </w:p>
        </w:tc>
      </w:tr>
      <w:tr>
        <w:tblPrEx/>
        <w:trPr/>
        <w:tc>
          <w:tcPr>
            <w:shd w:val="clear" w:color="auto" w:fill="auto"/>
            <w:tcBorders>
              <w:left w:val="single" w:color="000000" w:sz="6" w:space="0"/>
              <w:right w:val="single" w:color="000000" w:sz="6" w:space="0"/>
            </w:tcBorders>
            <w:tcMar>
              <w:left w:w="149" w:type="dxa"/>
              <w:top w:w="0" w:type="dxa"/>
              <w:right w:w="149" w:type="dxa"/>
              <w:bottom w:w="0" w:type="dxa"/>
            </w:tcMar>
            <w:tcW w:w="625"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right w:val="single" w:color="000000" w:sz="6" w:space="0"/>
            </w:tcBorders>
            <w:tcMar>
              <w:left w:w="149" w:type="dxa"/>
              <w:top w:w="0" w:type="dxa"/>
              <w:right w:w="149" w:type="dxa"/>
              <w:bottom w:w="0" w:type="dxa"/>
            </w:tcMar>
            <w:tcW w:w="2919"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right w:val="single" w:color="000000" w:sz="6" w:space="0"/>
            </w:tcBorders>
            <w:tcMar>
              <w:left w:w="149" w:type="dxa"/>
              <w:top w:w="0" w:type="dxa"/>
              <w:right w:w="149" w:type="dxa"/>
              <w:bottom w:w="0" w:type="dxa"/>
            </w:tcMar>
            <w:tcW w:w="2093"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167" w:type="dxa"/>
            <w:textDirection w:val="lrTb"/>
            <w:noWrap w:val="false"/>
          </w:tcPr>
          <w:p>
            <w:pPr>
              <w:jc w:val="center"/>
              <w:widowControl/>
              <w:rPr>
                <w:sz w:val="20"/>
                <w:szCs w:val="20"/>
                <w:lang w:eastAsia="ru-RU"/>
              </w:rPr>
            </w:pPr>
            <w:r>
              <w:rPr>
                <w:sz w:val="20"/>
                <w:szCs w:val="20"/>
                <w:lang w:eastAsia="ru-RU"/>
              </w:rPr>
              <w:t xml:space="preserve">2027</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18" w:type="dxa"/>
            <w:textDirection w:val="lrTb"/>
            <w:noWrap w:val="false"/>
          </w:tcPr>
          <w:p>
            <w:pPr>
              <w:jc w:val="center"/>
              <w:widowControl/>
              <w:rPr>
                <w:sz w:val="20"/>
                <w:szCs w:val="20"/>
                <w:lang w:eastAsia="ru-RU"/>
              </w:rPr>
            </w:pPr>
            <w:r>
              <w:rPr>
                <w:sz w:val="20"/>
                <w:szCs w:val="20"/>
                <w:lang w:eastAsia="ru-RU"/>
              </w:rPr>
              <w:t xml:space="preserve">2760,05</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17" w:type="dxa"/>
            <w:textDirection w:val="lrTb"/>
            <w:noWrap w:val="false"/>
          </w:tcPr>
          <w:p>
            <w:pPr>
              <w:jc w:val="center"/>
              <w:widowControl/>
              <w:rPr>
                <w:sz w:val="20"/>
                <w:szCs w:val="20"/>
                <w:lang w:eastAsia="ru-RU"/>
              </w:rPr>
            </w:pPr>
            <w:r>
              <w:rPr>
                <w:sz w:val="20"/>
                <w:szCs w:val="20"/>
                <w:lang w:eastAsia="ru-RU"/>
              </w:rPr>
              <w:t xml:space="preserve">2765,42</w:t>
            </w:r>
            <w:r>
              <w:rPr>
                <w:sz w:val="20"/>
                <w:szCs w:val="20"/>
                <w:lang w:eastAsia="ru-RU"/>
              </w:rPr>
            </w:r>
            <w:r>
              <w:rPr>
                <w:sz w:val="20"/>
                <w:szCs w:val="20"/>
                <w:lang w:eastAsia="ru-RU"/>
              </w:rPr>
            </w:r>
          </w:p>
        </w:tc>
      </w:tr>
      <w:tr>
        <w:tblPrEx/>
        <w:trPr/>
        <w:tc>
          <w:tcPr>
            <w:shd w:val="clear" w:color="auto" w:fill="auto"/>
            <w:tcBorders>
              <w:left w:val="single" w:color="000000" w:sz="6" w:space="0"/>
              <w:bottom w:val="single" w:color="000000" w:sz="6" w:space="0"/>
              <w:right w:val="single" w:color="000000" w:sz="6" w:space="0"/>
            </w:tcBorders>
            <w:tcMar>
              <w:left w:w="149" w:type="dxa"/>
              <w:top w:w="0" w:type="dxa"/>
              <w:right w:w="149" w:type="dxa"/>
              <w:bottom w:w="0" w:type="dxa"/>
            </w:tcMar>
            <w:tcW w:w="625"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bottom w:val="single" w:color="000000" w:sz="6" w:space="0"/>
              <w:right w:val="single" w:color="000000" w:sz="6" w:space="0"/>
            </w:tcBorders>
            <w:tcMar>
              <w:left w:w="149" w:type="dxa"/>
              <w:top w:w="0" w:type="dxa"/>
              <w:right w:w="149" w:type="dxa"/>
              <w:bottom w:w="0" w:type="dxa"/>
            </w:tcMar>
            <w:tcW w:w="2919"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bottom w:val="single" w:color="000000" w:sz="6" w:space="0"/>
              <w:right w:val="single" w:color="000000" w:sz="6" w:space="0"/>
            </w:tcBorders>
            <w:tcMar>
              <w:left w:w="149" w:type="dxa"/>
              <w:top w:w="0" w:type="dxa"/>
              <w:right w:w="149" w:type="dxa"/>
              <w:bottom w:w="0" w:type="dxa"/>
            </w:tcMar>
            <w:tcW w:w="2093"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167" w:type="dxa"/>
            <w:textDirection w:val="lrTb"/>
            <w:noWrap w:val="false"/>
          </w:tcPr>
          <w:p>
            <w:pPr>
              <w:jc w:val="center"/>
              <w:widowControl/>
              <w:rPr>
                <w:sz w:val="20"/>
                <w:szCs w:val="20"/>
                <w:lang w:eastAsia="ru-RU"/>
              </w:rPr>
            </w:pPr>
            <w:r>
              <w:rPr>
                <w:sz w:val="20"/>
                <w:szCs w:val="20"/>
                <w:lang w:eastAsia="ru-RU"/>
              </w:rPr>
              <w:t xml:space="preserve">2028</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18" w:type="dxa"/>
            <w:textDirection w:val="lrTb"/>
            <w:noWrap w:val="false"/>
          </w:tcPr>
          <w:p>
            <w:pPr>
              <w:jc w:val="center"/>
              <w:widowControl/>
              <w:rPr>
                <w:sz w:val="20"/>
                <w:szCs w:val="20"/>
                <w:lang w:eastAsia="ru-RU"/>
              </w:rPr>
            </w:pPr>
            <w:r>
              <w:rPr>
                <w:sz w:val="20"/>
                <w:szCs w:val="20"/>
                <w:lang w:eastAsia="ru-RU"/>
              </w:rPr>
              <w:t xml:space="preserve">2765,42</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17" w:type="dxa"/>
            <w:textDirection w:val="lrTb"/>
            <w:noWrap w:val="false"/>
          </w:tcPr>
          <w:p>
            <w:pPr>
              <w:jc w:val="center"/>
              <w:widowControl/>
              <w:rPr>
                <w:sz w:val="20"/>
                <w:szCs w:val="20"/>
                <w:lang w:eastAsia="ru-RU"/>
              </w:rPr>
            </w:pPr>
            <w:r>
              <w:rPr>
                <w:sz w:val="20"/>
                <w:szCs w:val="20"/>
                <w:lang w:eastAsia="ru-RU"/>
              </w:rPr>
              <w:t xml:space="preserve">2932,34</w:t>
            </w:r>
            <w:r>
              <w:rPr>
                <w:sz w:val="20"/>
                <w:szCs w:val="20"/>
                <w:lang w:eastAsia="ru-RU"/>
              </w:rPr>
            </w:r>
            <w:r>
              <w:rPr>
                <w:sz w:val="20"/>
                <w:szCs w:val="20"/>
                <w:lang w:eastAsia="ru-RU"/>
              </w:rPr>
            </w:r>
          </w:p>
        </w:tc>
      </w:tr>
    </w:tbl>
    <w:p>
      <w:pPr>
        <w:rPr>
          <w:sz w:val="20"/>
          <w:szCs w:val="20"/>
        </w:rPr>
      </w:pPr>
      <w:r>
        <w:rPr>
          <w:sz w:val="20"/>
          <w:szCs w:val="20"/>
        </w:rPr>
        <w:t xml:space="preserve">Примечания:</w:t>
      </w:r>
      <w:r>
        <w:rPr>
          <w:sz w:val="20"/>
          <w:szCs w:val="20"/>
        </w:rPr>
      </w:r>
      <w:r>
        <w:rPr>
          <w:sz w:val="20"/>
          <w:szCs w:val="20"/>
        </w:rPr>
      </w:r>
    </w:p>
    <w:p>
      <w:pPr>
        <w:rPr>
          <w:sz w:val="20"/>
          <w:szCs w:val="20"/>
        </w:rPr>
      </w:pPr>
      <w:r>
        <w:rPr>
          <w:sz w:val="20"/>
          <w:szCs w:val="20"/>
        </w:rPr>
        <w:t xml:space="preserve">* Учреждение освобождено от уплаты НДС в соответствии со ст. 145 Налогового кодекса Российской Федерации.</w:t>
      </w:r>
      <w:r>
        <w:rPr>
          <w:sz w:val="20"/>
          <w:szCs w:val="20"/>
        </w:rPr>
      </w:r>
      <w:r>
        <w:rPr>
          <w:sz w:val="20"/>
          <w:szCs w:val="20"/>
        </w:rPr>
      </w:r>
    </w:p>
    <w:p>
      <w:pPr>
        <w:rPr>
          <w:sz w:val="20"/>
          <w:szCs w:val="20"/>
        </w:rPr>
      </w:pPr>
      <w:r>
        <w:rPr>
          <w:sz w:val="20"/>
          <w:szCs w:val="20"/>
        </w:rPr>
        <w:t xml:space="preserve">** Выделяется в целях реализации пункта 6 статьи 168 Налогового кодекса Российской Федерации (часть вторая).</w:t>
      </w:r>
      <w:r>
        <w:rPr>
          <w:sz w:val="20"/>
          <w:szCs w:val="20"/>
        </w:rPr>
      </w:r>
      <w:r>
        <w:rPr>
          <w:sz w:val="20"/>
          <w:szCs w:val="20"/>
        </w:rPr>
      </w:r>
    </w:p>
    <w:p>
      <w:pPr>
        <w:rPr>
          <w:sz w:val="20"/>
          <w:szCs w:val="20"/>
        </w:rPr>
      </w:pPr>
      <w:r>
        <w:rPr>
          <w:sz w:val="20"/>
          <w:szCs w:val="20"/>
        </w:rPr>
      </w:r>
      <w:r>
        <w:rPr>
          <w:sz w:val="20"/>
          <w:szCs w:val="20"/>
        </w:rPr>
      </w:r>
      <w:r>
        <w:rPr>
          <w:sz w:val="20"/>
          <w:szCs w:val="20"/>
        </w:rPr>
      </w:r>
    </w:p>
    <w:p>
      <w:pPr>
        <w:rPr>
          <w:sz w:val="24"/>
          <w:szCs w:val="24"/>
        </w:rPr>
      </w:pPr>
      <w:r>
        <w:br w:type="page" w:clear="all"/>
      </w:r>
      <w:r>
        <w:rPr>
          <w:sz w:val="24"/>
          <w:szCs w:val="24"/>
        </w:rPr>
      </w:r>
      <w:r>
        <w:rPr>
          <w:sz w:val="24"/>
          <w:szCs w:val="24"/>
        </w:rPr>
      </w:r>
    </w:p>
    <w:p>
      <w:pPr>
        <w:pStyle w:val="1247"/>
        <w:ind w:left="119" w:right="147" w:firstLine="709"/>
        <w:jc w:val="right"/>
      </w:pPr>
      <w:r>
        <w:t xml:space="preserve">Таблица 1.11.1.4</w:t>
      </w:r>
      <w:r/>
    </w:p>
    <w:p>
      <w:pPr>
        <w:pStyle w:val="1247"/>
        <w:ind w:left="119" w:right="147" w:firstLine="23"/>
        <w:jc w:val="center"/>
        <w:rPr>
          <w:rFonts w:ascii="Liberation Serif" w:hAnsi="Liberation Serif" w:cs="Liberation Serif"/>
        </w:rPr>
      </w:pPr>
      <w:r>
        <w:t xml:space="preserve">Динамика утверждённых тарифов на тепловую энергию </w:t>
      </w:r>
      <w:r>
        <w:rPr>
          <w:rFonts w:ascii="Liberation Serif" w:hAnsi="Liberation Serif" w:cs="Liberation Serif"/>
        </w:rPr>
        <w:t xml:space="preserve">ООО «ЮТЭК»</w:t>
      </w:r>
      <w:r>
        <w:rPr>
          <w:rFonts w:ascii="Liberation Serif" w:hAnsi="Liberation Serif" w:cs="Liberation Serif"/>
        </w:rPr>
      </w:r>
      <w:r>
        <w:rPr>
          <w:rFonts w:ascii="Liberation Serif" w:hAnsi="Liberation Serif" w:cs="Liberation Serif"/>
        </w:rPr>
      </w:r>
    </w:p>
    <w:p>
      <w:pPr>
        <w:pStyle w:val="1247"/>
        <w:ind w:left="119" w:right="147" w:firstLine="23"/>
        <w:jc w:val="center"/>
      </w:pPr>
      <w:r>
        <w:t xml:space="preserve">(Постановление Департамента государственного регулирования цен и тарифов Курганской области от 17.11.2022г. №52-24)</w:t>
      </w:r>
      <w:r/>
    </w:p>
    <w:tbl>
      <w:tblPr>
        <w:tblW w:w="9915" w:type="dxa"/>
        <w:shd w:val="clear" w:color="auto" w:fill="ffffff"/>
        <w:tblCellMar>
          <w:left w:w="0" w:type="dxa"/>
          <w:right w:w="0" w:type="dxa"/>
        </w:tblCellMar>
        <w:tblLook w:val="04A0" w:firstRow="1" w:lastRow="0" w:firstColumn="1" w:lastColumn="0" w:noHBand="0" w:noVBand="1"/>
      </w:tblPr>
      <w:tblGrid>
        <w:gridCol w:w="705"/>
        <w:gridCol w:w="2768"/>
        <w:gridCol w:w="2374"/>
        <w:gridCol w:w="820"/>
        <w:gridCol w:w="1674"/>
        <w:gridCol w:w="1574"/>
      </w:tblGrid>
      <w:tr>
        <w:tblPrEx/>
        <w:trPr/>
        <w:tc>
          <w:tcPr>
            <w:shd w:val="clear" w:color="auto" w:fill="auto"/>
            <w:tcBorders>
              <w:top w:val="single" w:color="000000" w:sz="6" w:space="0"/>
              <w:left w:val="single" w:color="000000" w:sz="6" w:space="0"/>
              <w:right w:val="single" w:color="000000" w:sz="6" w:space="0"/>
            </w:tcBorders>
            <w:tcMar>
              <w:left w:w="149" w:type="dxa"/>
              <w:top w:w="0" w:type="dxa"/>
              <w:right w:w="149" w:type="dxa"/>
              <w:bottom w:w="0" w:type="dxa"/>
            </w:tcMar>
            <w:tcW w:w="705" w:type="dxa"/>
            <w:vMerge w:val="restart"/>
            <w:textDirection w:val="lrTb"/>
            <w:noWrap w:val="false"/>
          </w:tcPr>
          <w:p>
            <w:pPr>
              <w:jc w:val="center"/>
              <w:widowControl/>
              <w:rPr>
                <w:sz w:val="20"/>
                <w:szCs w:val="20"/>
                <w:lang w:eastAsia="ru-RU"/>
              </w:rPr>
            </w:pPr>
            <w:r>
              <w:rPr>
                <w:sz w:val="20"/>
                <w:szCs w:val="20"/>
                <w:lang w:eastAsia="ru-RU"/>
              </w:rPr>
              <w:t xml:space="preserve">N п/п</w:t>
            </w:r>
            <w:r>
              <w:rPr>
                <w:sz w:val="20"/>
                <w:szCs w:val="20"/>
                <w:lang w:eastAsia="ru-RU"/>
              </w:rPr>
            </w:r>
            <w:r>
              <w:rPr>
                <w:sz w:val="20"/>
                <w:szCs w:val="20"/>
                <w:lang w:eastAsia="ru-RU"/>
              </w:rPr>
            </w:r>
          </w:p>
        </w:tc>
        <w:tc>
          <w:tcPr>
            <w:shd w:val="clear" w:color="auto" w:fill="auto"/>
            <w:tcBorders>
              <w:top w:val="single" w:color="000000" w:sz="6" w:space="0"/>
              <w:left w:val="single" w:color="000000" w:sz="6" w:space="0"/>
              <w:right w:val="single" w:color="000000" w:sz="6" w:space="0"/>
            </w:tcBorders>
            <w:tcMar>
              <w:left w:w="149" w:type="dxa"/>
              <w:top w:w="0" w:type="dxa"/>
              <w:right w:w="149" w:type="dxa"/>
              <w:bottom w:w="0" w:type="dxa"/>
            </w:tcMar>
            <w:tcW w:w="2768" w:type="dxa"/>
            <w:vMerge w:val="restart"/>
            <w:textDirection w:val="lrTb"/>
            <w:noWrap w:val="false"/>
          </w:tcPr>
          <w:p>
            <w:pPr>
              <w:jc w:val="center"/>
              <w:widowControl/>
              <w:rPr>
                <w:sz w:val="20"/>
                <w:szCs w:val="20"/>
                <w:lang w:eastAsia="ru-RU"/>
              </w:rPr>
            </w:pPr>
            <w:r>
              <w:rPr>
                <w:sz w:val="20"/>
                <w:szCs w:val="20"/>
                <w:lang w:eastAsia="ru-RU"/>
              </w:rPr>
              <w:t xml:space="preserve">Наименование регулируемой организации</w:t>
            </w:r>
            <w:r>
              <w:rPr>
                <w:sz w:val="20"/>
                <w:szCs w:val="20"/>
                <w:lang w:eastAsia="ru-RU"/>
              </w:rPr>
            </w:r>
            <w:r>
              <w:rPr>
                <w:sz w:val="20"/>
                <w:szCs w:val="20"/>
                <w:lang w:eastAsia="ru-RU"/>
              </w:rPr>
            </w:r>
          </w:p>
        </w:tc>
        <w:tc>
          <w:tcPr>
            <w:shd w:val="clear" w:color="auto" w:fill="auto"/>
            <w:tcBorders>
              <w:top w:val="single" w:color="000000" w:sz="6" w:space="0"/>
              <w:left w:val="single" w:color="000000" w:sz="6" w:space="0"/>
              <w:right w:val="single" w:color="000000" w:sz="6" w:space="0"/>
            </w:tcBorders>
            <w:tcMar>
              <w:left w:w="149" w:type="dxa"/>
              <w:top w:w="0" w:type="dxa"/>
              <w:right w:w="149" w:type="dxa"/>
              <w:bottom w:w="0" w:type="dxa"/>
            </w:tcMar>
            <w:tcW w:w="2374" w:type="dxa"/>
            <w:vMerge w:val="restart"/>
            <w:textDirection w:val="lrTb"/>
            <w:noWrap w:val="false"/>
          </w:tcPr>
          <w:p>
            <w:pPr>
              <w:jc w:val="center"/>
              <w:widowControl/>
              <w:rPr>
                <w:sz w:val="20"/>
                <w:szCs w:val="20"/>
                <w:lang w:eastAsia="ru-RU"/>
              </w:rPr>
            </w:pPr>
            <w:r>
              <w:rPr>
                <w:sz w:val="20"/>
                <w:szCs w:val="20"/>
                <w:lang w:eastAsia="ru-RU"/>
              </w:rPr>
              <w:t xml:space="preserve">Вид тарифа</w:t>
            </w:r>
            <w:r>
              <w:rPr>
                <w:sz w:val="20"/>
                <w:szCs w:val="20"/>
                <w:lang w:eastAsia="ru-RU"/>
              </w:rPr>
            </w:r>
            <w:r>
              <w:rPr>
                <w:sz w:val="20"/>
                <w:szCs w:val="20"/>
                <w:lang w:eastAsia="ru-RU"/>
              </w:rPr>
            </w:r>
          </w:p>
        </w:tc>
        <w:tc>
          <w:tcPr>
            <w:shd w:val="clear" w:color="auto" w:fill="auto"/>
            <w:tcBorders>
              <w:top w:val="single" w:color="000000" w:sz="6" w:space="0"/>
              <w:left w:val="single" w:color="000000" w:sz="6" w:space="0"/>
              <w:right w:val="single" w:color="000000" w:sz="6" w:space="0"/>
            </w:tcBorders>
            <w:tcMar>
              <w:left w:w="149" w:type="dxa"/>
              <w:top w:w="0" w:type="dxa"/>
              <w:right w:w="149" w:type="dxa"/>
              <w:bottom w:w="0" w:type="dxa"/>
            </w:tcMar>
            <w:tcW w:w="820" w:type="dxa"/>
            <w:vMerge w:val="restart"/>
            <w:textDirection w:val="lrTb"/>
            <w:noWrap w:val="false"/>
          </w:tcPr>
          <w:p>
            <w:pPr>
              <w:jc w:val="center"/>
              <w:widowControl/>
              <w:rPr>
                <w:sz w:val="20"/>
                <w:szCs w:val="20"/>
                <w:lang w:eastAsia="ru-RU"/>
              </w:rPr>
            </w:pPr>
            <w:r>
              <w:rPr>
                <w:sz w:val="20"/>
                <w:szCs w:val="20"/>
                <w:lang w:eastAsia="ru-RU"/>
              </w:rPr>
              <w:t xml:space="preserve">Год</w:t>
            </w:r>
            <w:r>
              <w:rPr>
                <w:sz w:val="20"/>
                <w:szCs w:val="20"/>
                <w:lang w:eastAsia="ru-RU"/>
              </w:rPr>
            </w:r>
            <w:r>
              <w:rPr>
                <w:sz w:val="20"/>
                <w:szCs w:val="20"/>
                <w:lang w:eastAsia="ru-RU"/>
              </w:rPr>
            </w:r>
          </w:p>
        </w:tc>
        <w:tc>
          <w:tcPr>
            <w:gridSpan w:val="2"/>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3248" w:type="dxa"/>
            <w:textDirection w:val="lrTb"/>
            <w:noWrap w:val="false"/>
          </w:tcPr>
          <w:p>
            <w:pPr>
              <w:jc w:val="center"/>
              <w:widowControl/>
              <w:rPr>
                <w:sz w:val="20"/>
                <w:szCs w:val="20"/>
                <w:lang w:eastAsia="ru-RU"/>
              </w:rPr>
            </w:pPr>
            <w:r>
              <w:rPr>
                <w:sz w:val="20"/>
                <w:szCs w:val="20"/>
                <w:lang w:eastAsia="ru-RU"/>
              </w:rPr>
              <w:t xml:space="preserve">Вода</w:t>
            </w:r>
            <w:r>
              <w:rPr>
                <w:sz w:val="20"/>
                <w:szCs w:val="20"/>
                <w:lang w:eastAsia="ru-RU"/>
              </w:rPr>
            </w:r>
            <w:r>
              <w:rPr>
                <w:sz w:val="20"/>
                <w:szCs w:val="20"/>
                <w:lang w:eastAsia="ru-RU"/>
              </w:rPr>
            </w:r>
          </w:p>
        </w:tc>
      </w:tr>
      <w:tr>
        <w:tblPrEx/>
        <w:trPr/>
        <w:tc>
          <w:tcPr>
            <w:shd w:val="clear" w:color="auto" w:fill="auto"/>
            <w:tcBorders>
              <w:left w:val="single" w:color="000000" w:sz="6" w:space="0"/>
              <w:bottom w:val="none" w:color="000000" w:sz="4" w:space="0"/>
              <w:right w:val="single" w:color="000000" w:sz="6" w:space="0"/>
            </w:tcBorders>
            <w:tcMar>
              <w:left w:w="149" w:type="dxa"/>
              <w:top w:w="0" w:type="dxa"/>
              <w:right w:w="149" w:type="dxa"/>
              <w:bottom w:w="0" w:type="dxa"/>
            </w:tcMar>
            <w:tcW w:w="705"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bottom w:val="none" w:color="000000" w:sz="4" w:space="0"/>
              <w:right w:val="single" w:color="000000" w:sz="6" w:space="0"/>
            </w:tcBorders>
            <w:tcMar>
              <w:left w:w="149" w:type="dxa"/>
              <w:top w:w="0" w:type="dxa"/>
              <w:right w:w="149" w:type="dxa"/>
              <w:bottom w:w="0" w:type="dxa"/>
            </w:tcMar>
            <w:tcW w:w="2768"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bottom w:val="none" w:color="000000" w:sz="4" w:space="0"/>
              <w:right w:val="single" w:color="000000" w:sz="6" w:space="0"/>
            </w:tcBorders>
            <w:tcMar>
              <w:left w:w="149" w:type="dxa"/>
              <w:top w:w="0" w:type="dxa"/>
              <w:right w:w="149" w:type="dxa"/>
              <w:bottom w:w="0" w:type="dxa"/>
            </w:tcMar>
            <w:tcW w:w="2374"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bottom w:val="none" w:color="000000" w:sz="4" w:space="0"/>
              <w:right w:val="single" w:color="000000" w:sz="6" w:space="0"/>
            </w:tcBorders>
            <w:tcMar>
              <w:left w:w="149" w:type="dxa"/>
              <w:top w:w="0" w:type="dxa"/>
              <w:right w:w="149" w:type="dxa"/>
              <w:bottom w:w="0" w:type="dxa"/>
            </w:tcMar>
            <w:tcW w:w="820"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674" w:type="dxa"/>
            <w:textDirection w:val="lrTb"/>
            <w:noWrap w:val="false"/>
          </w:tcPr>
          <w:p>
            <w:pPr>
              <w:jc w:val="center"/>
              <w:widowControl/>
              <w:rPr>
                <w:sz w:val="20"/>
                <w:szCs w:val="20"/>
                <w:lang w:eastAsia="ru-RU"/>
              </w:rPr>
            </w:pPr>
            <w:r>
              <w:rPr>
                <w:sz w:val="20"/>
                <w:szCs w:val="20"/>
                <w:lang w:eastAsia="ru-RU"/>
              </w:rPr>
              <w:t xml:space="preserve">с 1 января по 30 июня</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574" w:type="dxa"/>
            <w:textDirection w:val="lrTb"/>
            <w:noWrap w:val="false"/>
          </w:tcPr>
          <w:p>
            <w:pPr>
              <w:jc w:val="center"/>
              <w:widowControl/>
              <w:rPr>
                <w:sz w:val="20"/>
                <w:szCs w:val="20"/>
                <w:lang w:eastAsia="ru-RU"/>
              </w:rPr>
            </w:pPr>
            <w:r>
              <w:rPr>
                <w:sz w:val="20"/>
                <w:szCs w:val="20"/>
                <w:lang w:eastAsia="ru-RU"/>
              </w:rPr>
              <w:t xml:space="preserve">с 1 июля по 31 декабря</w:t>
            </w:r>
            <w:r>
              <w:rPr>
                <w:sz w:val="20"/>
                <w:szCs w:val="20"/>
                <w:lang w:eastAsia="ru-RU"/>
              </w:rPr>
            </w:r>
            <w:r>
              <w:rPr>
                <w:sz w:val="20"/>
                <w:szCs w:val="20"/>
                <w:lang w:eastAsia="ru-RU"/>
              </w:rPr>
            </w:r>
          </w:p>
        </w:tc>
      </w:tr>
      <w:tr>
        <w:tblPrEx/>
        <w:trPr/>
        <w:tc>
          <w:tcPr>
            <w:shd w:val="clear" w:color="auto" w:fill="auto"/>
            <w:tcBorders>
              <w:top w:val="single" w:color="000000" w:sz="6" w:space="0"/>
              <w:left w:val="single" w:color="000000" w:sz="6" w:space="0"/>
              <w:bottom w:val="none" w:color="000000" w:sz="4" w:space="0"/>
              <w:right w:val="single" w:color="000000" w:sz="6" w:space="0"/>
            </w:tcBorders>
            <w:tcMar>
              <w:left w:w="149" w:type="dxa"/>
              <w:top w:w="0" w:type="dxa"/>
              <w:right w:w="149" w:type="dxa"/>
              <w:bottom w:w="0" w:type="dxa"/>
            </w:tcMar>
            <w:tcW w:w="705" w:type="dxa"/>
            <w:textDirection w:val="lrTb"/>
            <w:noWrap w:val="false"/>
          </w:tcPr>
          <w:p>
            <w:pPr>
              <w:jc w:val="center"/>
              <w:widowControl/>
              <w:rPr>
                <w:sz w:val="20"/>
                <w:szCs w:val="20"/>
                <w:lang w:eastAsia="ru-RU"/>
              </w:rPr>
            </w:pPr>
            <w:r>
              <w:rPr>
                <w:sz w:val="20"/>
                <w:szCs w:val="20"/>
                <w:lang w:eastAsia="ru-RU"/>
              </w:rPr>
              <w:t xml:space="preserve">1.</w:t>
            </w:r>
            <w:r>
              <w:rPr>
                <w:sz w:val="20"/>
                <w:szCs w:val="20"/>
                <w:lang w:eastAsia="ru-RU"/>
              </w:rPr>
            </w:r>
            <w:r>
              <w:rPr>
                <w:sz w:val="20"/>
                <w:szCs w:val="20"/>
                <w:lang w:eastAsia="ru-RU"/>
              </w:rPr>
            </w:r>
          </w:p>
        </w:tc>
        <w:tc>
          <w:tcPr>
            <w:shd w:val="clear" w:color="auto" w:fill="auto"/>
            <w:tcBorders>
              <w:top w:val="single" w:color="000000" w:sz="6" w:space="0"/>
              <w:left w:val="single" w:color="000000" w:sz="6" w:space="0"/>
              <w:right w:val="single" w:color="000000" w:sz="6" w:space="0"/>
            </w:tcBorders>
            <w:tcMar>
              <w:left w:w="149" w:type="dxa"/>
              <w:top w:w="0" w:type="dxa"/>
              <w:right w:w="149" w:type="dxa"/>
              <w:bottom w:w="0" w:type="dxa"/>
            </w:tcMar>
            <w:tcW w:w="2768" w:type="dxa"/>
            <w:vMerge w:val="restart"/>
            <w:textDirection w:val="lrTb"/>
            <w:noWrap w:val="false"/>
          </w:tcPr>
          <w:p>
            <w:pPr>
              <w:jc w:val="center"/>
              <w:widowControl/>
              <w:rPr>
                <w:sz w:val="20"/>
                <w:szCs w:val="20"/>
                <w:lang w:eastAsia="ru-RU"/>
              </w:rPr>
            </w:pPr>
            <w:r>
              <w:rPr>
                <w:sz w:val="20"/>
                <w:szCs w:val="20"/>
                <w:lang w:eastAsia="ru-RU"/>
              </w:rPr>
              <w:t xml:space="preserve">Общество с ограниченной ответственностью "Юргамышская теплоэнергетическая компания"</w:t>
            </w:r>
            <w:r>
              <w:rPr>
                <w:sz w:val="20"/>
                <w:szCs w:val="20"/>
                <w:lang w:eastAsia="ru-RU"/>
              </w:rPr>
            </w:r>
            <w:r>
              <w:rPr>
                <w:sz w:val="20"/>
                <w:szCs w:val="20"/>
                <w:lang w:eastAsia="ru-RU"/>
              </w:rPr>
            </w:r>
          </w:p>
        </w:tc>
        <w:tc>
          <w:tcPr>
            <w:gridSpan w:val="4"/>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6442" w:type="dxa"/>
            <w:textDirection w:val="lrTb"/>
            <w:noWrap w:val="false"/>
          </w:tcPr>
          <w:p>
            <w:pPr>
              <w:jc w:val="center"/>
              <w:widowControl/>
              <w:rPr>
                <w:sz w:val="20"/>
                <w:szCs w:val="20"/>
                <w:lang w:eastAsia="ru-RU"/>
              </w:rPr>
            </w:pPr>
            <w:r>
              <w:rPr>
                <w:sz w:val="20"/>
                <w:szCs w:val="20"/>
                <w:lang w:eastAsia="ru-RU"/>
              </w:rPr>
              <w:t xml:space="preserve">Для потребителей, в случае отсутствия дифференциации тарифов по схеме подключения</w:t>
            </w:r>
            <w:r>
              <w:rPr>
                <w:sz w:val="20"/>
                <w:szCs w:val="20"/>
                <w:lang w:eastAsia="ru-RU"/>
              </w:rPr>
            </w:r>
            <w:r>
              <w:rPr>
                <w:sz w:val="20"/>
                <w:szCs w:val="20"/>
                <w:lang w:eastAsia="ru-RU"/>
              </w:rPr>
            </w:r>
          </w:p>
        </w:tc>
      </w:tr>
      <w:tr>
        <w:tblPrEx/>
        <w:trPr>
          <w:trHeight w:val="230"/>
        </w:trPr>
        <w:tc>
          <w:tcPr>
            <w:shd w:val="clear" w:color="auto" w:fill="auto"/>
            <w:tcBorders>
              <w:top w:val="none" w:color="000000" w:sz="4" w:space="0"/>
              <w:left w:val="single" w:color="000000" w:sz="6" w:space="0"/>
              <w:bottom w:val="none" w:color="000000" w:sz="4" w:space="0"/>
              <w:right w:val="single" w:color="000000" w:sz="6" w:space="0"/>
            </w:tcBorders>
            <w:tcMar>
              <w:left w:w="149" w:type="dxa"/>
              <w:top w:w="0" w:type="dxa"/>
              <w:right w:w="149" w:type="dxa"/>
              <w:bottom w:w="0" w:type="dxa"/>
            </w:tcMar>
            <w:tcW w:w="705" w:type="dxa"/>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right w:val="single" w:color="000000" w:sz="6" w:space="0"/>
            </w:tcBorders>
            <w:tcMar>
              <w:left w:w="149" w:type="dxa"/>
              <w:top w:w="0" w:type="dxa"/>
              <w:right w:w="149" w:type="dxa"/>
              <w:bottom w:w="0" w:type="dxa"/>
            </w:tcMar>
            <w:tcW w:w="2768"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top w:val="single" w:color="000000" w:sz="6" w:space="0"/>
              <w:left w:val="single" w:color="000000" w:sz="6" w:space="0"/>
              <w:right w:val="single" w:color="000000" w:sz="6" w:space="0"/>
            </w:tcBorders>
            <w:tcMar>
              <w:left w:w="149" w:type="dxa"/>
              <w:top w:w="0" w:type="dxa"/>
              <w:right w:w="149" w:type="dxa"/>
              <w:bottom w:w="0" w:type="dxa"/>
            </w:tcMar>
            <w:tcW w:w="2374" w:type="dxa"/>
            <w:vMerge w:val="restart"/>
            <w:textDirection w:val="lrTb"/>
            <w:noWrap w:val="false"/>
          </w:tcPr>
          <w:p>
            <w:pPr>
              <w:jc w:val="center"/>
              <w:widowControl/>
              <w:rPr>
                <w:sz w:val="20"/>
                <w:szCs w:val="20"/>
                <w:lang w:eastAsia="ru-RU"/>
              </w:rPr>
            </w:pPr>
            <w:r>
              <w:rPr>
                <w:sz w:val="20"/>
                <w:szCs w:val="20"/>
                <w:lang w:eastAsia="ru-RU"/>
              </w:rPr>
              <w:t xml:space="preserve">одноставочный, руб./Гкал &lt;*&gt;</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820" w:type="dxa"/>
            <w:textDirection w:val="lrTb"/>
            <w:noWrap w:val="false"/>
          </w:tcPr>
          <w:p>
            <w:pPr>
              <w:jc w:val="center"/>
              <w:widowControl/>
              <w:rPr>
                <w:sz w:val="20"/>
                <w:szCs w:val="20"/>
                <w:lang w:eastAsia="ru-RU"/>
              </w:rPr>
            </w:pPr>
            <w:r>
              <w:rPr>
                <w:sz w:val="20"/>
                <w:szCs w:val="20"/>
                <w:lang w:eastAsia="ru-RU"/>
              </w:rPr>
              <w:t xml:space="preserve">2021</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674" w:type="dxa"/>
            <w:textDirection w:val="lrTb"/>
            <w:noWrap w:val="false"/>
          </w:tcPr>
          <w:p>
            <w:pPr>
              <w:jc w:val="center"/>
              <w:widowControl/>
              <w:rPr>
                <w:sz w:val="20"/>
                <w:szCs w:val="20"/>
                <w:lang w:eastAsia="ru-RU"/>
              </w:rPr>
            </w:pPr>
            <w:r>
              <w:rPr>
                <w:sz w:val="20"/>
                <w:szCs w:val="20"/>
                <w:lang w:eastAsia="ru-RU"/>
              </w:rPr>
              <w:t xml:space="preserve">-</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574" w:type="dxa"/>
            <w:textDirection w:val="lrTb"/>
            <w:noWrap w:val="false"/>
          </w:tcPr>
          <w:p>
            <w:pPr>
              <w:jc w:val="center"/>
              <w:widowControl/>
              <w:rPr>
                <w:sz w:val="20"/>
                <w:szCs w:val="20"/>
                <w:lang w:eastAsia="ru-RU"/>
              </w:rPr>
            </w:pPr>
            <w:r>
              <w:rPr>
                <w:sz w:val="20"/>
                <w:szCs w:val="20"/>
                <w:lang w:eastAsia="ru-RU"/>
              </w:rPr>
              <w:t xml:space="preserve">2628,46 &lt;***&gt;</w:t>
            </w:r>
            <w:r>
              <w:rPr>
                <w:sz w:val="20"/>
                <w:szCs w:val="20"/>
                <w:lang w:eastAsia="ru-RU"/>
              </w:rPr>
            </w:r>
            <w:r>
              <w:rPr>
                <w:sz w:val="20"/>
                <w:szCs w:val="20"/>
                <w:lang w:eastAsia="ru-RU"/>
              </w:rPr>
            </w:r>
          </w:p>
        </w:tc>
      </w:tr>
      <w:tr>
        <w:tblPrEx/>
        <w:trPr/>
        <w:tc>
          <w:tcPr>
            <w:shd w:val="clear" w:color="auto" w:fill="auto"/>
            <w:tcBorders>
              <w:top w:val="none" w:color="000000" w:sz="4" w:space="0"/>
              <w:left w:val="single" w:color="000000" w:sz="6" w:space="0"/>
              <w:bottom w:val="none" w:color="000000" w:sz="4" w:space="0"/>
              <w:right w:val="single" w:color="000000" w:sz="6" w:space="0"/>
            </w:tcBorders>
            <w:tcMar>
              <w:left w:w="149" w:type="dxa"/>
              <w:top w:w="0" w:type="dxa"/>
              <w:right w:w="149" w:type="dxa"/>
              <w:bottom w:w="0" w:type="dxa"/>
            </w:tcMar>
            <w:tcW w:w="705" w:type="dxa"/>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right w:val="single" w:color="000000" w:sz="6" w:space="0"/>
            </w:tcBorders>
            <w:tcMar>
              <w:left w:w="149" w:type="dxa"/>
              <w:top w:w="0" w:type="dxa"/>
              <w:right w:w="149" w:type="dxa"/>
              <w:bottom w:w="0" w:type="dxa"/>
            </w:tcMar>
            <w:tcW w:w="2768"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right w:val="single" w:color="000000" w:sz="6" w:space="0"/>
            </w:tcBorders>
            <w:tcMar>
              <w:left w:w="149" w:type="dxa"/>
              <w:top w:w="0" w:type="dxa"/>
              <w:right w:w="149" w:type="dxa"/>
              <w:bottom w:w="0" w:type="dxa"/>
            </w:tcMar>
            <w:tcW w:w="2374"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820" w:type="dxa"/>
            <w:textDirection w:val="lrTb"/>
            <w:noWrap w:val="false"/>
          </w:tcPr>
          <w:p>
            <w:pPr>
              <w:jc w:val="center"/>
              <w:widowControl/>
              <w:rPr>
                <w:sz w:val="20"/>
                <w:szCs w:val="20"/>
                <w:lang w:eastAsia="ru-RU"/>
              </w:rPr>
            </w:pPr>
            <w:r>
              <w:rPr>
                <w:sz w:val="20"/>
                <w:szCs w:val="20"/>
                <w:lang w:eastAsia="ru-RU"/>
              </w:rPr>
              <w:t xml:space="preserve">2022</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674" w:type="dxa"/>
            <w:textDirection w:val="lrTb"/>
            <w:noWrap w:val="false"/>
          </w:tcPr>
          <w:p>
            <w:pPr>
              <w:jc w:val="center"/>
              <w:widowControl/>
              <w:rPr>
                <w:sz w:val="20"/>
                <w:szCs w:val="20"/>
                <w:lang w:eastAsia="ru-RU"/>
              </w:rPr>
            </w:pPr>
            <w:r>
              <w:rPr>
                <w:sz w:val="20"/>
                <w:szCs w:val="20"/>
                <w:lang w:eastAsia="ru-RU"/>
              </w:rPr>
              <w:t xml:space="preserve">2628,46</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574" w:type="dxa"/>
            <w:textDirection w:val="lrTb"/>
            <w:noWrap w:val="false"/>
          </w:tcPr>
          <w:p>
            <w:pPr>
              <w:jc w:val="center"/>
              <w:widowControl/>
              <w:rPr>
                <w:sz w:val="20"/>
                <w:szCs w:val="20"/>
                <w:lang w:eastAsia="ru-RU"/>
              </w:rPr>
            </w:pPr>
            <w:r>
              <w:rPr>
                <w:sz w:val="20"/>
                <w:szCs w:val="20"/>
                <w:lang w:eastAsia="ru-RU"/>
              </w:rPr>
              <w:t xml:space="preserve">2725,86&lt;****&gt;</w:t>
            </w:r>
            <w:r>
              <w:rPr>
                <w:sz w:val="20"/>
                <w:szCs w:val="20"/>
                <w:lang w:eastAsia="ru-RU"/>
              </w:rPr>
            </w:r>
            <w:r>
              <w:rPr>
                <w:sz w:val="20"/>
                <w:szCs w:val="20"/>
                <w:lang w:eastAsia="ru-RU"/>
              </w:rPr>
            </w:r>
          </w:p>
        </w:tc>
      </w:tr>
      <w:tr>
        <w:tblPrEx/>
        <w:trPr/>
        <w:tc>
          <w:tcPr>
            <w:shd w:val="clear" w:color="auto" w:fill="auto"/>
            <w:tcBorders>
              <w:top w:val="none" w:color="000000" w:sz="4" w:space="0"/>
              <w:left w:val="single" w:color="000000" w:sz="6" w:space="0"/>
              <w:bottom w:val="none" w:color="000000" w:sz="4" w:space="0"/>
              <w:right w:val="single" w:color="000000" w:sz="6" w:space="0"/>
            </w:tcBorders>
            <w:tcMar>
              <w:left w:w="149" w:type="dxa"/>
              <w:top w:w="0" w:type="dxa"/>
              <w:right w:w="149" w:type="dxa"/>
              <w:bottom w:w="0" w:type="dxa"/>
            </w:tcMar>
            <w:tcW w:w="705" w:type="dxa"/>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right w:val="single" w:color="000000" w:sz="6" w:space="0"/>
            </w:tcBorders>
            <w:tcMar>
              <w:left w:w="149" w:type="dxa"/>
              <w:top w:w="0" w:type="dxa"/>
              <w:right w:w="149" w:type="dxa"/>
              <w:bottom w:w="0" w:type="dxa"/>
            </w:tcMar>
            <w:tcW w:w="2768"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right w:val="single" w:color="000000" w:sz="6" w:space="0"/>
            </w:tcBorders>
            <w:tcMar>
              <w:left w:w="149" w:type="dxa"/>
              <w:top w:w="0" w:type="dxa"/>
              <w:right w:w="149" w:type="dxa"/>
              <w:bottom w:w="0" w:type="dxa"/>
            </w:tcMar>
            <w:tcW w:w="2374"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820" w:type="dxa"/>
            <w:textDirection w:val="lrTb"/>
            <w:noWrap w:val="false"/>
          </w:tcPr>
          <w:p>
            <w:pPr>
              <w:jc w:val="center"/>
              <w:widowControl/>
              <w:rPr>
                <w:sz w:val="20"/>
                <w:szCs w:val="20"/>
                <w:lang w:eastAsia="ru-RU"/>
              </w:rPr>
            </w:pPr>
            <w:r>
              <w:rPr>
                <w:sz w:val="20"/>
                <w:szCs w:val="20"/>
                <w:lang w:eastAsia="ru-RU"/>
              </w:rPr>
              <w:t xml:space="preserve">2023</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674" w:type="dxa"/>
            <w:textDirection w:val="lrTb"/>
            <w:noWrap w:val="false"/>
          </w:tcPr>
          <w:p>
            <w:pPr>
              <w:jc w:val="center"/>
              <w:widowControl/>
              <w:rPr>
                <w:sz w:val="20"/>
                <w:szCs w:val="20"/>
                <w:lang w:eastAsia="ru-RU"/>
              </w:rPr>
            </w:pPr>
            <w:r>
              <w:rPr>
                <w:sz w:val="20"/>
                <w:szCs w:val="20"/>
                <w:lang w:eastAsia="ru-RU"/>
              </w:rPr>
              <w:t xml:space="preserve">2735,53&lt;*****&gt;</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574" w:type="dxa"/>
            <w:textDirection w:val="lrTb"/>
            <w:noWrap w:val="false"/>
          </w:tcPr>
          <w:p>
            <w:pPr>
              <w:jc w:val="center"/>
              <w:widowControl/>
              <w:rPr>
                <w:sz w:val="20"/>
                <w:szCs w:val="20"/>
                <w:lang w:eastAsia="ru-RU"/>
              </w:rPr>
            </w:pPr>
            <w:r>
              <w:rPr>
                <w:sz w:val="20"/>
                <w:szCs w:val="20"/>
                <w:lang w:eastAsia="ru-RU"/>
              </w:rPr>
              <w:t xml:space="preserve">2735,53</w:t>
            </w:r>
            <w:r>
              <w:rPr>
                <w:sz w:val="20"/>
                <w:szCs w:val="20"/>
                <w:lang w:eastAsia="ru-RU"/>
              </w:rPr>
            </w:r>
            <w:r>
              <w:rPr>
                <w:sz w:val="20"/>
                <w:szCs w:val="20"/>
                <w:lang w:eastAsia="ru-RU"/>
              </w:rPr>
            </w:r>
          </w:p>
        </w:tc>
      </w:tr>
      <w:tr>
        <w:tblPrEx/>
        <w:trPr/>
        <w:tc>
          <w:tcPr>
            <w:shd w:val="clear" w:color="auto" w:fill="auto"/>
            <w:tcBorders>
              <w:top w:val="none" w:color="000000" w:sz="4" w:space="0"/>
              <w:left w:val="single" w:color="000000" w:sz="6" w:space="0"/>
              <w:bottom w:val="none" w:color="000000" w:sz="4" w:space="0"/>
              <w:right w:val="single" w:color="000000" w:sz="6" w:space="0"/>
            </w:tcBorders>
            <w:tcMar>
              <w:left w:w="149" w:type="dxa"/>
              <w:top w:w="0" w:type="dxa"/>
              <w:right w:w="149" w:type="dxa"/>
              <w:bottom w:w="0" w:type="dxa"/>
            </w:tcMar>
            <w:tcW w:w="705" w:type="dxa"/>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right w:val="single" w:color="000000" w:sz="6" w:space="0"/>
            </w:tcBorders>
            <w:tcMar>
              <w:left w:w="149" w:type="dxa"/>
              <w:top w:w="0" w:type="dxa"/>
              <w:right w:w="149" w:type="dxa"/>
              <w:bottom w:w="0" w:type="dxa"/>
            </w:tcMar>
            <w:tcW w:w="2768"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bottom w:val="none" w:color="000000" w:sz="4" w:space="0"/>
              <w:right w:val="single" w:color="000000" w:sz="6" w:space="0"/>
            </w:tcBorders>
            <w:tcMar>
              <w:left w:w="149" w:type="dxa"/>
              <w:top w:w="0" w:type="dxa"/>
              <w:right w:w="149" w:type="dxa"/>
              <w:bottom w:w="0" w:type="dxa"/>
            </w:tcMar>
            <w:tcW w:w="2374"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820" w:type="dxa"/>
            <w:textDirection w:val="lrTb"/>
            <w:noWrap w:val="false"/>
          </w:tcPr>
          <w:p>
            <w:pPr>
              <w:jc w:val="center"/>
              <w:widowControl/>
              <w:rPr>
                <w:sz w:val="20"/>
                <w:szCs w:val="20"/>
                <w:lang w:eastAsia="ru-RU"/>
              </w:rPr>
            </w:pPr>
            <w:r>
              <w:rPr>
                <w:sz w:val="20"/>
                <w:szCs w:val="20"/>
                <w:lang w:eastAsia="ru-RU"/>
              </w:rPr>
              <w:t xml:space="preserve">2024</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674" w:type="dxa"/>
            <w:textDirection w:val="lrTb"/>
            <w:noWrap w:val="false"/>
          </w:tcPr>
          <w:p>
            <w:pPr>
              <w:jc w:val="center"/>
              <w:widowControl/>
              <w:rPr>
                <w:sz w:val="20"/>
                <w:szCs w:val="20"/>
                <w:lang w:eastAsia="ru-RU"/>
              </w:rPr>
            </w:pPr>
            <w:r>
              <w:rPr>
                <w:sz w:val="20"/>
                <w:szCs w:val="20"/>
                <w:lang w:eastAsia="ru-RU"/>
              </w:rPr>
              <w:t xml:space="preserve">2702,03</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574" w:type="dxa"/>
            <w:textDirection w:val="lrTb"/>
            <w:noWrap w:val="false"/>
          </w:tcPr>
          <w:p>
            <w:pPr>
              <w:jc w:val="center"/>
              <w:widowControl/>
              <w:rPr>
                <w:sz w:val="20"/>
                <w:szCs w:val="20"/>
                <w:lang w:eastAsia="ru-RU"/>
              </w:rPr>
            </w:pPr>
            <w:r>
              <w:rPr>
                <w:sz w:val="20"/>
                <w:szCs w:val="20"/>
                <w:lang w:eastAsia="ru-RU"/>
              </w:rPr>
              <w:t xml:space="preserve">2702,03</w:t>
            </w:r>
            <w:r>
              <w:rPr>
                <w:sz w:val="20"/>
                <w:szCs w:val="20"/>
                <w:lang w:eastAsia="ru-RU"/>
              </w:rPr>
            </w:r>
            <w:r>
              <w:rPr>
                <w:sz w:val="20"/>
                <w:szCs w:val="20"/>
                <w:lang w:eastAsia="ru-RU"/>
              </w:rPr>
            </w:r>
          </w:p>
        </w:tc>
      </w:tr>
      <w:tr>
        <w:tblPrEx/>
        <w:trPr/>
        <w:tc>
          <w:tcPr>
            <w:shd w:val="clear" w:color="auto" w:fill="auto"/>
            <w:tcBorders>
              <w:top w:val="none" w:color="000000" w:sz="4" w:space="0"/>
              <w:left w:val="single" w:color="000000" w:sz="6" w:space="0"/>
              <w:bottom w:val="none" w:color="000000" w:sz="4" w:space="0"/>
              <w:right w:val="single" w:color="000000" w:sz="6" w:space="0"/>
            </w:tcBorders>
            <w:tcMar>
              <w:left w:w="149" w:type="dxa"/>
              <w:top w:w="0" w:type="dxa"/>
              <w:right w:w="149" w:type="dxa"/>
              <w:bottom w:w="0" w:type="dxa"/>
            </w:tcMar>
            <w:tcW w:w="705" w:type="dxa"/>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right w:val="single" w:color="000000" w:sz="6" w:space="0"/>
            </w:tcBorders>
            <w:tcMar>
              <w:left w:w="149" w:type="dxa"/>
              <w:top w:w="0" w:type="dxa"/>
              <w:right w:w="149" w:type="dxa"/>
              <w:bottom w:w="0" w:type="dxa"/>
            </w:tcMar>
            <w:tcW w:w="2768"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gridSpan w:val="4"/>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6442" w:type="dxa"/>
            <w:textDirection w:val="lrTb"/>
            <w:noWrap w:val="false"/>
          </w:tcPr>
          <w:p>
            <w:pPr>
              <w:jc w:val="center"/>
              <w:widowControl/>
              <w:rPr>
                <w:sz w:val="20"/>
                <w:szCs w:val="20"/>
                <w:lang w:eastAsia="ru-RU"/>
              </w:rPr>
            </w:pPr>
            <w:r>
              <w:rPr>
                <w:sz w:val="20"/>
                <w:szCs w:val="20"/>
                <w:lang w:eastAsia="ru-RU"/>
              </w:rPr>
              <w:t xml:space="preserve">Население &lt;**&gt;</w:t>
            </w:r>
            <w:r>
              <w:rPr>
                <w:sz w:val="20"/>
                <w:szCs w:val="20"/>
                <w:lang w:eastAsia="ru-RU"/>
              </w:rPr>
            </w:r>
            <w:r>
              <w:rPr>
                <w:sz w:val="20"/>
                <w:szCs w:val="20"/>
                <w:lang w:eastAsia="ru-RU"/>
              </w:rPr>
            </w:r>
          </w:p>
        </w:tc>
      </w:tr>
      <w:tr>
        <w:tblPrEx/>
        <w:trPr>
          <w:trHeight w:val="230"/>
        </w:trPr>
        <w:tc>
          <w:tcPr>
            <w:shd w:val="clear" w:color="auto" w:fill="auto"/>
            <w:tcBorders>
              <w:top w:val="none" w:color="000000" w:sz="4" w:space="0"/>
              <w:left w:val="single" w:color="000000" w:sz="6" w:space="0"/>
              <w:bottom w:val="none" w:color="000000" w:sz="4" w:space="0"/>
              <w:right w:val="single" w:color="000000" w:sz="6" w:space="0"/>
            </w:tcBorders>
            <w:tcMar>
              <w:left w:w="149" w:type="dxa"/>
              <w:top w:w="0" w:type="dxa"/>
              <w:right w:w="149" w:type="dxa"/>
              <w:bottom w:w="0" w:type="dxa"/>
            </w:tcMar>
            <w:tcW w:w="705" w:type="dxa"/>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right w:val="single" w:color="000000" w:sz="6" w:space="0"/>
            </w:tcBorders>
            <w:tcMar>
              <w:left w:w="149" w:type="dxa"/>
              <w:top w:w="0" w:type="dxa"/>
              <w:right w:w="149" w:type="dxa"/>
              <w:bottom w:w="0" w:type="dxa"/>
            </w:tcMar>
            <w:tcW w:w="2768"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top w:val="single" w:color="000000" w:sz="6" w:space="0"/>
              <w:left w:val="single" w:color="000000" w:sz="6" w:space="0"/>
              <w:right w:val="single" w:color="000000" w:sz="6" w:space="0"/>
            </w:tcBorders>
            <w:tcMar>
              <w:left w:w="149" w:type="dxa"/>
              <w:top w:w="0" w:type="dxa"/>
              <w:right w:w="149" w:type="dxa"/>
              <w:bottom w:w="0" w:type="dxa"/>
            </w:tcMar>
            <w:tcW w:w="2374" w:type="dxa"/>
            <w:vMerge w:val="restart"/>
            <w:textDirection w:val="lrTb"/>
            <w:noWrap w:val="false"/>
          </w:tcPr>
          <w:p>
            <w:pPr>
              <w:jc w:val="center"/>
              <w:widowControl/>
              <w:rPr>
                <w:sz w:val="20"/>
                <w:szCs w:val="20"/>
                <w:lang w:eastAsia="ru-RU"/>
              </w:rPr>
            </w:pPr>
            <w:r>
              <w:rPr>
                <w:sz w:val="20"/>
                <w:szCs w:val="20"/>
                <w:lang w:eastAsia="ru-RU"/>
              </w:rPr>
              <w:t xml:space="preserve">одноставочный, руб./Гкал &lt;*&gt;</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820" w:type="dxa"/>
            <w:textDirection w:val="lrTb"/>
            <w:noWrap w:val="false"/>
          </w:tcPr>
          <w:p>
            <w:pPr>
              <w:jc w:val="center"/>
              <w:widowControl/>
              <w:rPr>
                <w:sz w:val="20"/>
                <w:szCs w:val="20"/>
                <w:lang w:eastAsia="ru-RU"/>
              </w:rPr>
            </w:pPr>
            <w:r>
              <w:rPr>
                <w:sz w:val="20"/>
                <w:szCs w:val="20"/>
                <w:lang w:eastAsia="ru-RU"/>
              </w:rPr>
              <w:t xml:space="preserve">2021</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674" w:type="dxa"/>
            <w:textDirection w:val="lrTb"/>
            <w:noWrap w:val="false"/>
          </w:tcPr>
          <w:p>
            <w:pPr>
              <w:jc w:val="center"/>
              <w:widowControl/>
              <w:rPr>
                <w:sz w:val="20"/>
                <w:szCs w:val="20"/>
                <w:lang w:eastAsia="ru-RU"/>
              </w:rPr>
            </w:pPr>
            <w:r>
              <w:rPr>
                <w:sz w:val="20"/>
                <w:szCs w:val="20"/>
                <w:lang w:eastAsia="ru-RU"/>
              </w:rPr>
              <w:t xml:space="preserve">-</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574" w:type="dxa"/>
            <w:textDirection w:val="lrTb"/>
            <w:noWrap w:val="false"/>
          </w:tcPr>
          <w:p>
            <w:pPr>
              <w:jc w:val="center"/>
              <w:widowControl/>
              <w:rPr>
                <w:sz w:val="20"/>
                <w:szCs w:val="20"/>
                <w:lang w:eastAsia="ru-RU"/>
              </w:rPr>
            </w:pPr>
            <w:r>
              <w:rPr>
                <w:sz w:val="20"/>
                <w:szCs w:val="20"/>
                <w:lang w:eastAsia="ru-RU"/>
              </w:rPr>
              <w:t xml:space="preserve">2628,46 &lt;***&gt;</w:t>
            </w:r>
            <w:r>
              <w:rPr>
                <w:sz w:val="20"/>
                <w:szCs w:val="20"/>
                <w:lang w:eastAsia="ru-RU"/>
              </w:rPr>
            </w:r>
            <w:r>
              <w:rPr>
                <w:sz w:val="20"/>
                <w:szCs w:val="20"/>
                <w:lang w:eastAsia="ru-RU"/>
              </w:rPr>
            </w:r>
          </w:p>
        </w:tc>
      </w:tr>
      <w:tr>
        <w:tblPrEx/>
        <w:trPr/>
        <w:tc>
          <w:tcPr>
            <w:shd w:val="clear" w:color="auto" w:fill="auto"/>
            <w:tcBorders>
              <w:top w:val="none" w:color="000000" w:sz="4" w:space="0"/>
              <w:left w:val="single" w:color="000000" w:sz="6" w:space="0"/>
              <w:bottom w:val="none" w:color="000000" w:sz="4" w:space="0"/>
              <w:right w:val="single" w:color="000000" w:sz="6" w:space="0"/>
            </w:tcBorders>
            <w:tcMar>
              <w:left w:w="149" w:type="dxa"/>
              <w:top w:w="0" w:type="dxa"/>
              <w:right w:w="149" w:type="dxa"/>
              <w:bottom w:w="0" w:type="dxa"/>
            </w:tcMar>
            <w:tcW w:w="705" w:type="dxa"/>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right w:val="single" w:color="000000" w:sz="6" w:space="0"/>
            </w:tcBorders>
            <w:tcMar>
              <w:left w:w="149" w:type="dxa"/>
              <w:top w:w="0" w:type="dxa"/>
              <w:right w:w="149" w:type="dxa"/>
              <w:bottom w:w="0" w:type="dxa"/>
            </w:tcMar>
            <w:tcW w:w="2768"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right w:val="single" w:color="000000" w:sz="6" w:space="0"/>
            </w:tcBorders>
            <w:tcMar>
              <w:left w:w="149" w:type="dxa"/>
              <w:top w:w="0" w:type="dxa"/>
              <w:right w:w="149" w:type="dxa"/>
              <w:bottom w:w="0" w:type="dxa"/>
            </w:tcMar>
            <w:tcW w:w="2374"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820" w:type="dxa"/>
            <w:textDirection w:val="lrTb"/>
            <w:noWrap w:val="false"/>
          </w:tcPr>
          <w:p>
            <w:pPr>
              <w:jc w:val="center"/>
              <w:widowControl/>
              <w:rPr>
                <w:sz w:val="20"/>
                <w:szCs w:val="20"/>
                <w:lang w:eastAsia="ru-RU"/>
              </w:rPr>
            </w:pPr>
            <w:r>
              <w:rPr>
                <w:sz w:val="20"/>
                <w:szCs w:val="20"/>
                <w:lang w:eastAsia="ru-RU"/>
              </w:rPr>
              <w:t xml:space="preserve">2022</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674" w:type="dxa"/>
            <w:textDirection w:val="lrTb"/>
            <w:noWrap w:val="false"/>
          </w:tcPr>
          <w:p>
            <w:pPr>
              <w:jc w:val="center"/>
              <w:widowControl/>
              <w:rPr>
                <w:sz w:val="20"/>
                <w:szCs w:val="20"/>
                <w:lang w:eastAsia="ru-RU"/>
              </w:rPr>
            </w:pPr>
            <w:r>
              <w:rPr>
                <w:sz w:val="20"/>
                <w:szCs w:val="20"/>
                <w:lang w:eastAsia="ru-RU"/>
              </w:rPr>
              <w:t xml:space="preserve">2628,46</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574" w:type="dxa"/>
            <w:textDirection w:val="lrTb"/>
            <w:noWrap w:val="false"/>
          </w:tcPr>
          <w:p>
            <w:pPr>
              <w:jc w:val="center"/>
              <w:widowControl/>
              <w:rPr>
                <w:sz w:val="20"/>
                <w:szCs w:val="20"/>
                <w:lang w:eastAsia="ru-RU"/>
              </w:rPr>
            </w:pPr>
            <w:r>
              <w:rPr>
                <w:sz w:val="20"/>
                <w:szCs w:val="20"/>
                <w:lang w:eastAsia="ru-RU"/>
              </w:rPr>
              <w:t xml:space="preserve">2725,86&lt;****&gt;</w:t>
            </w:r>
            <w:r>
              <w:rPr>
                <w:sz w:val="20"/>
                <w:szCs w:val="20"/>
                <w:lang w:eastAsia="ru-RU"/>
              </w:rPr>
            </w:r>
            <w:r>
              <w:rPr>
                <w:sz w:val="20"/>
                <w:szCs w:val="20"/>
                <w:lang w:eastAsia="ru-RU"/>
              </w:rPr>
            </w:r>
          </w:p>
        </w:tc>
      </w:tr>
      <w:tr>
        <w:tblPrEx/>
        <w:trPr/>
        <w:tc>
          <w:tcPr>
            <w:shd w:val="clear" w:color="auto" w:fill="auto"/>
            <w:tcBorders>
              <w:top w:val="none" w:color="000000" w:sz="4" w:space="0"/>
              <w:left w:val="single" w:color="000000" w:sz="6" w:space="0"/>
              <w:bottom w:val="none" w:color="000000" w:sz="4" w:space="0"/>
              <w:right w:val="single" w:color="000000" w:sz="6" w:space="0"/>
            </w:tcBorders>
            <w:tcMar>
              <w:left w:w="149" w:type="dxa"/>
              <w:top w:w="0" w:type="dxa"/>
              <w:right w:w="149" w:type="dxa"/>
              <w:bottom w:w="0" w:type="dxa"/>
            </w:tcMar>
            <w:tcW w:w="705" w:type="dxa"/>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right w:val="single" w:color="000000" w:sz="6" w:space="0"/>
            </w:tcBorders>
            <w:tcMar>
              <w:left w:w="149" w:type="dxa"/>
              <w:top w:w="0" w:type="dxa"/>
              <w:right w:w="149" w:type="dxa"/>
              <w:bottom w:w="0" w:type="dxa"/>
            </w:tcMar>
            <w:tcW w:w="2768"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right w:val="single" w:color="000000" w:sz="6" w:space="0"/>
            </w:tcBorders>
            <w:tcMar>
              <w:left w:w="149" w:type="dxa"/>
              <w:top w:w="0" w:type="dxa"/>
              <w:right w:w="149" w:type="dxa"/>
              <w:bottom w:w="0" w:type="dxa"/>
            </w:tcMar>
            <w:tcW w:w="2374"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820" w:type="dxa"/>
            <w:textDirection w:val="lrTb"/>
            <w:noWrap w:val="false"/>
          </w:tcPr>
          <w:p>
            <w:pPr>
              <w:jc w:val="center"/>
              <w:widowControl/>
              <w:rPr>
                <w:sz w:val="20"/>
                <w:szCs w:val="20"/>
                <w:lang w:eastAsia="ru-RU"/>
              </w:rPr>
            </w:pPr>
            <w:r>
              <w:rPr>
                <w:sz w:val="20"/>
                <w:szCs w:val="20"/>
                <w:lang w:eastAsia="ru-RU"/>
              </w:rPr>
              <w:t xml:space="preserve">2023</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674" w:type="dxa"/>
            <w:textDirection w:val="lrTb"/>
            <w:noWrap w:val="false"/>
          </w:tcPr>
          <w:p>
            <w:pPr>
              <w:jc w:val="center"/>
              <w:widowControl/>
              <w:rPr>
                <w:sz w:val="20"/>
                <w:szCs w:val="20"/>
                <w:lang w:eastAsia="ru-RU"/>
              </w:rPr>
            </w:pPr>
            <w:r>
              <w:rPr>
                <w:sz w:val="20"/>
                <w:szCs w:val="20"/>
                <w:lang w:eastAsia="ru-RU"/>
              </w:rPr>
              <w:t xml:space="preserve">2735,53&lt;*****&gt;</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574" w:type="dxa"/>
            <w:textDirection w:val="lrTb"/>
            <w:noWrap w:val="false"/>
          </w:tcPr>
          <w:p>
            <w:pPr>
              <w:jc w:val="center"/>
              <w:widowControl/>
              <w:rPr>
                <w:sz w:val="20"/>
                <w:szCs w:val="20"/>
                <w:lang w:eastAsia="ru-RU"/>
              </w:rPr>
            </w:pPr>
            <w:r>
              <w:rPr>
                <w:sz w:val="20"/>
                <w:szCs w:val="20"/>
                <w:lang w:eastAsia="ru-RU"/>
              </w:rPr>
              <w:t xml:space="preserve">2735,53</w:t>
            </w:r>
            <w:r>
              <w:rPr>
                <w:sz w:val="20"/>
                <w:szCs w:val="20"/>
                <w:lang w:eastAsia="ru-RU"/>
              </w:rPr>
            </w:r>
            <w:r>
              <w:rPr>
                <w:sz w:val="20"/>
                <w:szCs w:val="20"/>
                <w:lang w:eastAsia="ru-RU"/>
              </w:rPr>
            </w:r>
          </w:p>
        </w:tc>
      </w:tr>
      <w:tr>
        <w:tblPrEx/>
        <w:trPr/>
        <w:tc>
          <w:tcPr>
            <w:shd w:val="clear" w:color="auto" w:fill="auto"/>
            <w:tcBorders>
              <w:top w:val="none" w:color="000000" w:sz="4" w:space="0"/>
              <w:left w:val="single" w:color="000000" w:sz="6" w:space="0"/>
              <w:bottom w:val="single" w:color="000000" w:sz="6" w:space="0"/>
              <w:right w:val="single" w:color="000000" w:sz="6" w:space="0"/>
            </w:tcBorders>
            <w:tcMar>
              <w:left w:w="149" w:type="dxa"/>
              <w:top w:w="0" w:type="dxa"/>
              <w:right w:w="149" w:type="dxa"/>
              <w:bottom w:w="0" w:type="dxa"/>
            </w:tcMar>
            <w:tcW w:w="705" w:type="dxa"/>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bottom w:val="single" w:color="000000" w:sz="6" w:space="0"/>
              <w:right w:val="single" w:color="000000" w:sz="6" w:space="0"/>
            </w:tcBorders>
            <w:tcMar>
              <w:left w:w="149" w:type="dxa"/>
              <w:top w:w="0" w:type="dxa"/>
              <w:right w:w="149" w:type="dxa"/>
              <w:bottom w:w="0" w:type="dxa"/>
            </w:tcMar>
            <w:tcW w:w="2768"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bottom w:val="single" w:color="000000" w:sz="6" w:space="0"/>
              <w:right w:val="single" w:color="000000" w:sz="6" w:space="0"/>
            </w:tcBorders>
            <w:tcMar>
              <w:left w:w="149" w:type="dxa"/>
              <w:top w:w="0" w:type="dxa"/>
              <w:right w:w="149" w:type="dxa"/>
              <w:bottom w:w="0" w:type="dxa"/>
            </w:tcMar>
            <w:tcW w:w="2374" w:type="dxa"/>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820" w:type="dxa"/>
            <w:textDirection w:val="lrTb"/>
            <w:noWrap w:val="false"/>
          </w:tcPr>
          <w:p>
            <w:pPr>
              <w:jc w:val="center"/>
              <w:widowControl/>
              <w:rPr>
                <w:sz w:val="20"/>
                <w:szCs w:val="20"/>
                <w:lang w:eastAsia="ru-RU"/>
              </w:rPr>
            </w:pPr>
            <w:r>
              <w:rPr>
                <w:sz w:val="20"/>
                <w:szCs w:val="20"/>
                <w:lang w:eastAsia="ru-RU"/>
              </w:rPr>
              <w:t xml:space="preserve">2024</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674" w:type="dxa"/>
            <w:textDirection w:val="lrTb"/>
            <w:noWrap w:val="false"/>
          </w:tcPr>
          <w:p>
            <w:pPr>
              <w:jc w:val="center"/>
              <w:widowControl/>
              <w:rPr>
                <w:sz w:val="20"/>
                <w:szCs w:val="20"/>
                <w:lang w:eastAsia="ru-RU"/>
              </w:rPr>
            </w:pPr>
            <w:r>
              <w:rPr>
                <w:sz w:val="20"/>
                <w:szCs w:val="20"/>
                <w:lang w:eastAsia="ru-RU"/>
              </w:rPr>
              <w:t xml:space="preserve">2702,03</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574" w:type="dxa"/>
            <w:textDirection w:val="lrTb"/>
            <w:noWrap w:val="false"/>
          </w:tcPr>
          <w:p>
            <w:pPr>
              <w:jc w:val="center"/>
              <w:widowControl/>
              <w:rPr>
                <w:sz w:val="20"/>
                <w:szCs w:val="20"/>
                <w:lang w:eastAsia="ru-RU"/>
              </w:rPr>
            </w:pPr>
            <w:r>
              <w:rPr>
                <w:sz w:val="20"/>
                <w:szCs w:val="20"/>
                <w:lang w:eastAsia="ru-RU"/>
              </w:rPr>
              <w:t xml:space="preserve">2702,03</w:t>
            </w:r>
            <w:r>
              <w:rPr>
                <w:sz w:val="20"/>
                <w:szCs w:val="20"/>
                <w:lang w:eastAsia="ru-RU"/>
              </w:rPr>
            </w:r>
            <w:r>
              <w:rPr>
                <w:sz w:val="20"/>
                <w:szCs w:val="20"/>
                <w:lang w:eastAsia="ru-RU"/>
              </w:rPr>
            </w:r>
          </w:p>
        </w:tc>
      </w:tr>
    </w:tbl>
    <w:p>
      <w:pPr>
        <w:rPr>
          <w:sz w:val="20"/>
          <w:szCs w:val="20"/>
        </w:rPr>
      </w:pPr>
      <w:r>
        <w:rPr>
          <w:sz w:val="20"/>
          <w:szCs w:val="20"/>
        </w:rPr>
        <w:t xml:space="preserve">Примечания:</w:t>
      </w:r>
      <w:r>
        <w:rPr>
          <w:sz w:val="20"/>
          <w:szCs w:val="20"/>
        </w:rPr>
      </w:r>
      <w:r>
        <w:rPr>
          <w:sz w:val="20"/>
          <w:szCs w:val="20"/>
        </w:rPr>
      </w:r>
    </w:p>
    <w:p>
      <w:pPr>
        <w:pStyle w:val="1304"/>
        <w:spacing w:before="0" w:beforeAutospacing="0" w:after="0" w:afterAutospacing="0"/>
        <w:shd w:val="clear" w:color="auto" w:fill="ffffff"/>
        <w:rPr>
          <w:sz w:val="20"/>
          <w:szCs w:val="20"/>
        </w:rPr>
      </w:pPr>
      <w:r>
        <w:rPr>
          <w:sz w:val="20"/>
          <w:szCs w:val="20"/>
        </w:rPr>
        <w:t xml:space="preserve">* Организация применяет упрощенную систему налогообложения и не является плательщиком НДС в соответствии со ст. 346.11 главы 26.2 </w:t>
      </w:r>
      <w:hyperlink r:id="rId24" w:tooltip="https://docs.cntd.ru/document/901714421" w:history="1">
        <w:r>
          <w:rPr>
            <w:rStyle w:val="1267"/>
            <w:color w:val="auto"/>
            <w:sz w:val="20"/>
            <w:szCs w:val="20"/>
            <w:u w:val="none"/>
          </w:rPr>
          <w:t xml:space="preserve">Налогового кодекса Российской Федерации</w:t>
        </w:r>
      </w:hyperlink>
      <w:r>
        <w:rPr>
          <w:sz w:val="20"/>
          <w:szCs w:val="20"/>
        </w:rPr>
        <w:t xml:space="preserve">.</w:t>
      </w:r>
      <w:r>
        <w:rPr>
          <w:sz w:val="20"/>
          <w:szCs w:val="20"/>
        </w:rPr>
        <w:br/>
        <w:t xml:space="preserve">** Выделяется в целях реализации пункта 6 статьи 168 </w:t>
      </w:r>
      <w:hyperlink r:id="rId25" w:tooltip="https://docs.cntd.ru/document/901714421" w:history="1">
        <w:r>
          <w:rPr>
            <w:rStyle w:val="1267"/>
            <w:color w:val="auto"/>
            <w:sz w:val="20"/>
            <w:szCs w:val="20"/>
            <w:u w:val="none"/>
          </w:rPr>
          <w:t xml:space="preserve">Налогового кодекса Российской Федерации</w:t>
        </w:r>
      </w:hyperlink>
      <w:r>
        <w:rPr>
          <w:sz w:val="20"/>
          <w:szCs w:val="20"/>
        </w:rPr>
        <w:t xml:space="preserve"> (часть вторая).</w:t>
      </w:r>
      <w:r>
        <w:rPr>
          <w:sz w:val="20"/>
          <w:szCs w:val="20"/>
        </w:rPr>
        <w:br/>
        <w:t xml:space="preserve">*** Тариф действует с 1 сентября 2021 года.</w:t>
      </w:r>
      <w:r>
        <w:rPr>
          <w:sz w:val="20"/>
          <w:szCs w:val="20"/>
        </w:rPr>
        <w:br/>
        <w:t xml:space="preserve">**** Тариф действует с 1 июля 2022 года по 30 ноября 2022 года.</w:t>
      </w:r>
      <w:r>
        <w:rPr>
          <w:sz w:val="20"/>
          <w:szCs w:val="20"/>
        </w:rPr>
        <w:br/>
        <w:t xml:space="preserve">***** Тариф действует с 1 декабря 2022 года.</w:t>
      </w:r>
      <w:r>
        <w:rPr>
          <w:sz w:val="20"/>
          <w:szCs w:val="20"/>
        </w:rPr>
      </w:r>
      <w:r>
        <w:rPr>
          <w:sz w:val="20"/>
          <w:szCs w:val="20"/>
        </w:rPr>
      </w:r>
    </w:p>
    <w:p>
      <w:pPr>
        <w:pStyle w:val="1247"/>
        <w:ind w:left="119" w:right="147" w:firstLine="709"/>
        <w:jc w:val="both"/>
      </w:pPr>
      <w:r/>
      <w:r/>
    </w:p>
    <w:p>
      <w:pPr>
        <w:pStyle w:val="1247"/>
        <w:ind w:left="119" w:right="147" w:firstLine="709"/>
        <w:jc w:val="right"/>
      </w:pPr>
      <w:r>
        <w:t xml:space="preserve">Таблица 1.11.1.5</w:t>
      </w:r>
      <w:r/>
    </w:p>
    <w:p>
      <w:pPr>
        <w:pStyle w:val="1247"/>
        <w:ind w:left="142" w:right="130" w:firstLine="709"/>
        <w:jc w:val="center"/>
        <w:rPr>
          <w:rFonts w:ascii="Liberation Serif" w:hAnsi="Liberation Serif" w:cs="Liberation Serif"/>
        </w:rPr>
      </w:pPr>
      <w:r>
        <w:t xml:space="preserve">Динамика утверждённых тарифов на тепловую энергию </w:t>
      </w:r>
      <w:r>
        <w:rPr>
          <w:rFonts w:ascii="Liberation Serif" w:hAnsi="Liberation Serif" w:cs="Liberation Serif"/>
        </w:rPr>
        <w:t xml:space="preserve">ООО «ЖКХ Юго-Запад»</w:t>
      </w:r>
      <w:r>
        <w:rPr>
          <w:rFonts w:ascii="Liberation Serif" w:hAnsi="Liberation Serif" w:cs="Liberation Serif"/>
        </w:rPr>
      </w:r>
      <w:r>
        <w:rPr>
          <w:rFonts w:ascii="Liberation Serif" w:hAnsi="Liberation Serif" w:cs="Liberation Serif"/>
        </w:rPr>
      </w:r>
    </w:p>
    <w:tbl>
      <w:tblPr>
        <w:tblW w:w="0" w:type="auto"/>
        <w:shd w:val="clear" w:color="auto" w:fill="ffffff"/>
        <w:tblCellMar>
          <w:left w:w="0" w:type="dxa"/>
          <w:right w:w="0" w:type="dxa"/>
        </w:tblCellMar>
        <w:tblLook w:val="04A0" w:firstRow="1" w:lastRow="0" w:firstColumn="1" w:lastColumn="0" w:noHBand="0" w:noVBand="1"/>
      </w:tblPr>
      <w:tblGrid>
        <w:gridCol w:w="739"/>
        <w:gridCol w:w="2587"/>
        <w:gridCol w:w="2093"/>
        <w:gridCol w:w="1294"/>
        <w:gridCol w:w="1574"/>
        <w:gridCol w:w="1474"/>
      </w:tblGrid>
      <w:tr>
        <w:tblPrEx/>
        <w:trPr/>
        <w:tc>
          <w:tcPr>
            <w:shd w:val="clear" w:color="auto" w:fill="auto"/>
            <w:tcBorders>
              <w:top w:val="single" w:color="000000" w:sz="6" w:space="0"/>
              <w:left w:val="single" w:color="000000" w:sz="6" w:space="0"/>
              <w:right w:val="single" w:color="000000" w:sz="6" w:space="0"/>
            </w:tcBorders>
            <w:tcMar>
              <w:left w:w="149" w:type="dxa"/>
              <w:top w:w="0" w:type="dxa"/>
              <w:right w:w="149" w:type="dxa"/>
              <w:bottom w:w="0" w:type="dxa"/>
            </w:tcMar>
            <w:tcW w:w="739" w:type="dxa"/>
            <w:vMerge w:val="restart"/>
            <w:textDirection w:val="lrTb"/>
            <w:noWrap w:val="false"/>
          </w:tcPr>
          <w:p>
            <w:pPr>
              <w:pStyle w:val="1304"/>
              <w:jc w:val="center"/>
              <w:spacing w:before="0" w:beforeAutospacing="0" w:after="0" w:afterAutospacing="0"/>
              <w:rPr>
                <w:sz w:val="20"/>
                <w:szCs w:val="20"/>
              </w:rPr>
            </w:pPr>
            <w:r>
              <w:rPr>
                <w:sz w:val="20"/>
                <w:szCs w:val="20"/>
              </w:rPr>
              <w:t xml:space="preserve">N п/п</w:t>
            </w:r>
            <w:r>
              <w:rPr>
                <w:sz w:val="20"/>
                <w:szCs w:val="20"/>
              </w:rPr>
            </w:r>
            <w:r>
              <w:rPr>
                <w:sz w:val="20"/>
                <w:szCs w:val="20"/>
              </w:rPr>
            </w:r>
          </w:p>
        </w:tc>
        <w:tc>
          <w:tcPr>
            <w:shd w:val="clear" w:color="auto" w:fill="auto"/>
            <w:tcBorders>
              <w:top w:val="single" w:color="000000" w:sz="6" w:space="0"/>
              <w:left w:val="single" w:color="000000" w:sz="6" w:space="0"/>
              <w:right w:val="single" w:color="000000" w:sz="6" w:space="0"/>
            </w:tcBorders>
            <w:tcMar>
              <w:left w:w="149" w:type="dxa"/>
              <w:top w:w="0" w:type="dxa"/>
              <w:right w:w="149" w:type="dxa"/>
              <w:bottom w:w="0" w:type="dxa"/>
            </w:tcMar>
            <w:tcW w:w="2587" w:type="dxa"/>
            <w:vMerge w:val="restart"/>
            <w:textDirection w:val="lrTb"/>
            <w:noWrap w:val="false"/>
          </w:tcPr>
          <w:p>
            <w:pPr>
              <w:pStyle w:val="1304"/>
              <w:jc w:val="center"/>
              <w:spacing w:before="0" w:beforeAutospacing="0" w:after="0" w:afterAutospacing="0"/>
              <w:rPr>
                <w:sz w:val="20"/>
                <w:szCs w:val="20"/>
              </w:rPr>
            </w:pPr>
            <w:r>
              <w:rPr>
                <w:sz w:val="20"/>
                <w:szCs w:val="20"/>
              </w:rPr>
              <w:t xml:space="preserve">Наименование регулируемой организации</w:t>
            </w:r>
            <w:r>
              <w:rPr>
                <w:sz w:val="20"/>
                <w:szCs w:val="20"/>
              </w:rPr>
            </w:r>
            <w:r>
              <w:rPr>
                <w:sz w:val="20"/>
                <w:szCs w:val="20"/>
              </w:rPr>
            </w:r>
          </w:p>
        </w:tc>
        <w:tc>
          <w:tcPr>
            <w:shd w:val="clear" w:color="auto" w:fill="auto"/>
            <w:tcBorders>
              <w:top w:val="single" w:color="000000" w:sz="6" w:space="0"/>
              <w:left w:val="single" w:color="000000" w:sz="6" w:space="0"/>
              <w:bottom w:val="none" w:color="000000" w:sz="4" w:space="0"/>
              <w:right w:val="single" w:color="000000" w:sz="6" w:space="0"/>
            </w:tcBorders>
            <w:tcMar>
              <w:left w:w="149" w:type="dxa"/>
              <w:top w:w="0" w:type="dxa"/>
              <w:right w:w="149" w:type="dxa"/>
              <w:bottom w:w="0" w:type="dxa"/>
            </w:tcMar>
            <w:tcW w:w="2093" w:type="dxa"/>
            <w:textDirection w:val="lrTb"/>
            <w:noWrap w:val="false"/>
          </w:tcPr>
          <w:p>
            <w:pPr>
              <w:pStyle w:val="1304"/>
              <w:jc w:val="center"/>
              <w:spacing w:before="0" w:beforeAutospacing="0" w:after="0" w:afterAutospacing="0"/>
              <w:rPr>
                <w:sz w:val="20"/>
                <w:szCs w:val="20"/>
              </w:rPr>
            </w:pPr>
            <w:r>
              <w:rPr>
                <w:sz w:val="20"/>
                <w:szCs w:val="20"/>
              </w:rPr>
              <w:t xml:space="preserve">Вид тарифа</w:t>
            </w:r>
            <w:r>
              <w:rPr>
                <w:sz w:val="20"/>
                <w:szCs w:val="20"/>
              </w:rPr>
            </w:r>
            <w:r>
              <w:rPr>
                <w:sz w:val="20"/>
                <w:szCs w:val="20"/>
              </w:rPr>
            </w:r>
          </w:p>
        </w:tc>
        <w:tc>
          <w:tcPr>
            <w:shd w:val="clear" w:color="auto" w:fill="auto"/>
            <w:tcBorders>
              <w:top w:val="single" w:color="000000" w:sz="6" w:space="0"/>
              <w:left w:val="single" w:color="000000" w:sz="6" w:space="0"/>
              <w:bottom w:val="none" w:color="000000" w:sz="4" w:space="0"/>
              <w:right w:val="single" w:color="000000" w:sz="6" w:space="0"/>
            </w:tcBorders>
            <w:tcMar>
              <w:left w:w="149" w:type="dxa"/>
              <w:top w:w="0" w:type="dxa"/>
              <w:right w:w="149" w:type="dxa"/>
              <w:bottom w:w="0" w:type="dxa"/>
            </w:tcMar>
            <w:tcW w:w="1294" w:type="dxa"/>
            <w:textDirection w:val="lrTb"/>
            <w:noWrap w:val="false"/>
          </w:tcPr>
          <w:p>
            <w:pPr>
              <w:pStyle w:val="1304"/>
              <w:jc w:val="center"/>
              <w:spacing w:before="0" w:beforeAutospacing="0" w:after="0" w:afterAutospacing="0"/>
              <w:rPr>
                <w:sz w:val="20"/>
                <w:szCs w:val="20"/>
              </w:rPr>
            </w:pPr>
            <w:r>
              <w:rPr>
                <w:sz w:val="20"/>
                <w:szCs w:val="20"/>
              </w:rPr>
              <w:t xml:space="preserve">Год</w:t>
            </w:r>
            <w:r>
              <w:rPr>
                <w:sz w:val="20"/>
                <w:szCs w:val="20"/>
              </w:rPr>
            </w:r>
            <w:r>
              <w:rPr>
                <w:sz w:val="20"/>
                <w:szCs w:val="20"/>
              </w:rPr>
            </w:r>
          </w:p>
        </w:tc>
        <w:tc>
          <w:tcPr>
            <w:gridSpan w:val="2"/>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2772" w:type="dxa"/>
            <w:textDirection w:val="lrTb"/>
            <w:noWrap w:val="false"/>
          </w:tcPr>
          <w:p>
            <w:pPr>
              <w:pStyle w:val="1304"/>
              <w:jc w:val="center"/>
              <w:spacing w:before="0" w:beforeAutospacing="0" w:after="0" w:afterAutospacing="0"/>
              <w:rPr>
                <w:sz w:val="20"/>
                <w:szCs w:val="20"/>
              </w:rPr>
            </w:pPr>
            <w:r>
              <w:rPr>
                <w:sz w:val="20"/>
                <w:szCs w:val="20"/>
              </w:rPr>
              <w:t xml:space="preserve">Вода</w:t>
            </w:r>
            <w:r>
              <w:rPr>
                <w:sz w:val="20"/>
                <w:szCs w:val="20"/>
              </w:rPr>
            </w:r>
            <w:r>
              <w:rPr>
                <w:sz w:val="20"/>
                <w:szCs w:val="20"/>
              </w:rPr>
            </w:r>
          </w:p>
        </w:tc>
      </w:tr>
      <w:tr>
        <w:tblPrEx/>
        <w:trPr/>
        <w:tc>
          <w:tcPr>
            <w:shd w:val="clear" w:color="auto" w:fill="auto"/>
            <w:tcBorders>
              <w:left w:val="single" w:color="000000" w:sz="6" w:space="0"/>
              <w:bottom w:val="none" w:color="000000" w:sz="4" w:space="0"/>
              <w:right w:val="single" w:color="000000" w:sz="6" w:space="0"/>
            </w:tcBorders>
            <w:tcMar>
              <w:left w:w="149" w:type="dxa"/>
              <w:top w:w="0" w:type="dxa"/>
              <w:right w:w="149" w:type="dxa"/>
              <w:bottom w:w="0" w:type="dxa"/>
            </w:tcMar>
            <w:tcW w:w="739"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bottom w:val="none" w:color="000000" w:sz="4" w:space="0"/>
              <w:right w:val="single" w:color="000000" w:sz="6" w:space="0"/>
            </w:tcBorders>
            <w:tcMar>
              <w:left w:w="149" w:type="dxa"/>
              <w:top w:w="0" w:type="dxa"/>
              <w:right w:w="149" w:type="dxa"/>
              <w:bottom w:w="0" w:type="dxa"/>
            </w:tcMar>
            <w:tcW w:w="2587"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top w:val="none" w:color="000000" w:sz="4" w:space="0"/>
              <w:left w:val="single" w:color="000000" w:sz="6" w:space="0"/>
              <w:bottom w:val="none" w:color="000000" w:sz="4" w:space="0"/>
              <w:right w:val="single" w:color="000000" w:sz="6" w:space="0"/>
            </w:tcBorders>
            <w:tcMar>
              <w:left w:w="149" w:type="dxa"/>
              <w:top w:w="0" w:type="dxa"/>
              <w:right w:w="149" w:type="dxa"/>
              <w:bottom w:w="0" w:type="dxa"/>
            </w:tcMar>
            <w:tcW w:w="2093" w:type="dxa"/>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top w:val="none" w:color="000000" w:sz="4" w:space="0"/>
              <w:left w:val="single" w:color="000000" w:sz="6" w:space="0"/>
              <w:bottom w:val="none" w:color="000000" w:sz="4" w:space="0"/>
              <w:right w:val="single" w:color="000000" w:sz="6" w:space="0"/>
            </w:tcBorders>
            <w:tcMar>
              <w:left w:w="149" w:type="dxa"/>
              <w:top w:w="0" w:type="dxa"/>
              <w:right w:w="149" w:type="dxa"/>
              <w:bottom w:w="0" w:type="dxa"/>
            </w:tcMar>
            <w:tcW w:w="1294" w:type="dxa"/>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78" w:type="dxa"/>
            <w:textDirection w:val="lrTb"/>
            <w:noWrap w:val="false"/>
          </w:tcPr>
          <w:p>
            <w:pPr>
              <w:pStyle w:val="1304"/>
              <w:jc w:val="center"/>
              <w:spacing w:before="0" w:beforeAutospacing="0" w:after="0" w:afterAutospacing="0"/>
              <w:rPr>
                <w:sz w:val="20"/>
                <w:szCs w:val="20"/>
              </w:rPr>
            </w:pPr>
            <w:r>
              <w:rPr>
                <w:sz w:val="20"/>
                <w:szCs w:val="20"/>
              </w:rPr>
              <w:t xml:space="preserve">с 1 января по 30 июня</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pStyle w:val="1304"/>
              <w:jc w:val="center"/>
              <w:spacing w:before="0" w:beforeAutospacing="0" w:after="0" w:afterAutospacing="0"/>
              <w:rPr>
                <w:sz w:val="20"/>
                <w:szCs w:val="20"/>
              </w:rPr>
            </w:pPr>
            <w:r>
              <w:rPr>
                <w:sz w:val="20"/>
                <w:szCs w:val="20"/>
              </w:rPr>
              <w:t xml:space="preserve">с 1 июля по 31 декабря</w:t>
            </w:r>
            <w:r>
              <w:rPr>
                <w:sz w:val="20"/>
                <w:szCs w:val="20"/>
              </w:rPr>
            </w:r>
            <w:r>
              <w:rPr>
                <w:sz w:val="20"/>
                <w:szCs w:val="20"/>
              </w:rPr>
            </w:r>
          </w:p>
        </w:tc>
      </w:tr>
      <w:tr>
        <w:tblPrEx/>
        <w:trPr/>
        <w:tc>
          <w:tcPr>
            <w:shd w:val="clear" w:color="auto" w:fill="auto"/>
            <w:tcBorders>
              <w:top w:val="single" w:color="000000" w:sz="6" w:space="0"/>
              <w:left w:val="single" w:color="000000" w:sz="6" w:space="0"/>
              <w:right w:val="single" w:color="000000" w:sz="6" w:space="0"/>
            </w:tcBorders>
            <w:tcMar>
              <w:left w:w="149" w:type="dxa"/>
              <w:top w:w="0" w:type="dxa"/>
              <w:right w:w="149" w:type="dxa"/>
              <w:bottom w:w="0" w:type="dxa"/>
            </w:tcMar>
            <w:tcW w:w="739" w:type="dxa"/>
            <w:vMerge w:val="restart"/>
            <w:textDirection w:val="lrTb"/>
            <w:noWrap w:val="false"/>
          </w:tcPr>
          <w:p>
            <w:pPr>
              <w:pStyle w:val="1304"/>
              <w:spacing w:before="0" w:beforeAutospacing="0" w:after="0" w:afterAutospacing="0"/>
              <w:rPr>
                <w:sz w:val="20"/>
                <w:szCs w:val="20"/>
              </w:rPr>
            </w:pPr>
            <w:r>
              <w:rPr>
                <w:sz w:val="20"/>
                <w:szCs w:val="20"/>
              </w:rPr>
              <w:t xml:space="preserve">1.</w:t>
            </w:r>
            <w:r>
              <w:rPr>
                <w:sz w:val="20"/>
                <w:szCs w:val="20"/>
              </w:rPr>
            </w:r>
            <w:r>
              <w:rPr>
                <w:sz w:val="20"/>
                <w:szCs w:val="20"/>
              </w:rPr>
            </w:r>
          </w:p>
        </w:tc>
        <w:tc>
          <w:tcPr>
            <w:shd w:val="clear" w:color="auto" w:fill="auto"/>
            <w:tcBorders>
              <w:top w:val="single" w:color="000000" w:sz="6" w:space="0"/>
              <w:left w:val="single" w:color="000000" w:sz="6" w:space="0"/>
              <w:right w:val="single" w:color="000000" w:sz="6" w:space="0"/>
            </w:tcBorders>
            <w:tcMar>
              <w:left w:w="149" w:type="dxa"/>
              <w:top w:w="0" w:type="dxa"/>
              <w:right w:w="149" w:type="dxa"/>
              <w:bottom w:w="0" w:type="dxa"/>
            </w:tcMar>
            <w:tcW w:w="2587" w:type="dxa"/>
            <w:vMerge w:val="restart"/>
            <w:textDirection w:val="lrTb"/>
            <w:noWrap w:val="false"/>
          </w:tcPr>
          <w:p>
            <w:pPr>
              <w:pStyle w:val="1304"/>
              <w:jc w:val="center"/>
              <w:spacing w:before="0" w:beforeAutospacing="0" w:after="0" w:afterAutospacing="0"/>
              <w:rPr>
                <w:sz w:val="20"/>
                <w:szCs w:val="20"/>
              </w:rPr>
            </w:pPr>
            <w:r>
              <w:rPr>
                <w:sz w:val="20"/>
                <w:szCs w:val="20"/>
              </w:rPr>
              <w:t xml:space="preserve">Общество с ограниченной ответственностью "ЖКХ Юго-Запад"</w:t>
            </w:r>
            <w:r>
              <w:rPr>
                <w:sz w:val="20"/>
                <w:szCs w:val="20"/>
              </w:rPr>
            </w:r>
            <w:r>
              <w:rPr>
                <w:sz w:val="20"/>
                <w:szCs w:val="20"/>
              </w:rPr>
            </w:r>
          </w:p>
        </w:tc>
        <w:tc>
          <w:tcPr>
            <w:gridSpan w:val="4"/>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6159" w:type="dxa"/>
            <w:textDirection w:val="lrTb"/>
            <w:noWrap w:val="false"/>
          </w:tcPr>
          <w:p>
            <w:pPr>
              <w:pStyle w:val="1304"/>
              <w:spacing w:before="0" w:beforeAutospacing="0" w:after="0" w:afterAutospacing="0"/>
              <w:rPr>
                <w:sz w:val="20"/>
                <w:szCs w:val="20"/>
              </w:rPr>
            </w:pPr>
            <w:r>
              <w:rPr>
                <w:sz w:val="20"/>
                <w:szCs w:val="20"/>
              </w:rPr>
              <w:t xml:space="preserve">Для потребителей, в случае отсутствия дифференциации тарифов по схеме подключения</w:t>
            </w:r>
            <w:r>
              <w:rPr>
                <w:sz w:val="20"/>
                <w:szCs w:val="20"/>
              </w:rPr>
            </w:r>
            <w:r>
              <w:rPr>
                <w:sz w:val="20"/>
                <w:szCs w:val="20"/>
              </w:rPr>
            </w:r>
          </w:p>
        </w:tc>
      </w:tr>
      <w:tr>
        <w:tblPrEx/>
        <w:trPr/>
        <w:tc>
          <w:tcPr>
            <w:shd w:val="clear" w:color="auto" w:fill="auto"/>
            <w:tcBorders>
              <w:left w:val="single" w:color="000000" w:sz="6" w:space="0"/>
              <w:right w:val="single" w:color="000000" w:sz="6" w:space="0"/>
            </w:tcBorders>
            <w:tcMar>
              <w:left w:w="149" w:type="dxa"/>
              <w:top w:w="0" w:type="dxa"/>
              <w:right w:w="149" w:type="dxa"/>
              <w:bottom w:w="0" w:type="dxa"/>
            </w:tcMar>
            <w:tcW w:w="739"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2587" w:type="dxa"/>
            <w:vMerge w:val="continue"/>
            <w:textDirection w:val="lrTb"/>
            <w:noWrap w:val="false"/>
          </w:tcPr>
          <w:p>
            <w:pPr>
              <w:rPr>
                <w:sz w:val="20"/>
                <w:szCs w:val="20"/>
              </w:rPr>
            </w:pPr>
            <w:r>
              <w:rPr>
                <w:sz w:val="20"/>
                <w:szCs w:val="20"/>
              </w:rPr>
            </w:r>
            <w:r>
              <w:rPr>
                <w:sz w:val="20"/>
                <w:szCs w:val="20"/>
              </w:rPr>
            </w:r>
            <w:r>
              <w:rPr>
                <w:sz w:val="20"/>
                <w:szCs w:val="20"/>
              </w:rPr>
            </w:r>
          </w:p>
        </w:tc>
        <w:tc>
          <w:tcPr>
            <w:gridSpan w:val="4"/>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6159" w:type="dxa"/>
            <w:textDirection w:val="lrTb"/>
            <w:noWrap w:val="false"/>
          </w:tcPr>
          <w:p>
            <w:pPr>
              <w:pStyle w:val="1304"/>
              <w:jc w:val="center"/>
              <w:spacing w:before="0" w:beforeAutospacing="0" w:after="0" w:afterAutospacing="0"/>
              <w:rPr>
                <w:sz w:val="20"/>
                <w:szCs w:val="20"/>
              </w:rPr>
            </w:pPr>
            <w:r>
              <w:rPr>
                <w:sz w:val="20"/>
                <w:szCs w:val="20"/>
              </w:rPr>
              <w:t xml:space="preserve">Юргамышский муниципальный округ: с. Кислянское</w:t>
            </w:r>
            <w:r>
              <w:rPr>
                <w:sz w:val="20"/>
                <w:szCs w:val="20"/>
              </w:rPr>
            </w:r>
            <w:r>
              <w:rPr>
                <w:sz w:val="20"/>
                <w:szCs w:val="20"/>
              </w:rPr>
            </w:r>
          </w:p>
        </w:tc>
      </w:tr>
      <w:tr>
        <w:tblPrEx/>
        <w:trPr>
          <w:trHeight w:val="230"/>
        </w:trPr>
        <w:tc>
          <w:tcPr>
            <w:shd w:val="clear" w:color="auto" w:fill="auto"/>
            <w:tcBorders>
              <w:left w:val="single" w:color="000000" w:sz="6" w:space="0"/>
              <w:right w:val="single" w:color="000000" w:sz="6" w:space="0"/>
            </w:tcBorders>
            <w:tcMar>
              <w:left w:w="149" w:type="dxa"/>
              <w:top w:w="0" w:type="dxa"/>
              <w:right w:w="149" w:type="dxa"/>
              <w:bottom w:w="0" w:type="dxa"/>
            </w:tcMar>
            <w:tcW w:w="739"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2587"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top w:val="single" w:color="000000" w:sz="6" w:space="0"/>
              <w:left w:val="single" w:color="000000" w:sz="6" w:space="0"/>
              <w:right w:val="single" w:color="000000" w:sz="6" w:space="0"/>
            </w:tcBorders>
            <w:tcMar>
              <w:left w:w="149" w:type="dxa"/>
              <w:top w:w="0" w:type="dxa"/>
              <w:right w:w="149" w:type="dxa"/>
              <w:bottom w:w="0" w:type="dxa"/>
            </w:tcMar>
            <w:tcW w:w="2093" w:type="dxa"/>
            <w:vMerge w:val="restart"/>
            <w:textDirection w:val="lrTb"/>
            <w:noWrap w:val="false"/>
          </w:tcPr>
          <w:p>
            <w:pPr>
              <w:pStyle w:val="1304"/>
              <w:spacing w:before="0" w:beforeAutospacing="0" w:after="0" w:afterAutospacing="0"/>
              <w:rPr>
                <w:sz w:val="20"/>
                <w:szCs w:val="20"/>
              </w:rPr>
            </w:pPr>
            <w:r>
              <w:rPr>
                <w:sz w:val="20"/>
                <w:szCs w:val="20"/>
              </w:rPr>
              <w:t xml:space="preserve">одноставочный, руб./Гкал &lt;*&gt;</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pStyle w:val="1304"/>
              <w:jc w:val="center"/>
              <w:spacing w:before="0" w:beforeAutospacing="0" w:after="0" w:afterAutospacing="0"/>
              <w:rPr>
                <w:sz w:val="20"/>
                <w:szCs w:val="20"/>
              </w:rPr>
            </w:pPr>
            <w:r>
              <w:rPr>
                <w:sz w:val="20"/>
                <w:szCs w:val="20"/>
              </w:rPr>
              <w:t xml:space="preserve">2020</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78" w:type="dxa"/>
            <w:textDirection w:val="lrTb"/>
            <w:noWrap w:val="false"/>
          </w:tcPr>
          <w:p>
            <w:pPr>
              <w:pStyle w:val="1304"/>
              <w:jc w:val="center"/>
              <w:spacing w:before="0" w:beforeAutospacing="0" w:after="0" w:afterAutospacing="0"/>
              <w:rPr>
                <w:sz w:val="20"/>
                <w:szCs w:val="20"/>
              </w:rPr>
            </w:pPr>
            <w:r>
              <w:rPr>
                <w:sz w:val="20"/>
                <w:szCs w:val="20"/>
              </w:rPr>
              <w:t xml:space="preserve">3635,75</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pStyle w:val="1304"/>
              <w:jc w:val="center"/>
              <w:spacing w:before="0" w:beforeAutospacing="0" w:after="0" w:afterAutospacing="0"/>
              <w:rPr>
                <w:sz w:val="20"/>
                <w:szCs w:val="20"/>
              </w:rPr>
            </w:pPr>
            <w:r>
              <w:rPr>
                <w:sz w:val="20"/>
                <w:szCs w:val="20"/>
              </w:rPr>
              <w:t xml:space="preserve">3635,75</w:t>
            </w:r>
            <w:r>
              <w:rPr>
                <w:sz w:val="20"/>
                <w:szCs w:val="20"/>
              </w:rPr>
            </w:r>
            <w:r>
              <w:rPr>
                <w:sz w:val="20"/>
                <w:szCs w:val="20"/>
              </w:rPr>
            </w:r>
          </w:p>
        </w:tc>
      </w:tr>
      <w:tr>
        <w:tblPrEx/>
        <w:trPr/>
        <w:tc>
          <w:tcPr>
            <w:shd w:val="clear" w:color="auto" w:fill="auto"/>
            <w:tcBorders>
              <w:left w:val="single" w:color="000000" w:sz="6" w:space="0"/>
              <w:right w:val="single" w:color="000000" w:sz="6" w:space="0"/>
            </w:tcBorders>
            <w:tcMar>
              <w:left w:w="149" w:type="dxa"/>
              <w:top w:w="0" w:type="dxa"/>
              <w:right w:w="149" w:type="dxa"/>
              <w:bottom w:w="0" w:type="dxa"/>
            </w:tcMar>
            <w:tcW w:w="739"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2587"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2093"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pStyle w:val="1304"/>
              <w:jc w:val="center"/>
              <w:spacing w:before="0" w:beforeAutospacing="0" w:after="0" w:afterAutospacing="0"/>
              <w:rPr>
                <w:sz w:val="20"/>
                <w:szCs w:val="20"/>
              </w:rPr>
            </w:pPr>
            <w:r>
              <w:rPr>
                <w:sz w:val="20"/>
                <w:szCs w:val="20"/>
              </w:rPr>
              <w:t xml:space="preserve">2021</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78" w:type="dxa"/>
            <w:textDirection w:val="lrTb"/>
            <w:noWrap w:val="false"/>
          </w:tcPr>
          <w:p>
            <w:pPr>
              <w:pStyle w:val="1304"/>
              <w:jc w:val="center"/>
              <w:spacing w:before="0" w:beforeAutospacing="0" w:after="0" w:afterAutospacing="0"/>
              <w:rPr>
                <w:sz w:val="20"/>
                <w:szCs w:val="20"/>
              </w:rPr>
            </w:pPr>
            <w:r>
              <w:rPr>
                <w:sz w:val="20"/>
                <w:szCs w:val="20"/>
              </w:rPr>
              <w:t xml:space="preserve">3635,75</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pStyle w:val="1304"/>
              <w:jc w:val="center"/>
              <w:spacing w:before="0" w:beforeAutospacing="0" w:after="0" w:afterAutospacing="0"/>
              <w:rPr>
                <w:sz w:val="20"/>
                <w:szCs w:val="20"/>
              </w:rPr>
            </w:pPr>
            <w:r>
              <w:rPr>
                <w:sz w:val="20"/>
                <w:szCs w:val="20"/>
              </w:rPr>
              <w:t xml:space="preserve">3701,32</w:t>
            </w:r>
            <w:r>
              <w:rPr>
                <w:sz w:val="20"/>
                <w:szCs w:val="20"/>
              </w:rPr>
            </w:r>
            <w:r>
              <w:rPr>
                <w:sz w:val="20"/>
                <w:szCs w:val="20"/>
              </w:rPr>
            </w:r>
          </w:p>
        </w:tc>
      </w:tr>
      <w:tr>
        <w:tblPrEx/>
        <w:trPr/>
        <w:tc>
          <w:tcPr>
            <w:shd w:val="clear" w:color="auto" w:fill="auto"/>
            <w:tcBorders>
              <w:left w:val="single" w:color="000000" w:sz="6" w:space="0"/>
              <w:right w:val="single" w:color="000000" w:sz="6" w:space="0"/>
            </w:tcBorders>
            <w:tcMar>
              <w:left w:w="149" w:type="dxa"/>
              <w:top w:w="0" w:type="dxa"/>
              <w:right w:w="149" w:type="dxa"/>
              <w:bottom w:w="0" w:type="dxa"/>
            </w:tcMar>
            <w:tcW w:w="739"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2587"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2093"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pStyle w:val="1304"/>
              <w:jc w:val="center"/>
              <w:spacing w:before="0" w:beforeAutospacing="0" w:after="0" w:afterAutospacing="0"/>
              <w:rPr>
                <w:sz w:val="20"/>
                <w:szCs w:val="20"/>
              </w:rPr>
            </w:pPr>
            <w:r>
              <w:rPr>
                <w:sz w:val="20"/>
                <w:szCs w:val="20"/>
              </w:rPr>
              <w:t xml:space="preserve">2022</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78" w:type="dxa"/>
            <w:textDirection w:val="lrTb"/>
            <w:noWrap w:val="false"/>
          </w:tcPr>
          <w:p>
            <w:pPr>
              <w:pStyle w:val="1304"/>
              <w:jc w:val="center"/>
              <w:spacing w:before="0" w:beforeAutospacing="0" w:after="0" w:afterAutospacing="0"/>
              <w:rPr>
                <w:sz w:val="20"/>
                <w:szCs w:val="20"/>
              </w:rPr>
            </w:pPr>
            <w:r>
              <w:rPr>
                <w:sz w:val="20"/>
                <w:szCs w:val="20"/>
              </w:rPr>
              <w:t xml:space="preserve">3701,32</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pStyle w:val="1304"/>
              <w:jc w:val="center"/>
              <w:spacing w:before="0" w:beforeAutospacing="0" w:after="0" w:afterAutospacing="0"/>
              <w:rPr>
                <w:sz w:val="20"/>
                <w:szCs w:val="20"/>
              </w:rPr>
            </w:pPr>
            <w:r>
              <w:rPr>
                <w:sz w:val="20"/>
                <w:szCs w:val="20"/>
              </w:rPr>
              <w:t xml:space="preserve">3835,65&lt;***&gt;</w:t>
            </w:r>
            <w:r>
              <w:rPr>
                <w:sz w:val="20"/>
                <w:szCs w:val="20"/>
              </w:rPr>
            </w:r>
            <w:r>
              <w:rPr>
                <w:sz w:val="20"/>
                <w:szCs w:val="20"/>
              </w:rPr>
            </w:r>
          </w:p>
        </w:tc>
      </w:tr>
      <w:tr>
        <w:tblPrEx/>
        <w:trPr/>
        <w:tc>
          <w:tcPr>
            <w:shd w:val="clear" w:color="auto" w:fill="auto"/>
            <w:tcBorders>
              <w:left w:val="single" w:color="000000" w:sz="6" w:space="0"/>
              <w:right w:val="single" w:color="000000" w:sz="6" w:space="0"/>
            </w:tcBorders>
            <w:tcMar>
              <w:left w:w="149" w:type="dxa"/>
              <w:top w:w="0" w:type="dxa"/>
              <w:right w:w="149" w:type="dxa"/>
              <w:bottom w:w="0" w:type="dxa"/>
            </w:tcMar>
            <w:tcW w:w="739"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2587"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2093"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pStyle w:val="1304"/>
              <w:jc w:val="center"/>
              <w:spacing w:before="0" w:beforeAutospacing="0" w:after="0" w:afterAutospacing="0"/>
              <w:rPr>
                <w:sz w:val="20"/>
                <w:szCs w:val="20"/>
              </w:rPr>
            </w:pPr>
            <w:r>
              <w:rPr>
                <w:sz w:val="20"/>
                <w:szCs w:val="20"/>
              </w:rPr>
              <w:t xml:space="preserve">2023</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78" w:type="dxa"/>
            <w:textDirection w:val="lrTb"/>
            <w:noWrap w:val="false"/>
          </w:tcPr>
          <w:p>
            <w:pPr>
              <w:pStyle w:val="1304"/>
              <w:jc w:val="center"/>
              <w:spacing w:before="0" w:beforeAutospacing="0" w:after="0" w:afterAutospacing="0"/>
              <w:rPr>
                <w:sz w:val="20"/>
                <w:szCs w:val="20"/>
              </w:rPr>
            </w:pPr>
            <w:r>
              <w:rPr>
                <w:sz w:val="20"/>
                <w:szCs w:val="20"/>
              </w:rPr>
              <w:t xml:space="preserve">4134,60&lt;****&gt;</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pStyle w:val="1304"/>
              <w:jc w:val="center"/>
              <w:spacing w:before="0" w:beforeAutospacing="0" w:after="0" w:afterAutospacing="0"/>
              <w:rPr>
                <w:sz w:val="20"/>
                <w:szCs w:val="20"/>
              </w:rPr>
            </w:pPr>
            <w:r>
              <w:rPr>
                <w:sz w:val="20"/>
                <w:szCs w:val="20"/>
              </w:rPr>
              <w:t xml:space="preserve">4134,60</w:t>
            </w:r>
            <w:r>
              <w:rPr>
                <w:sz w:val="20"/>
                <w:szCs w:val="20"/>
              </w:rPr>
            </w:r>
            <w:r>
              <w:rPr>
                <w:sz w:val="20"/>
                <w:szCs w:val="20"/>
              </w:rPr>
            </w:r>
          </w:p>
        </w:tc>
      </w:tr>
      <w:tr>
        <w:tblPrEx/>
        <w:trPr/>
        <w:tc>
          <w:tcPr>
            <w:shd w:val="clear" w:color="auto" w:fill="auto"/>
            <w:tcBorders>
              <w:left w:val="single" w:color="000000" w:sz="6" w:space="0"/>
              <w:right w:val="single" w:color="000000" w:sz="6" w:space="0"/>
            </w:tcBorders>
            <w:tcMar>
              <w:left w:w="149" w:type="dxa"/>
              <w:top w:w="0" w:type="dxa"/>
              <w:right w:w="149" w:type="dxa"/>
              <w:bottom w:w="0" w:type="dxa"/>
            </w:tcMar>
            <w:tcW w:w="739"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2587"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bottom w:val="none" w:color="000000" w:sz="4" w:space="0"/>
              <w:right w:val="single" w:color="000000" w:sz="6" w:space="0"/>
            </w:tcBorders>
            <w:tcMar>
              <w:left w:w="149" w:type="dxa"/>
              <w:top w:w="0" w:type="dxa"/>
              <w:right w:w="149" w:type="dxa"/>
              <w:bottom w:w="0" w:type="dxa"/>
            </w:tcMar>
            <w:tcW w:w="2093"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pStyle w:val="1304"/>
              <w:jc w:val="center"/>
              <w:spacing w:before="0" w:beforeAutospacing="0" w:after="0" w:afterAutospacing="0"/>
              <w:rPr>
                <w:sz w:val="20"/>
                <w:szCs w:val="20"/>
              </w:rPr>
            </w:pPr>
            <w:r>
              <w:rPr>
                <w:sz w:val="20"/>
                <w:szCs w:val="20"/>
              </w:rPr>
              <w:t xml:space="preserve">2024</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78" w:type="dxa"/>
            <w:textDirection w:val="lrTb"/>
            <w:noWrap w:val="false"/>
          </w:tcPr>
          <w:p>
            <w:pPr>
              <w:pStyle w:val="1304"/>
              <w:jc w:val="center"/>
              <w:spacing w:before="0" w:beforeAutospacing="0" w:after="0" w:afterAutospacing="0"/>
              <w:rPr>
                <w:sz w:val="20"/>
                <w:szCs w:val="20"/>
              </w:rPr>
            </w:pPr>
            <w:r>
              <w:rPr>
                <w:sz w:val="20"/>
                <w:szCs w:val="20"/>
              </w:rPr>
              <w:t xml:space="preserve">4134,60</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pStyle w:val="1304"/>
              <w:jc w:val="center"/>
              <w:spacing w:before="0" w:beforeAutospacing="0" w:after="0" w:afterAutospacing="0"/>
              <w:rPr>
                <w:sz w:val="20"/>
                <w:szCs w:val="20"/>
              </w:rPr>
            </w:pPr>
            <w:r>
              <w:rPr>
                <w:sz w:val="20"/>
                <w:szCs w:val="20"/>
              </w:rPr>
              <w:t xml:space="preserve">4572,06</w:t>
            </w:r>
            <w:r>
              <w:rPr>
                <w:sz w:val="20"/>
                <w:szCs w:val="20"/>
              </w:rPr>
            </w:r>
            <w:r>
              <w:rPr>
                <w:sz w:val="20"/>
                <w:szCs w:val="20"/>
              </w:rPr>
            </w:r>
          </w:p>
        </w:tc>
      </w:tr>
      <w:tr>
        <w:tblPrEx/>
        <w:trPr/>
        <w:tc>
          <w:tcPr>
            <w:shd w:val="clear" w:color="auto" w:fill="auto"/>
            <w:tcBorders>
              <w:left w:val="single" w:color="000000" w:sz="6" w:space="0"/>
              <w:right w:val="single" w:color="000000" w:sz="6" w:space="0"/>
            </w:tcBorders>
            <w:tcMar>
              <w:left w:w="149" w:type="dxa"/>
              <w:top w:w="0" w:type="dxa"/>
              <w:right w:w="149" w:type="dxa"/>
              <w:bottom w:w="0" w:type="dxa"/>
            </w:tcMar>
            <w:tcW w:w="739"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2587" w:type="dxa"/>
            <w:vMerge w:val="continue"/>
            <w:textDirection w:val="lrTb"/>
            <w:noWrap w:val="false"/>
          </w:tcPr>
          <w:p>
            <w:pPr>
              <w:rPr>
                <w:sz w:val="20"/>
                <w:szCs w:val="20"/>
              </w:rPr>
            </w:pPr>
            <w:r>
              <w:rPr>
                <w:sz w:val="20"/>
                <w:szCs w:val="20"/>
              </w:rPr>
            </w:r>
            <w:r>
              <w:rPr>
                <w:sz w:val="20"/>
                <w:szCs w:val="20"/>
              </w:rPr>
            </w:r>
            <w:r>
              <w:rPr>
                <w:sz w:val="20"/>
                <w:szCs w:val="20"/>
              </w:rPr>
            </w:r>
          </w:p>
        </w:tc>
        <w:tc>
          <w:tcPr>
            <w:gridSpan w:val="4"/>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6159" w:type="dxa"/>
            <w:textDirection w:val="lrTb"/>
            <w:noWrap w:val="false"/>
          </w:tcPr>
          <w:p>
            <w:pPr>
              <w:pStyle w:val="1304"/>
              <w:spacing w:before="0" w:beforeAutospacing="0" w:after="0" w:afterAutospacing="0"/>
              <w:rPr>
                <w:sz w:val="20"/>
                <w:szCs w:val="20"/>
              </w:rPr>
            </w:pPr>
            <w:r>
              <w:rPr>
                <w:sz w:val="20"/>
                <w:szCs w:val="20"/>
              </w:rPr>
              <w:t xml:space="preserve">Население &lt;**&gt;</w:t>
            </w:r>
            <w:r>
              <w:rPr>
                <w:sz w:val="20"/>
                <w:szCs w:val="20"/>
              </w:rPr>
            </w:r>
            <w:r>
              <w:rPr>
                <w:sz w:val="20"/>
                <w:szCs w:val="20"/>
              </w:rPr>
            </w:r>
          </w:p>
        </w:tc>
      </w:tr>
      <w:tr>
        <w:tblPrEx/>
        <w:trPr>
          <w:trHeight w:val="230"/>
        </w:trPr>
        <w:tc>
          <w:tcPr>
            <w:shd w:val="clear" w:color="auto" w:fill="auto"/>
            <w:tcBorders>
              <w:left w:val="single" w:color="000000" w:sz="6" w:space="0"/>
              <w:right w:val="single" w:color="000000" w:sz="6" w:space="0"/>
            </w:tcBorders>
            <w:tcMar>
              <w:left w:w="149" w:type="dxa"/>
              <w:top w:w="0" w:type="dxa"/>
              <w:right w:w="149" w:type="dxa"/>
              <w:bottom w:w="0" w:type="dxa"/>
            </w:tcMar>
            <w:tcW w:w="739"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2587"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top w:val="single" w:color="000000" w:sz="6" w:space="0"/>
              <w:left w:val="single" w:color="000000" w:sz="6" w:space="0"/>
              <w:right w:val="single" w:color="000000" w:sz="6" w:space="0"/>
            </w:tcBorders>
            <w:tcMar>
              <w:left w:w="149" w:type="dxa"/>
              <w:top w:w="0" w:type="dxa"/>
              <w:right w:w="149" w:type="dxa"/>
              <w:bottom w:w="0" w:type="dxa"/>
            </w:tcMar>
            <w:tcW w:w="2093" w:type="dxa"/>
            <w:vMerge w:val="restart"/>
            <w:textDirection w:val="lrTb"/>
            <w:noWrap w:val="false"/>
          </w:tcPr>
          <w:p>
            <w:pPr>
              <w:pStyle w:val="1304"/>
              <w:spacing w:before="0" w:beforeAutospacing="0" w:after="0" w:afterAutospacing="0"/>
              <w:rPr>
                <w:sz w:val="20"/>
                <w:szCs w:val="20"/>
              </w:rPr>
            </w:pPr>
            <w:r>
              <w:rPr>
                <w:sz w:val="20"/>
                <w:szCs w:val="20"/>
              </w:rPr>
              <w:t xml:space="preserve">одноставочный, руб./Гкал &lt;*&gt;</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pStyle w:val="1304"/>
              <w:jc w:val="center"/>
              <w:spacing w:before="0" w:beforeAutospacing="0" w:after="0" w:afterAutospacing="0"/>
              <w:rPr>
                <w:sz w:val="20"/>
                <w:szCs w:val="20"/>
              </w:rPr>
            </w:pPr>
            <w:r>
              <w:rPr>
                <w:sz w:val="20"/>
                <w:szCs w:val="20"/>
              </w:rPr>
              <w:t xml:space="preserve">2020</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78" w:type="dxa"/>
            <w:textDirection w:val="lrTb"/>
            <w:noWrap w:val="false"/>
          </w:tcPr>
          <w:p>
            <w:pPr>
              <w:pStyle w:val="1304"/>
              <w:jc w:val="center"/>
              <w:spacing w:before="0" w:beforeAutospacing="0" w:after="0" w:afterAutospacing="0"/>
              <w:rPr>
                <w:sz w:val="20"/>
                <w:szCs w:val="20"/>
              </w:rPr>
            </w:pPr>
            <w:r>
              <w:rPr>
                <w:sz w:val="20"/>
                <w:szCs w:val="20"/>
              </w:rPr>
              <w:t xml:space="preserve">-</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pStyle w:val="1304"/>
              <w:jc w:val="center"/>
              <w:spacing w:before="0" w:beforeAutospacing="0" w:after="0" w:afterAutospacing="0"/>
              <w:rPr>
                <w:sz w:val="20"/>
                <w:szCs w:val="20"/>
              </w:rPr>
            </w:pPr>
            <w:r>
              <w:rPr>
                <w:sz w:val="20"/>
                <w:szCs w:val="20"/>
              </w:rPr>
              <w:t xml:space="preserve">-</w:t>
            </w:r>
            <w:r>
              <w:rPr>
                <w:sz w:val="20"/>
                <w:szCs w:val="20"/>
              </w:rPr>
            </w:r>
            <w:r>
              <w:rPr>
                <w:sz w:val="20"/>
                <w:szCs w:val="20"/>
              </w:rPr>
            </w:r>
          </w:p>
        </w:tc>
      </w:tr>
      <w:tr>
        <w:tblPrEx/>
        <w:trPr/>
        <w:tc>
          <w:tcPr>
            <w:shd w:val="clear" w:color="auto" w:fill="auto"/>
            <w:tcBorders>
              <w:left w:val="single" w:color="000000" w:sz="6" w:space="0"/>
              <w:right w:val="single" w:color="000000" w:sz="6" w:space="0"/>
            </w:tcBorders>
            <w:tcMar>
              <w:left w:w="149" w:type="dxa"/>
              <w:top w:w="0" w:type="dxa"/>
              <w:right w:w="149" w:type="dxa"/>
              <w:bottom w:w="0" w:type="dxa"/>
            </w:tcMar>
            <w:tcW w:w="739"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2587"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2093"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pStyle w:val="1304"/>
              <w:jc w:val="center"/>
              <w:spacing w:before="0" w:beforeAutospacing="0" w:after="0" w:afterAutospacing="0"/>
              <w:rPr>
                <w:sz w:val="20"/>
                <w:szCs w:val="20"/>
              </w:rPr>
            </w:pPr>
            <w:r>
              <w:rPr>
                <w:sz w:val="20"/>
                <w:szCs w:val="20"/>
              </w:rPr>
              <w:t xml:space="preserve">2021</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78" w:type="dxa"/>
            <w:textDirection w:val="lrTb"/>
            <w:noWrap w:val="false"/>
          </w:tcPr>
          <w:p>
            <w:pPr>
              <w:pStyle w:val="1304"/>
              <w:jc w:val="center"/>
              <w:spacing w:before="0" w:beforeAutospacing="0" w:after="0" w:afterAutospacing="0"/>
              <w:rPr>
                <w:sz w:val="20"/>
                <w:szCs w:val="20"/>
              </w:rPr>
            </w:pPr>
            <w:r>
              <w:rPr>
                <w:sz w:val="20"/>
                <w:szCs w:val="20"/>
              </w:rPr>
              <w:t xml:space="preserve">-</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pStyle w:val="1304"/>
              <w:jc w:val="center"/>
              <w:spacing w:before="0" w:beforeAutospacing="0" w:after="0" w:afterAutospacing="0"/>
              <w:rPr>
                <w:sz w:val="20"/>
                <w:szCs w:val="20"/>
              </w:rPr>
            </w:pPr>
            <w:r>
              <w:rPr>
                <w:sz w:val="20"/>
                <w:szCs w:val="20"/>
              </w:rPr>
              <w:t xml:space="preserve">-</w:t>
            </w:r>
            <w:r>
              <w:rPr>
                <w:sz w:val="20"/>
                <w:szCs w:val="20"/>
              </w:rPr>
            </w:r>
            <w:r>
              <w:rPr>
                <w:sz w:val="20"/>
                <w:szCs w:val="20"/>
              </w:rPr>
            </w:r>
          </w:p>
        </w:tc>
      </w:tr>
      <w:tr>
        <w:tblPrEx/>
        <w:trPr/>
        <w:tc>
          <w:tcPr>
            <w:shd w:val="clear" w:color="auto" w:fill="auto"/>
            <w:tcBorders>
              <w:left w:val="single" w:color="000000" w:sz="6" w:space="0"/>
              <w:right w:val="single" w:color="000000" w:sz="6" w:space="0"/>
            </w:tcBorders>
            <w:tcMar>
              <w:left w:w="149" w:type="dxa"/>
              <w:top w:w="0" w:type="dxa"/>
              <w:right w:w="149" w:type="dxa"/>
              <w:bottom w:w="0" w:type="dxa"/>
            </w:tcMar>
            <w:tcW w:w="739"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2587"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2093"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pStyle w:val="1304"/>
              <w:jc w:val="center"/>
              <w:spacing w:before="0" w:beforeAutospacing="0" w:after="0" w:afterAutospacing="0"/>
              <w:rPr>
                <w:sz w:val="20"/>
                <w:szCs w:val="20"/>
              </w:rPr>
            </w:pPr>
            <w:r>
              <w:rPr>
                <w:sz w:val="20"/>
                <w:szCs w:val="20"/>
              </w:rPr>
              <w:t xml:space="preserve">2022</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78" w:type="dxa"/>
            <w:textDirection w:val="lrTb"/>
            <w:noWrap w:val="false"/>
          </w:tcPr>
          <w:p>
            <w:pPr>
              <w:pStyle w:val="1304"/>
              <w:jc w:val="center"/>
              <w:spacing w:before="0" w:beforeAutospacing="0" w:after="0" w:afterAutospacing="0"/>
              <w:rPr>
                <w:sz w:val="20"/>
                <w:szCs w:val="20"/>
              </w:rPr>
            </w:pPr>
            <w:r>
              <w:rPr>
                <w:sz w:val="20"/>
                <w:szCs w:val="20"/>
              </w:rPr>
              <w:t xml:space="preserve">-</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pStyle w:val="1304"/>
              <w:jc w:val="center"/>
              <w:spacing w:before="0" w:beforeAutospacing="0" w:after="0" w:afterAutospacing="0"/>
              <w:rPr>
                <w:sz w:val="20"/>
                <w:szCs w:val="20"/>
              </w:rPr>
            </w:pPr>
            <w:r>
              <w:rPr>
                <w:sz w:val="20"/>
                <w:szCs w:val="20"/>
              </w:rPr>
              <w:t xml:space="preserve">-</w:t>
            </w:r>
            <w:r>
              <w:rPr>
                <w:sz w:val="20"/>
                <w:szCs w:val="20"/>
              </w:rPr>
            </w:r>
            <w:r>
              <w:rPr>
                <w:sz w:val="20"/>
                <w:szCs w:val="20"/>
              </w:rPr>
            </w:r>
          </w:p>
        </w:tc>
      </w:tr>
      <w:tr>
        <w:tblPrEx/>
        <w:trPr/>
        <w:tc>
          <w:tcPr>
            <w:shd w:val="clear" w:color="auto" w:fill="auto"/>
            <w:tcBorders>
              <w:left w:val="single" w:color="000000" w:sz="6" w:space="0"/>
              <w:right w:val="single" w:color="000000" w:sz="6" w:space="0"/>
            </w:tcBorders>
            <w:tcMar>
              <w:left w:w="149" w:type="dxa"/>
              <w:top w:w="0" w:type="dxa"/>
              <w:right w:w="149" w:type="dxa"/>
              <w:bottom w:w="0" w:type="dxa"/>
            </w:tcMar>
            <w:tcW w:w="739"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2587"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2093"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pStyle w:val="1304"/>
              <w:jc w:val="center"/>
              <w:spacing w:before="0" w:beforeAutospacing="0" w:after="0" w:afterAutospacing="0"/>
              <w:rPr>
                <w:sz w:val="20"/>
                <w:szCs w:val="20"/>
              </w:rPr>
            </w:pPr>
            <w:r>
              <w:rPr>
                <w:sz w:val="20"/>
                <w:szCs w:val="20"/>
              </w:rPr>
              <w:t xml:space="preserve">2023</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78" w:type="dxa"/>
            <w:textDirection w:val="lrTb"/>
            <w:noWrap w:val="false"/>
          </w:tcPr>
          <w:p>
            <w:pPr>
              <w:pStyle w:val="1304"/>
              <w:jc w:val="center"/>
              <w:spacing w:before="0" w:beforeAutospacing="0" w:after="0" w:afterAutospacing="0"/>
              <w:rPr>
                <w:sz w:val="20"/>
                <w:szCs w:val="20"/>
              </w:rPr>
            </w:pPr>
            <w:r>
              <w:rPr>
                <w:sz w:val="20"/>
                <w:szCs w:val="20"/>
              </w:rPr>
              <w:t xml:space="preserve">-</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pStyle w:val="1304"/>
              <w:jc w:val="center"/>
              <w:spacing w:before="0" w:beforeAutospacing="0" w:after="0" w:afterAutospacing="0"/>
              <w:rPr>
                <w:sz w:val="20"/>
                <w:szCs w:val="20"/>
              </w:rPr>
            </w:pPr>
            <w:r>
              <w:rPr>
                <w:sz w:val="20"/>
                <w:szCs w:val="20"/>
              </w:rPr>
              <w:t xml:space="preserve">-</w:t>
            </w:r>
            <w:r>
              <w:rPr>
                <w:sz w:val="20"/>
                <w:szCs w:val="20"/>
              </w:rPr>
            </w:r>
            <w:r>
              <w:rPr>
                <w:sz w:val="20"/>
                <w:szCs w:val="20"/>
              </w:rPr>
            </w:r>
          </w:p>
        </w:tc>
      </w:tr>
      <w:tr>
        <w:tblPrEx/>
        <w:trPr/>
        <w:tc>
          <w:tcPr>
            <w:shd w:val="clear" w:color="auto" w:fill="auto"/>
            <w:tcBorders>
              <w:left w:val="single" w:color="000000" w:sz="6" w:space="0"/>
              <w:right w:val="single" w:color="000000" w:sz="6" w:space="0"/>
            </w:tcBorders>
            <w:tcMar>
              <w:left w:w="149" w:type="dxa"/>
              <w:top w:w="0" w:type="dxa"/>
              <w:right w:w="149" w:type="dxa"/>
              <w:bottom w:w="0" w:type="dxa"/>
            </w:tcMar>
            <w:tcW w:w="739"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2587"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bottom w:val="none" w:color="000000" w:sz="4" w:space="0"/>
              <w:right w:val="single" w:color="000000" w:sz="6" w:space="0"/>
            </w:tcBorders>
            <w:tcMar>
              <w:left w:w="149" w:type="dxa"/>
              <w:top w:w="0" w:type="dxa"/>
              <w:right w:w="149" w:type="dxa"/>
              <w:bottom w:w="0" w:type="dxa"/>
            </w:tcMar>
            <w:tcW w:w="2093"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pStyle w:val="1304"/>
              <w:jc w:val="center"/>
              <w:spacing w:before="0" w:beforeAutospacing="0" w:after="0" w:afterAutospacing="0"/>
              <w:rPr>
                <w:sz w:val="20"/>
                <w:szCs w:val="20"/>
              </w:rPr>
            </w:pPr>
            <w:r>
              <w:rPr>
                <w:sz w:val="20"/>
                <w:szCs w:val="20"/>
              </w:rPr>
              <w:t xml:space="preserve">2024</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78" w:type="dxa"/>
            <w:textDirection w:val="lrTb"/>
            <w:noWrap w:val="false"/>
          </w:tcPr>
          <w:p>
            <w:pPr>
              <w:pStyle w:val="1304"/>
              <w:jc w:val="center"/>
              <w:spacing w:before="0" w:beforeAutospacing="0" w:after="0" w:afterAutospacing="0"/>
              <w:rPr>
                <w:sz w:val="20"/>
                <w:szCs w:val="20"/>
              </w:rPr>
            </w:pPr>
            <w:r>
              <w:rPr>
                <w:sz w:val="20"/>
                <w:szCs w:val="20"/>
              </w:rPr>
              <w:t xml:space="preserve">-</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pStyle w:val="1304"/>
              <w:jc w:val="center"/>
              <w:spacing w:before="0" w:beforeAutospacing="0" w:after="0" w:afterAutospacing="0"/>
              <w:rPr>
                <w:sz w:val="20"/>
                <w:szCs w:val="20"/>
              </w:rPr>
            </w:pPr>
            <w:r>
              <w:rPr>
                <w:sz w:val="20"/>
                <w:szCs w:val="20"/>
              </w:rPr>
              <w:t xml:space="preserve">-</w:t>
            </w:r>
            <w:r>
              <w:rPr>
                <w:sz w:val="20"/>
                <w:szCs w:val="20"/>
              </w:rPr>
            </w:r>
            <w:r>
              <w:rPr>
                <w:sz w:val="20"/>
                <w:szCs w:val="20"/>
              </w:rPr>
            </w:r>
          </w:p>
        </w:tc>
      </w:tr>
      <w:tr>
        <w:tblPrEx/>
        <w:trPr/>
        <w:tc>
          <w:tcPr>
            <w:shd w:val="clear" w:color="auto" w:fill="auto"/>
            <w:tcBorders>
              <w:left w:val="single" w:color="000000" w:sz="6" w:space="0"/>
              <w:right w:val="single" w:color="000000" w:sz="6" w:space="0"/>
            </w:tcBorders>
            <w:tcMar>
              <w:left w:w="149" w:type="dxa"/>
              <w:top w:w="0" w:type="dxa"/>
              <w:right w:w="149" w:type="dxa"/>
              <w:bottom w:w="0" w:type="dxa"/>
            </w:tcMar>
            <w:tcW w:w="739"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2587" w:type="dxa"/>
            <w:vMerge w:val="continue"/>
            <w:textDirection w:val="lrTb"/>
            <w:noWrap w:val="false"/>
          </w:tcPr>
          <w:p>
            <w:pPr>
              <w:rPr>
                <w:sz w:val="20"/>
                <w:szCs w:val="20"/>
              </w:rPr>
            </w:pPr>
            <w:r>
              <w:rPr>
                <w:sz w:val="20"/>
                <w:szCs w:val="20"/>
              </w:rPr>
            </w:r>
            <w:r>
              <w:rPr>
                <w:sz w:val="20"/>
                <w:szCs w:val="20"/>
              </w:rPr>
            </w:r>
            <w:r>
              <w:rPr>
                <w:sz w:val="20"/>
                <w:szCs w:val="20"/>
              </w:rPr>
            </w:r>
          </w:p>
        </w:tc>
        <w:tc>
          <w:tcPr>
            <w:gridSpan w:val="4"/>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6159" w:type="dxa"/>
            <w:textDirection w:val="lrTb"/>
            <w:noWrap w:val="false"/>
          </w:tcPr>
          <w:p>
            <w:pPr>
              <w:pStyle w:val="1304"/>
              <w:spacing w:before="0" w:beforeAutospacing="0" w:after="0" w:afterAutospacing="0"/>
              <w:rPr>
                <w:sz w:val="20"/>
                <w:szCs w:val="20"/>
              </w:rPr>
            </w:pPr>
            <w:r>
              <w:rPr>
                <w:sz w:val="20"/>
                <w:szCs w:val="20"/>
              </w:rPr>
              <w:t xml:space="preserve">Юргамышский муниципальный округ: с. Чинеево</w:t>
            </w:r>
            <w:r>
              <w:rPr>
                <w:sz w:val="20"/>
                <w:szCs w:val="20"/>
              </w:rPr>
            </w:r>
            <w:r>
              <w:rPr>
                <w:sz w:val="20"/>
                <w:szCs w:val="20"/>
              </w:rPr>
            </w:r>
          </w:p>
        </w:tc>
      </w:tr>
      <w:tr>
        <w:tblPrEx/>
        <w:trPr>
          <w:trHeight w:val="230"/>
        </w:trPr>
        <w:tc>
          <w:tcPr>
            <w:shd w:val="clear" w:color="auto" w:fill="auto"/>
            <w:tcBorders>
              <w:left w:val="single" w:color="000000" w:sz="6" w:space="0"/>
              <w:right w:val="single" w:color="000000" w:sz="6" w:space="0"/>
            </w:tcBorders>
            <w:tcMar>
              <w:left w:w="149" w:type="dxa"/>
              <w:top w:w="0" w:type="dxa"/>
              <w:right w:w="149" w:type="dxa"/>
              <w:bottom w:w="0" w:type="dxa"/>
            </w:tcMar>
            <w:tcW w:w="739"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2587"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top w:val="single" w:color="000000" w:sz="6" w:space="0"/>
              <w:left w:val="single" w:color="000000" w:sz="6" w:space="0"/>
              <w:right w:val="single" w:color="000000" w:sz="6" w:space="0"/>
            </w:tcBorders>
            <w:tcMar>
              <w:left w:w="149" w:type="dxa"/>
              <w:top w:w="0" w:type="dxa"/>
              <w:right w:w="149" w:type="dxa"/>
              <w:bottom w:w="0" w:type="dxa"/>
            </w:tcMar>
            <w:tcW w:w="2093" w:type="dxa"/>
            <w:vMerge w:val="restart"/>
            <w:textDirection w:val="lrTb"/>
            <w:noWrap w:val="false"/>
          </w:tcPr>
          <w:p>
            <w:pPr>
              <w:pStyle w:val="1304"/>
              <w:spacing w:before="0" w:beforeAutospacing="0" w:after="0" w:afterAutospacing="0"/>
              <w:rPr>
                <w:sz w:val="20"/>
                <w:szCs w:val="20"/>
              </w:rPr>
            </w:pPr>
            <w:r>
              <w:rPr>
                <w:sz w:val="20"/>
                <w:szCs w:val="20"/>
              </w:rPr>
              <w:t xml:space="preserve">одноставочный, руб./Гкал &lt;*&gt;</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pStyle w:val="1304"/>
              <w:jc w:val="center"/>
              <w:spacing w:before="0" w:beforeAutospacing="0" w:after="0" w:afterAutospacing="0"/>
              <w:rPr>
                <w:sz w:val="20"/>
                <w:szCs w:val="20"/>
              </w:rPr>
            </w:pPr>
            <w:r>
              <w:rPr>
                <w:sz w:val="20"/>
                <w:szCs w:val="20"/>
              </w:rPr>
              <w:t xml:space="preserve">2020</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78" w:type="dxa"/>
            <w:textDirection w:val="lrTb"/>
            <w:noWrap w:val="false"/>
          </w:tcPr>
          <w:p>
            <w:pPr>
              <w:pStyle w:val="1304"/>
              <w:jc w:val="center"/>
              <w:spacing w:before="0" w:beforeAutospacing="0" w:after="0" w:afterAutospacing="0"/>
              <w:rPr>
                <w:sz w:val="20"/>
                <w:szCs w:val="20"/>
              </w:rPr>
            </w:pPr>
            <w:r>
              <w:rPr>
                <w:sz w:val="20"/>
                <w:szCs w:val="20"/>
              </w:rPr>
              <w:t xml:space="preserve">3434,12</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pStyle w:val="1304"/>
              <w:jc w:val="center"/>
              <w:spacing w:before="0" w:beforeAutospacing="0" w:after="0" w:afterAutospacing="0"/>
              <w:rPr>
                <w:sz w:val="20"/>
                <w:szCs w:val="20"/>
              </w:rPr>
            </w:pPr>
            <w:r>
              <w:rPr>
                <w:sz w:val="20"/>
                <w:szCs w:val="20"/>
              </w:rPr>
              <w:t xml:space="preserve">3587,04</w:t>
            </w:r>
            <w:r>
              <w:rPr>
                <w:sz w:val="20"/>
                <w:szCs w:val="20"/>
              </w:rPr>
            </w:r>
            <w:r>
              <w:rPr>
                <w:sz w:val="20"/>
                <w:szCs w:val="20"/>
              </w:rPr>
            </w:r>
          </w:p>
        </w:tc>
      </w:tr>
      <w:tr>
        <w:tblPrEx/>
        <w:trPr/>
        <w:tc>
          <w:tcPr>
            <w:shd w:val="clear" w:color="auto" w:fill="auto"/>
            <w:tcBorders>
              <w:left w:val="single" w:color="000000" w:sz="6" w:space="0"/>
              <w:right w:val="single" w:color="000000" w:sz="6" w:space="0"/>
            </w:tcBorders>
            <w:tcMar>
              <w:left w:w="149" w:type="dxa"/>
              <w:top w:w="0" w:type="dxa"/>
              <w:right w:w="149" w:type="dxa"/>
              <w:bottom w:w="0" w:type="dxa"/>
            </w:tcMar>
            <w:tcW w:w="739"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2587"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2093"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pStyle w:val="1304"/>
              <w:jc w:val="center"/>
              <w:spacing w:before="0" w:beforeAutospacing="0" w:after="0" w:afterAutospacing="0"/>
              <w:rPr>
                <w:sz w:val="20"/>
                <w:szCs w:val="20"/>
              </w:rPr>
            </w:pPr>
            <w:r>
              <w:rPr>
                <w:sz w:val="20"/>
                <w:szCs w:val="20"/>
              </w:rPr>
              <w:t xml:space="preserve">2021</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78" w:type="dxa"/>
            <w:textDirection w:val="lrTb"/>
            <w:noWrap w:val="false"/>
          </w:tcPr>
          <w:p>
            <w:pPr>
              <w:pStyle w:val="1304"/>
              <w:jc w:val="center"/>
              <w:spacing w:before="0" w:beforeAutospacing="0" w:after="0" w:afterAutospacing="0"/>
              <w:rPr>
                <w:sz w:val="20"/>
                <w:szCs w:val="20"/>
              </w:rPr>
            </w:pPr>
            <w:r>
              <w:rPr>
                <w:sz w:val="20"/>
                <w:szCs w:val="20"/>
              </w:rPr>
              <w:t xml:space="preserve">3587,04</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pStyle w:val="1304"/>
              <w:jc w:val="center"/>
              <w:spacing w:before="0" w:beforeAutospacing="0" w:after="0" w:afterAutospacing="0"/>
              <w:rPr>
                <w:sz w:val="20"/>
                <w:szCs w:val="20"/>
              </w:rPr>
            </w:pPr>
            <w:r>
              <w:rPr>
                <w:sz w:val="20"/>
                <w:szCs w:val="20"/>
              </w:rPr>
              <w:t xml:space="preserve">3685,95</w:t>
            </w:r>
            <w:r>
              <w:rPr>
                <w:sz w:val="20"/>
                <w:szCs w:val="20"/>
              </w:rPr>
            </w:r>
            <w:r>
              <w:rPr>
                <w:sz w:val="20"/>
                <w:szCs w:val="20"/>
              </w:rPr>
            </w:r>
          </w:p>
        </w:tc>
      </w:tr>
      <w:tr>
        <w:tblPrEx/>
        <w:trPr/>
        <w:tc>
          <w:tcPr>
            <w:shd w:val="clear" w:color="auto" w:fill="auto"/>
            <w:tcBorders>
              <w:left w:val="single" w:color="000000" w:sz="6" w:space="0"/>
              <w:right w:val="single" w:color="000000" w:sz="6" w:space="0"/>
            </w:tcBorders>
            <w:tcMar>
              <w:left w:w="149" w:type="dxa"/>
              <w:top w:w="0" w:type="dxa"/>
              <w:right w:w="149" w:type="dxa"/>
              <w:bottom w:w="0" w:type="dxa"/>
            </w:tcMar>
            <w:tcW w:w="739"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2587"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2093"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pStyle w:val="1304"/>
              <w:jc w:val="center"/>
              <w:spacing w:before="0" w:beforeAutospacing="0" w:after="0" w:afterAutospacing="0"/>
              <w:rPr>
                <w:sz w:val="20"/>
                <w:szCs w:val="20"/>
              </w:rPr>
            </w:pPr>
            <w:r>
              <w:rPr>
                <w:sz w:val="20"/>
                <w:szCs w:val="20"/>
              </w:rPr>
              <w:t xml:space="preserve">2022</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78" w:type="dxa"/>
            <w:textDirection w:val="lrTb"/>
            <w:noWrap w:val="false"/>
          </w:tcPr>
          <w:p>
            <w:pPr>
              <w:pStyle w:val="1304"/>
              <w:jc w:val="center"/>
              <w:spacing w:before="0" w:beforeAutospacing="0" w:after="0" w:afterAutospacing="0"/>
              <w:rPr>
                <w:sz w:val="20"/>
                <w:szCs w:val="20"/>
              </w:rPr>
            </w:pPr>
            <w:r>
              <w:rPr>
                <w:sz w:val="20"/>
                <w:szCs w:val="20"/>
              </w:rPr>
              <w:t xml:space="preserve">3685,95</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pStyle w:val="1304"/>
              <w:jc w:val="center"/>
              <w:spacing w:before="0" w:beforeAutospacing="0" w:after="0" w:afterAutospacing="0"/>
              <w:rPr>
                <w:sz w:val="20"/>
                <w:szCs w:val="20"/>
              </w:rPr>
            </w:pPr>
            <w:r>
              <w:rPr>
                <w:sz w:val="20"/>
                <w:szCs w:val="20"/>
              </w:rPr>
              <w:t xml:space="preserve">3875,53&lt;***&gt;</w:t>
            </w:r>
            <w:r>
              <w:rPr>
                <w:sz w:val="20"/>
                <w:szCs w:val="20"/>
              </w:rPr>
            </w:r>
            <w:r>
              <w:rPr>
                <w:sz w:val="20"/>
                <w:szCs w:val="20"/>
              </w:rPr>
            </w:r>
          </w:p>
        </w:tc>
      </w:tr>
      <w:tr>
        <w:tblPrEx/>
        <w:trPr/>
        <w:tc>
          <w:tcPr>
            <w:shd w:val="clear" w:color="auto" w:fill="auto"/>
            <w:tcBorders>
              <w:left w:val="single" w:color="000000" w:sz="6" w:space="0"/>
              <w:right w:val="single" w:color="000000" w:sz="6" w:space="0"/>
            </w:tcBorders>
            <w:tcMar>
              <w:left w:w="149" w:type="dxa"/>
              <w:top w:w="0" w:type="dxa"/>
              <w:right w:w="149" w:type="dxa"/>
              <w:bottom w:w="0" w:type="dxa"/>
            </w:tcMar>
            <w:tcW w:w="739"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2587"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2093"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pStyle w:val="1304"/>
              <w:jc w:val="center"/>
              <w:spacing w:before="0" w:beforeAutospacing="0" w:after="0" w:afterAutospacing="0"/>
              <w:rPr>
                <w:sz w:val="20"/>
                <w:szCs w:val="20"/>
              </w:rPr>
            </w:pPr>
            <w:r>
              <w:rPr>
                <w:sz w:val="20"/>
                <w:szCs w:val="20"/>
              </w:rPr>
              <w:t xml:space="preserve">2023</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78" w:type="dxa"/>
            <w:textDirection w:val="lrTb"/>
            <w:noWrap w:val="false"/>
          </w:tcPr>
          <w:p>
            <w:pPr>
              <w:pStyle w:val="1304"/>
              <w:jc w:val="center"/>
              <w:spacing w:before="0" w:beforeAutospacing="0" w:after="0" w:afterAutospacing="0"/>
              <w:rPr>
                <w:sz w:val="20"/>
                <w:szCs w:val="20"/>
              </w:rPr>
            </w:pPr>
            <w:r>
              <w:rPr>
                <w:sz w:val="20"/>
                <w:szCs w:val="20"/>
              </w:rPr>
              <w:t xml:space="preserve">4134,66&lt;****&gt;</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pStyle w:val="1304"/>
              <w:jc w:val="center"/>
              <w:spacing w:before="0" w:beforeAutospacing="0" w:after="0" w:afterAutospacing="0"/>
              <w:rPr>
                <w:sz w:val="20"/>
                <w:szCs w:val="20"/>
              </w:rPr>
            </w:pPr>
            <w:r>
              <w:rPr>
                <w:sz w:val="20"/>
                <w:szCs w:val="20"/>
              </w:rPr>
              <w:t xml:space="preserve">4134,66</w:t>
            </w:r>
            <w:r>
              <w:rPr>
                <w:sz w:val="20"/>
                <w:szCs w:val="20"/>
              </w:rPr>
            </w:r>
            <w:r>
              <w:rPr>
                <w:sz w:val="20"/>
                <w:szCs w:val="20"/>
              </w:rPr>
            </w:r>
          </w:p>
        </w:tc>
      </w:tr>
      <w:tr>
        <w:tblPrEx/>
        <w:trPr/>
        <w:tc>
          <w:tcPr>
            <w:shd w:val="clear" w:color="auto" w:fill="auto"/>
            <w:tcBorders>
              <w:left w:val="single" w:color="000000" w:sz="6" w:space="0"/>
              <w:right w:val="single" w:color="000000" w:sz="6" w:space="0"/>
            </w:tcBorders>
            <w:tcMar>
              <w:left w:w="149" w:type="dxa"/>
              <w:top w:w="0" w:type="dxa"/>
              <w:right w:w="149" w:type="dxa"/>
              <w:bottom w:w="0" w:type="dxa"/>
            </w:tcMar>
            <w:tcW w:w="739"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2587"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bottom w:val="none" w:color="000000" w:sz="4" w:space="0"/>
              <w:right w:val="single" w:color="000000" w:sz="6" w:space="0"/>
            </w:tcBorders>
            <w:tcMar>
              <w:left w:w="149" w:type="dxa"/>
              <w:top w:w="0" w:type="dxa"/>
              <w:right w:w="149" w:type="dxa"/>
              <w:bottom w:w="0" w:type="dxa"/>
            </w:tcMar>
            <w:tcW w:w="2093"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pStyle w:val="1304"/>
              <w:jc w:val="center"/>
              <w:spacing w:before="0" w:beforeAutospacing="0" w:after="0" w:afterAutospacing="0"/>
              <w:rPr>
                <w:sz w:val="20"/>
                <w:szCs w:val="20"/>
              </w:rPr>
            </w:pPr>
            <w:r>
              <w:rPr>
                <w:sz w:val="20"/>
                <w:szCs w:val="20"/>
              </w:rPr>
              <w:t xml:space="preserve">2024</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78" w:type="dxa"/>
            <w:textDirection w:val="lrTb"/>
            <w:noWrap w:val="false"/>
          </w:tcPr>
          <w:p>
            <w:pPr>
              <w:pStyle w:val="1304"/>
              <w:jc w:val="center"/>
              <w:spacing w:before="0" w:beforeAutospacing="0" w:after="0" w:afterAutospacing="0"/>
              <w:rPr>
                <w:sz w:val="20"/>
                <w:szCs w:val="20"/>
              </w:rPr>
            </w:pPr>
            <w:r>
              <w:rPr>
                <w:sz w:val="20"/>
                <w:szCs w:val="20"/>
              </w:rPr>
              <w:t xml:space="preserve">4134,66</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pStyle w:val="1304"/>
              <w:jc w:val="center"/>
              <w:spacing w:before="0" w:beforeAutospacing="0" w:after="0" w:afterAutospacing="0"/>
              <w:rPr>
                <w:sz w:val="20"/>
                <w:szCs w:val="20"/>
              </w:rPr>
            </w:pPr>
            <w:r>
              <w:rPr>
                <w:sz w:val="20"/>
                <w:szCs w:val="20"/>
              </w:rPr>
              <w:t xml:space="preserve">5110,85</w:t>
            </w:r>
            <w:r>
              <w:rPr>
                <w:sz w:val="20"/>
                <w:szCs w:val="20"/>
              </w:rPr>
            </w:r>
            <w:r>
              <w:rPr>
                <w:sz w:val="20"/>
                <w:szCs w:val="20"/>
              </w:rPr>
            </w:r>
          </w:p>
        </w:tc>
      </w:tr>
      <w:tr>
        <w:tblPrEx/>
        <w:trPr/>
        <w:tc>
          <w:tcPr>
            <w:shd w:val="clear" w:color="auto" w:fill="auto"/>
            <w:tcBorders>
              <w:left w:val="single" w:color="000000" w:sz="6" w:space="0"/>
              <w:right w:val="single" w:color="000000" w:sz="6" w:space="0"/>
            </w:tcBorders>
            <w:tcMar>
              <w:left w:w="149" w:type="dxa"/>
              <w:top w:w="0" w:type="dxa"/>
              <w:right w:w="149" w:type="dxa"/>
              <w:bottom w:w="0" w:type="dxa"/>
            </w:tcMar>
            <w:tcW w:w="739"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2587" w:type="dxa"/>
            <w:vMerge w:val="continue"/>
            <w:textDirection w:val="lrTb"/>
            <w:noWrap w:val="false"/>
          </w:tcPr>
          <w:p>
            <w:pPr>
              <w:rPr>
                <w:sz w:val="20"/>
                <w:szCs w:val="20"/>
              </w:rPr>
            </w:pPr>
            <w:r>
              <w:rPr>
                <w:sz w:val="20"/>
                <w:szCs w:val="20"/>
              </w:rPr>
            </w:r>
            <w:r>
              <w:rPr>
                <w:sz w:val="20"/>
                <w:szCs w:val="20"/>
              </w:rPr>
            </w:r>
            <w:r>
              <w:rPr>
                <w:sz w:val="20"/>
                <w:szCs w:val="20"/>
              </w:rPr>
            </w:r>
          </w:p>
        </w:tc>
        <w:tc>
          <w:tcPr>
            <w:gridSpan w:val="4"/>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6159" w:type="dxa"/>
            <w:textDirection w:val="lrTb"/>
            <w:noWrap w:val="false"/>
          </w:tcPr>
          <w:p>
            <w:pPr>
              <w:pStyle w:val="1304"/>
              <w:jc w:val="center"/>
              <w:spacing w:before="0" w:beforeAutospacing="0" w:after="0" w:afterAutospacing="0"/>
              <w:rPr>
                <w:sz w:val="20"/>
                <w:szCs w:val="20"/>
              </w:rPr>
            </w:pPr>
            <w:r>
              <w:rPr>
                <w:sz w:val="20"/>
                <w:szCs w:val="20"/>
              </w:rPr>
              <w:t xml:space="preserve">Население &lt;**&gt;</w:t>
            </w:r>
            <w:r>
              <w:rPr>
                <w:sz w:val="20"/>
                <w:szCs w:val="20"/>
              </w:rPr>
            </w:r>
            <w:r>
              <w:rPr>
                <w:sz w:val="20"/>
                <w:szCs w:val="20"/>
              </w:rPr>
            </w:r>
          </w:p>
        </w:tc>
      </w:tr>
      <w:tr>
        <w:tblPrEx/>
        <w:trPr>
          <w:trHeight w:val="230"/>
        </w:trPr>
        <w:tc>
          <w:tcPr>
            <w:shd w:val="clear" w:color="auto" w:fill="auto"/>
            <w:tcBorders>
              <w:left w:val="single" w:color="000000" w:sz="6" w:space="0"/>
              <w:right w:val="single" w:color="000000" w:sz="6" w:space="0"/>
            </w:tcBorders>
            <w:tcMar>
              <w:left w:w="149" w:type="dxa"/>
              <w:top w:w="0" w:type="dxa"/>
              <w:right w:w="149" w:type="dxa"/>
              <w:bottom w:w="0" w:type="dxa"/>
            </w:tcMar>
            <w:tcW w:w="739"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2587"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top w:val="single" w:color="000000" w:sz="6" w:space="0"/>
              <w:left w:val="single" w:color="000000" w:sz="6" w:space="0"/>
              <w:right w:val="single" w:color="000000" w:sz="6" w:space="0"/>
            </w:tcBorders>
            <w:tcMar>
              <w:left w:w="149" w:type="dxa"/>
              <w:top w:w="0" w:type="dxa"/>
              <w:right w:w="149" w:type="dxa"/>
              <w:bottom w:w="0" w:type="dxa"/>
            </w:tcMar>
            <w:tcW w:w="2093" w:type="dxa"/>
            <w:vMerge w:val="restart"/>
            <w:textDirection w:val="lrTb"/>
            <w:noWrap w:val="false"/>
          </w:tcPr>
          <w:p>
            <w:pPr>
              <w:pStyle w:val="1304"/>
              <w:spacing w:before="0" w:beforeAutospacing="0" w:after="0" w:afterAutospacing="0"/>
              <w:rPr>
                <w:sz w:val="20"/>
                <w:szCs w:val="20"/>
              </w:rPr>
            </w:pPr>
            <w:r>
              <w:rPr>
                <w:sz w:val="20"/>
                <w:szCs w:val="20"/>
              </w:rPr>
              <w:t xml:space="preserve">одноставочный, руб./Гкал &lt;*&gt;</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pStyle w:val="1304"/>
              <w:jc w:val="center"/>
              <w:spacing w:before="0" w:beforeAutospacing="0" w:after="0" w:afterAutospacing="0"/>
              <w:rPr>
                <w:sz w:val="20"/>
                <w:szCs w:val="20"/>
              </w:rPr>
            </w:pPr>
            <w:r>
              <w:rPr>
                <w:sz w:val="20"/>
                <w:szCs w:val="20"/>
              </w:rPr>
              <w:t xml:space="preserve">2020</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78" w:type="dxa"/>
            <w:textDirection w:val="lrTb"/>
            <w:noWrap w:val="false"/>
          </w:tcPr>
          <w:p>
            <w:pPr>
              <w:pStyle w:val="1304"/>
              <w:jc w:val="center"/>
              <w:spacing w:before="0" w:beforeAutospacing="0" w:after="0" w:afterAutospacing="0"/>
              <w:rPr>
                <w:sz w:val="20"/>
                <w:szCs w:val="20"/>
              </w:rPr>
            </w:pPr>
            <w:r>
              <w:rPr>
                <w:sz w:val="20"/>
                <w:szCs w:val="20"/>
              </w:rPr>
              <w:t xml:space="preserve">-</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pStyle w:val="1304"/>
              <w:jc w:val="center"/>
              <w:spacing w:before="0" w:beforeAutospacing="0" w:after="0" w:afterAutospacing="0"/>
              <w:rPr>
                <w:sz w:val="20"/>
                <w:szCs w:val="20"/>
              </w:rPr>
            </w:pPr>
            <w:r>
              <w:rPr>
                <w:sz w:val="20"/>
                <w:szCs w:val="20"/>
              </w:rPr>
              <w:t xml:space="preserve">-</w:t>
            </w:r>
            <w:r>
              <w:rPr>
                <w:sz w:val="20"/>
                <w:szCs w:val="20"/>
              </w:rPr>
            </w:r>
            <w:r>
              <w:rPr>
                <w:sz w:val="20"/>
                <w:szCs w:val="20"/>
              </w:rPr>
            </w:r>
          </w:p>
        </w:tc>
      </w:tr>
      <w:tr>
        <w:tblPrEx/>
        <w:trPr/>
        <w:tc>
          <w:tcPr>
            <w:shd w:val="clear" w:color="auto" w:fill="auto"/>
            <w:tcBorders>
              <w:left w:val="single" w:color="000000" w:sz="6" w:space="0"/>
              <w:right w:val="single" w:color="000000" w:sz="6" w:space="0"/>
            </w:tcBorders>
            <w:tcMar>
              <w:left w:w="149" w:type="dxa"/>
              <w:top w:w="0" w:type="dxa"/>
              <w:right w:w="149" w:type="dxa"/>
              <w:bottom w:w="0" w:type="dxa"/>
            </w:tcMar>
            <w:tcW w:w="739"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2587"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2093"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pStyle w:val="1304"/>
              <w:jc w:val="center"/>
              <w:spacing w:before="0" w:beforeAutospacing="0" w:after="0" w:afterAutospacing="0"/>
              <w:rPr>
                <w:sz w:val="20"/>
                <w:szCs w:val="20"/>
              </w:rPr>
            </w:pPr>
            <w:r>
              <w:rPr>
                <w:sz w:val="20"/>
                <w:szCs w:val="20"/>
              </w:rPr>
              <w:t xml:space="preserve">2021</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78" w:type="dxa"/>
            <w:textDirection w:val="lrTb"/>
            <w:noWrap w:val="false"/>
          </w:tcPr>
          <w:p>
            <w:pPr>
              <w:pStyle w:val="1304"/>
              <w:jc w:val="center"/>
              <w:spacing w:before="0" w:beforeAutospacing="0" w:after="0" w:afterAutospacing="0"/>
              <w:rPr>
                <w:sz w:val="20"/>
                <w:szCs w:val="20"/>
              </w:rPr>
            </w:pPr>
            <w:r>
              <w:rPr>
                <w:sz w:val="20"/>
                <w:szCs w:val="20"/>
              </w:rPr>
              <w:t xml:space="preserve">-</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pStyle w:val="1304"/>
              <w:jc w:val="center"/>
              <w:spacing w:before="0" w:beforeAutospacing="0" w:after="0" w:afterAutospacing="0"/>
              <w:rPr>
                <w:sz w:val="20"/>
                <w:szCs w:val="20"/>
              </w:rPr>
            </w:pPr>
            <w:r>
              <w:rPr>
                <w:sz w:val="20"/>
                <w:szCs w:val="20"/>
              </w:rPr>
              <w:t xml:space="preserve">-</w:t>
            </w:r>
            <w:r>
              <w:rPr>
                <w:sz w:val="20"/>
                <w:szCs w:val="20"/>
              </w:rPr>
            </w:r>
            <w:r>
              <w:rPr>
                <w:sz w:val="20"/>
                <w:szCs w:val="20"/>
              </w:rPr>
            </w:r>
          </w:p>
        </w:tc>
      </w:tr>
      <w:tr>
        <w:tblPrEx/>
        <w:trPr/>
        <w:tc>
          <w:tcPr>
            <w:shd w:val="clear" w:color="auto" w:fill="auto"/>
            <w:tcBorders>
              <w:left w:val="single" w:color="000000" w:sz="6" w:space="0"/>
              <w:right w:val="single" w:color="000000" w:sz="6" w:space="0"/>
            </w:tcBorders>
            <w:tcMar>
              <w:left w:w="149" w:type="dxa"/>
              <w:top w:w="0" w:type="dxa"/>
              <w:right w:w="149" w:type="dxa"/>
              <w:bottom w:w="0" w:type="dxa"/>
            </w:tcMar>
            <w:tcW w:w="739"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2587"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2093"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pStyle w:val="1304"/>
              <w:jc w:val="center"/>
              <w:spacing w:before="0" w:beforeAutospacing="0" w:after="0" w:afterAutospacing="0"/>
              <w:rPr>
                <w:sz w:val="20"/>
                <w:szCs w:val="20"/>
              </w:rPr>
            </w:pPr>
            <w:r>
              <w:rPr>
                <w:sz w:val="20"/>
                <w:szCs w:val="20"/>
              </w:rPr>
              <w:t xml:space="preserve">2022</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78" w:type="dxa"/>
            <w:textDirection w:val="lrTb"/>
            <w:noWrap w:val="false"/>
          </w:tcPr>
          <w:p>
            <w:pPr>
              <w:pStyle w:val="1304"/>
              <w:jc w:val="center"/>
              <w:spacing w:before="0" w:beforeAutospacing="0" w:after="0" w:afterAutospacing="0"/>
              <w:rPr>
                <w:sz w:val="20"/>
                <w:szCs w:val="20"/>
              </w:rPr>
            </w:pPr>
            <w:r>
              <w:rPr>
                <w:sz w:val="20"/>
                <w:szCs w:val="20"/>
              </w:rPr>
              <w:t xml:space="preserve">-</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pStyle w:val="1304"/>
              <w:jc w:val="center"/>
              <w:spacing w:before="0" w:beforeAutospacing="0" w:after="0" w:afterAutospacing="0"/>
              <w:rPr>
                <w:sz w:val="20"/>
                <w:szCs w:val="20"/>
              </w:rPr>
            </w:pPr>
            <w:r>
              <w:rPr>
                <w:sz w:val="20"/>
                <w:szCs w:val="20"/>
              </w:rPr>
              <w:t xml:space="preserve">-</w:t>
            </w:r>
            <w:r>
              <w:rPr>
                <w:sz w:val="20"/>
                <w:szCs w:val="20"/>
              </w:rPr>
            </w:r>
            <w:r>
              <w:rPr>
                <w:sz w:val="20"/>
                <w:szCs w:val="20"/>
              </w:rPr>
            </w:r>
          </w:p>
        </w:tc>
      </w:tr>
      <w:tr>
        <w:tblPrEx/>
        <w:trPr>
          <w:trHeight w:val="74"/>
        </w:trPr>
        <w:tc>
          <w:tcPr>
            <w:shd w:val="clear" w:color="auto" w:fill="auto"/>
            <w:tcBorders>
              <w:left w:val="single" w:color="000000" w:sz="6" w:space="0"/>
              <w:right w:val="single" w:color="000000" w:sz="6" w:space="0"/>
            </w:tcBorders>
            <w:tcMar>
              <w:left w:w="149" w:type="dxa"/>
              <w:top w:w="0" w:type="dxa"/>
              <w:right w:w="149" w:type="dxa"/>
              <w:bottom w:w="0" w:type="dxa"/>
            </w:tcMar>
            <w:tcW w:w="739"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2587"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2093"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pStyle w:val="1304"/>
              <w:jc w:val="center"/>
              <w:spacing w:before="0" w:beforeAutospacing="0" w:after="0" w:afterAutospacing="0"/>
              <w:rPr>
                <w:sz w:val="20"/>
                <w:szCs w:val="20"/>
              </w:rPr>
            </w:pPr>
            <w:r>
              <w:rPr>
                <w:sz w:val="20"/>
                <w:szCs w:val="20"/>
              </w:rPr>
              <w:t xml:space="preserve">2023</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78" w:type="dxa"/>
            <w:textDirection w:val="lrTb"/>
            <w:noWrap w:val="false"/>
          </w:tcPr>
          <w:p>
            <w:pPr>
              <w:pStyle w:val="1304"/>
              <w:jc w:val="center"/>
              <w:spacing w:before="0" w:beforeAutospacing="0" w:after="0" w:afterAutospacing="0"/>
              <w:rPr>
                <w:sz w:val="20"/>
                <w:szCs w:val="20"/>
              </w:rPr>
            </w:pPr>
            <w:r>
              <w:rPr>
                <w:sz w:val="20"/>
                <w:szCs w:val="20"/>
              </w:rPr>
              <w:t xml:space="preserve">-</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pStyle w:val="1304"/>
              <w:jc w:val="center"/>
              <w:spacing w:before="0" w:beforeAutospacing="0" w:after="0" w:afterAutospacing="0"/>
              <w:rPr>
                <w:sz w:val="20"/>
                <w:szCs w:val="20"/>
              </w:rPr>
            </w:pPr>
            <w:r>
              <w:rPr>
                <w:sz w:val="20"/>
                <w:szCs w:val="20"/>
              </w:rPr>
              <w:t xml:space="preserve">-</w:t>
            </w:r>
            <w:r>
              <w:rPr>
                <w:sz w:val="20"/>
                <w:szCs w:val="20"/>
              </w:rPr>
            </w:r>
            <w:r>
              <w:rPr>
                <w:sz w:val="20"/>
                <w:szCs w:val="20"/>
              </w:rPr>
            </w:r>
          </w:p>
        </w:tc>
      </w:tr>
      <w:tr>
        <w:tblPrEx/>
        <w:trPr/>
        <w:tc>
          <w:tcPr>
            <w:shd w:val="clear" w:color="auto" w:fill="auto"/>
            <w:tcBorders>
              <w:left w:val="single" w:color="000000" w:sz="6" w:space="0"/>
              <w:bottom w:val="none" w:color="000000" w:sz="4" w:space="0"/>
              <w:right w:val="single" w:color="000000" w:sz="6" w:space="0"/>
            </w:tcBorders>
            <w:tcMar>
              <w:left w:w="149" w:type="dxa"/>
              <w:top w:w="0" w:type="dxa"/>
              <w:right w:w="149" w:type="dxa"/>
              <w:bottom w:w="0" w:type="dxa"/>
            </w:tcMar>
            <w:tcW w:w="739"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bottom w:val="none" w:color="000000" w:sz="4" w:space="0"/>
              <w:right w:val="single" w:color="000000" w:sz="6" w:space="0"/>
            </w:tcBorders>
            <w:tcMar>
              <w:left w:w="149" w:type="dxa"/>
              <w:top w:w="0" w:type="dxa"/>
              <w:right w:w="149" w:type="dxa"/>
              <w:bottom w:w="0" w:type="dxa"/>
            </w:tcMar>
            <w:tcW w:w="2587"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bottom w:val="none" w:color="000000" w:sz="4" w:space="0"/>
              <w:right w:val="single" w:color="000000" w:sz="6" w:space="0"/>
            </w:tcBorders>
            <w:tcMar>
              <w:left w:w="149" w:type="dxa"/>
              <w:top w:w="0" w:type="dxa"/>
              <w:right w:w="149" w:type="dxa"/>
              <w:bottom w:w="0" w:type="dxa"/>
            </w:tcMar>
            <w:tcW w:w="2093"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pStyle w:val="1304"/>
              <w:jc w:val="center"/>
              <w:spacing w:before="0" w:beforeAutospacing="0" w:after="0" w:afterAutospacing="0"/>
              <w:rPr>
                <w:sz w:val="20"/>
                <w:szCs w:val="20"/>
              </w:rPr>
            </w:pPr>
            <w:r>
              <w:rPr>
                <w:sz w:val="20"/>
                <w:szCs w:val="20"/>
              </w:rPr>
              <w:t xml:space="preserve">2024</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78" w:type="dxa"/>
            <w:textDirection w:val="lrTb"/>
            <w:noWrap w:val="false"/>
          </w:tcPr>
          <w:p>
            <w:pPr>
              <w:pStyle w:val="1304"/>
              <w:jc w:val="center"/>
              <w:spacing w:before="0" w:beforeAutospacing="0" w:after="0" w:afterAutospacing="0"/>
              <w:rPr>
                <w:sz w:val="20"/>
                <w:szCs w:val="20"/>
              </w:rPr>
            </w:pPr>
            <w:r>
              <w:rPr>
                <w:sz w:val="20"/>
                <w:szCs w:val="20"/>
              </w:rPr>
              <w:t xml:space="preserve">-</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pStyle w:val="1304"/>
              <w:jc w:val="center"/>
              <w:spacing w:before="0" w:beforeAutospacing="0" w:after="0" w:afterAutospacing="0"/>
              <w:rPr>
                <w:sz w:val="20"/>
                <w:szCs w:val="20"/>
              </w:rPr>
            </w:pPr>
            <w:r>
              <w:rPr>
                <w:sz w:val="20"/>
                <w:szCs w:val="20"/>
              </w:rPr>
              <w:t xml:space="preserve">-</w:t>
            </w:r>
            <w:r>
              <w:rPr>
                <w:sz w:val="20"/>
                <w:szCs w:val="20"/>
              </w:rPr>
            </w:r>
            <w:r>
              <w:rPr>
                <w:sz w:val="20"/>
                <w:szCs w:val="20"/>
              </w:rPr>
            </w:r>
          </w:p>
        </w:tc>
      </w:tr>
      <w:tr>
        <w:tblPrEx/>
        <w:trPr/>
        <w:tc>
          <w:tcPr>
            <w:gridSpan w:val="6"/>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9485" w:type="dxa"/>
            <w:textDirection w:val="lrTb"/>
            <w:noWrap w:val="false"/>
          </w:tcPr>
          <w:p>
            <w:pPr>
              <w:pStyle w:val="1304"/>
              <w:ind w:firstLine="480"/>
              <w:jc w:val="center"/>
              <w:spacing w:before="0" w:beforeAutospacing="0" w:after="0" w:afterAutospacing="0"/>
              <w:rPr>
                <w:sz w:val="20"/>
                <w:szCs w:val="20"/>
              </w:rPr>
            </w:pPr>
            <w:r>
              <w:rPr>
                <w:sz w:val="20"/>
                <w:szCs w:val="20"/>
              </w:rPr>
              <w:t xml:space="preserve">(в ред. </w:t>
            </w:r>
            <w:hyperlink r:id="rId26" w:tooltip="https://docs.cntd.ru/document/406988667#64U0IK" w:anchor="64U0IK" w:history="1">
              <w:r>
                <w:rPr>
                  <w:rStyle w:val="1267"/>
                  <w:color w:val="auto"/>
                  <w:sz w:val="20"/>
                  <w:szCs w:val="20"/>
                  <w:u w:val="none"/>
                </w:rPr>
                <w:t xml:space="preserve">Постановления Департамента государственного регулирования цен и тарифов Курганской области от 05.12.2023 N 55-10</w:t>
              </w:r>
            </w:hyperlink>
            <w:r>
              <w:rPr>
                <w:sz w:val="20"/>
                <w:szCs w:val="20"/>
              </w:rPr>
              <w:t xml:space="preserve">)</w:t>
            </w:r>
            <w:r>
              <w:rPr>
                <w:sz w:val="20"/>
                <w:szCs w:val="20"/>
              </w:rPr>
            </w:r>
            <w:r>
              <w:rPr>
                <w:sz w:val="20"/>
                <w:szCs w:val="20"/>
              </w:rPr>
            </w:r>
          </w:p>
        </w:tc>
      </w:tr>
    </w:tbl>
    <w:p>
      <w:pPr>
        <w:pStyle w:val="1247"/>
        <w:ind w:left="119" w:right="147" w:firstLine="709"/>
        <w:jc w:val="right"/>
      </w:pPr>
      <w:r/>
      <w:r/>
    </w:p>
    <w:tbl>
      <w:tblPr>
        <w:tblW w:w="0" w:type="auto"/>
        <w:shd w:val="clear" w:color="auto" w:fill="ffffff"/>
        <w:tblCellMar>
          <w:left w:w="0" w:type="dxa"/>
          <w:right w:w="0" w:type="dxa"/>
        </w:tblCellMar>
        <w:tblLook w:val="04A0" w:firstRow="1" w:lastRow="0" w:firstColumn="1" w:lastColumn="0" w:noHBand="0" w:noVBand="1"/>
      </w:tblPr>
      <w:tblGrid>
        <w:gridCol w:w="739"/>
        <w:gridCol w:w="2587"/>
        <w:gridCol w:w="2093"/>
        <w:gridCol w:w="1294"/>
        <w:gridCol w:w="1574"/>
        <w:gridCol w:w="1474"/>
      </w:tblGrid>
      <w:tr>
        <w:tblPrEx/>
        <w:trPr/>
        <w:tc>
          <w:tcPr>
            <w:shd w:val="clear" w:color="auto" w:fill="auto"/>
            <w:tcBorders>
              <w:top w:val="single" w:color="000000" w:sz="6" w:space="0"/>
              <w:left w:val="single" w:color="000000" w:sz="6" w:space="0"/>
              <w:right w:val="single" w:color="000000" w:sz="6" w:space="0"/>
            </w:tcBorders>
            <w:tcMar>
              <w:left w:w="149" w:type="dxa"/>
              <w:top w:w="0" w:type="dxa"/>
              <w:right w:w="149" w:type="dxa"/>
              <w:bottom w:w="0" w:type="dxa"/>
            </w:tcMar>
            <w:tcW w:w="739" w:type="dxa"/>
            <w:vMerge w:val="restart"/>
            <w:textDirection w:val="lrTb"/>
            <w:noWrap w:val="false"/>
          </w:tcPr>
          <w:p>
            <w:pPr>
              <w:pStyle w:val="1304"/>
              <w:jc w:val="center"/>
              <w:spacing w:before="0" w:beforeAutospacing="0" w:after="0" w:afterAutospacing="0"/>
              <w:rPr>
                <w:sz w:val="20"/>
                <w:szCs w:val="20"/>
              </w:rPr>
            </w:pPr>
            <w:r>
              <w:rPr>
                <w:sz w:val="20"/>
                <w:szCs w:val="20"/>
              </w:rPr>
              <w:t xml:space="preserve">N п/п</w:t>
            </w:r>
            <w:r>
              <w:rPr>
                <w:sz w:val="20"/>
                <w:szCs w:val="20"/>
              </w:rPr>
            </w:r>
            <w:r>
              <w:rPr>
                <w:sz w:val="20"/>
                <w:szCs w:val="20"/>
              </w:rPr>
            </w:r>
          </w:p>
        </w:tc>
        <w:tc>
          <w:tcPr>
            <w:shd w:val="clear" w:color="auto" w:fill="auto"/>
            <w:tcBorders>
              <w:top w:val="single" w:color="000000" w:sz="6" w:space="0"/>
              <w:left w:val="single" w:color="000000" w:sz="6" w:space="0"/>
              <w:right w:val="single" w:color="000000" w:sz="6" w:space="0"/>
            </w:tcBorders>
            <w:tcMar>
              <w:left w:w="149" w:type="dxa"/>
              <w:top w:w="0" w:type="dxa"/>
              <w:right w:w="149" w:type="dxa"/>
              <w:bottom w:w="0" w:type="dxa"/>
            </w:tcMar>
            <w:tcW w:w="2587" w:type="dxa"/>
            <w:vMerge w:val="restart"/>
            <w:textDirection w:val="lrTb"/>
            <w:noWrap w:val="false"/>
          </w:tcPr>
          <w:p>
            <w:pPr>
              <w:pStyle w:val="1304"/>
              <w:jc w:val="center"/>
              <w:spacing w:before="0" w:beforeAutospacing="0" w:after="0" w:afterAutospacing="0"/>
              <w:rPr>
                <w:sz w:val="20"/>
                <w:szCs w:val="20"/>
              </w:rPr>
            </w:pPr>
            <w:r>
              <w:rPr>
                <w:sz w:val="20"/>
                <w:szCs w:val="20"/>
              </w:rPr>
              <w:t xml:space="preserve">Наименование регулируемой организации</w:t>
            </w:r>
            <w:r>
              <w:rPr>
                <w:sz w:val="20"/>
                <w:szCs w:val="20"/>
              </w:rPr>
            </w:r>
            <w:r>
              <w:rPr>
                <w:sz w:val="20"/>
                <w:szCs w:val="20"/>
              </w:rPr>
            </w:r>
          </w:p>
        </w:tc>
        <w:tc>
          <w:tcPr>
            <w:shd w:val="clear" w:color="auto" w:fill="auto"/>
            <w:tcBorders>
              <w:top w:val="single" w:color="000000" w:sz="6" w:space="0"/>
              <w:left w:val="single" w:color="000000" w:sz="6" w:space="0"/>
              <w:bottom w:val="none" w:color="000000" w:sz="4" w:space="0"/>
              <w:right w:val="single" w:color="000000" w:sz="6" w:space="0"/>
            </w:tcBorders>
            <w:tcMar>
              <w:left w:w="149" w:type="dxa"/>
              <w:top w:w="0" w:type="dxa"/>
              <w:right w:w="149" w:type="dxa"/>
              <w:bottom w:w="0" w:type="dxa"/>
            </w:tcMar>
            <w:tcW w:w="2093" w:type="dxa"/>
            <w:textDirection w:val="lrTb"/>
            <w:noWrap w:val="false"/>
          </w:tcPr>
          <w:p>
            <w:pPr>
              <w:pStyle w:val="1304"/>
              <w:jc w:val="center"/>
              <w:spacing w:before="0" w:beforeAutospacing="0" w:after="0" w:afterAutospacing="0"/>
              <w:rPr>
                <w:sz w:val="20"/>
                <w:szCs w:val="20"/>
              </w:rPr>
            </w:pPr>
            <w:r>
              <w:rPr>
                <w:sz w:val="20"/>
                <w:szCs w:val="20"/>
              </w:rPr>
              <w:t xml:space="preserve">Вид тарифа</w:t>
            </w:r>
            <w:r>
              <w:rPr>
                <w:sz w:val="20"/>
                <w:szCs w:val="20"/>
              </w:rPr>
            </w:r>
            <w:r>
              <w:rPr>
                <w:sz w:val="20"/>
                <w:szCs w:val="20"/>
              </w:rPr>
            </w:r>
          </w:p>
        </w:tc>
        <w:tc>
          <w:tcPr>
            <w:shd w:val="clear" w:color="auto" w:fill="auto"/>
            <w:tcBorders>
              <w:top w:val="single" w:color="000000" w:sz="6" w:space="0"/>
              <w:left w:val="single" w:color="000000" w:sz="6" w:space="0"/>
              <w:bottom w:val="none" w:color="000000" w:sz="4" w:space="0"/>
              <w:right w:val="single" w:color="000000" w:sz="6" w:space="0"/>
            </w:tcBorders>
            <w:tcMar>
              <w:left w:w="149" w:type="dxa"/>
              <w:top w:w="0" w:type="dxa"/>
              <w:right w:w="149" w:type="dxa"/>
              <w:bottom w:w="0" w:type="dxa"/>
            </w:tcMar>
            <w:tcW w:w="1294" w:type="dxa"/>
            <w:textDirection w:val="lrTb"/>
            <w:noWrap w:val="false"/>
          </w:tcPr>
          <w:p>
            <w:pPr>
              <w:pStyle w:val="1304"/>
              <w:jc w:val="center"/>
              <w:spacing w:before="0" w:beforeAutospacing="0" w:after="0" w:afterAutospacing="0"/>
              <w:rPr>
                <w:sz w:val="20"/>
                <w:szCs w:val="20"/>
              </w:rPr>
            </w:pPr>
            <w:r>
              <w:rPr>
                <w:sz w:val="20"/>
                <w:szCs w:val="20"/>
              </w:rPr>
              <w:t xml:space="preserve">Год</w:t>
            </w:r>
            <w:r>
              <w:rPr>
                <w:sz w:val="20"/>
                <w:szCs w:val="20"/>
              </w:rPr>
            </w:r>
            <w:r>
              <w:rPr>
                <w:sz w:val="20"/>
                <w:szCs w:val="20"/>
              </w:rPr>
            </w:r>
          </w:p>
        </w:tc>
        <w:tc>
          <w:tcPr>
            <w:gridSpan w:val="2"/>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3048" w:type="dxa"/>
            <w:textDirection w:val="lrTb"/>
            <w:noWrap w:val="false"/>
          </w:tcPr>
          <w:p>
            <w:pPr>
              <w:pStyle w:val="1304"/>
              <w:jc w:val="center"/>
              <w:spacing w:before="0" w:beforeAutospacing="0" w:after="0" w:afterAutospacing="0"/>
              <w:rPr>
                <w:sz w:val="20"/>
                <w:szCs w:val="20"/>
              </w:rPr>
            </w:pPr>
            <w:r>
              <w:rPr>
                <w:sz w:val="20"/>
                <w:szCs w:val="20"/>
              </w:rPr>
              <w:t xml:space="preserve">Вода</w:t>
            </w:r>
            <w:r>
              <w:rPr>
                <w:sz w:val="20"/>
                <w:szCs w:val="20"/>
              </w:rPr>
            </w:r>
            <w:r>
              <w:rPr>
                <w:sz w:val="20"/>
                <w:szCs w:val="20"/>
              </w:rPr>
            </w:r>
          </w:p>
        </w:tc>
      </w:tr>
      <w:tr>
        <w:tblPrEx/>
        <w:trPr/>
        <w:tc>
          <w:tcPr>
            <w:shd w:val="clear" w:color="auto" w:fill="auto"/>
            <w:tcBorders>
              <w:left w:val="single" w:color="000000" w:sz="6" w:space="0"/>
              <w:bottom w:val="none" w:color="000000" w:sz="4" w:space="0"/>
              <w:right w:val="single" w:color="000000" w:sz="6" w:space="0"/>
            </w:tcBorders>
            <w:tcMar>
              <w:left w:w="149" w:type="dxa"/>
              <w:top w:w="0" w:type="dxa"/>
              <w:right w:w="149" w:type="dxa"/>
              <w:bottom w:w="0" w:type="dxa"/>
            </w:tcMar>
            <w:tcW w:w="739"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bottom w:val="none" w:color="000000" w:sz="4" w:space="0"/>
              <w:right w:val="single" w:color="000000" w:sz="6" w:space="0"/>
            </w:tcBorders>
            <w:tcMar>
              <w:left w:w="149" w:type="dxa"/>
              <w:top w:w="0" w:type="dxa"/>
              <w:right w:w="149" w:type="dxa"/>
              <w:bottom w:w="0" w:type="dxa"/>
            </w:tcMar>
            <w:tcW w:w="2587"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top w:val="none" w:color="000000" w:sz="4" w:space="0"/>
              <w:left w:val="single" w:color="000000" w:sz="6" w:space="0"/>
              <w:bottom w:val="none" w:color="000000" w:sz="4" w:space="0"/>
              <w:right w:val="single" w:color="000000" w:sz="6" w:space="0"/>
            </w:tcBorders>
            <w:tcMar>
              <w:left w:w="149" w:type="dxa"/>
              <w:top w:w="0" w:type="dxa"/>
              <w:right w:w="149" w:type="dxa"/>
              <w:bottom w:w="0" w:type="dxa"/>
            </w:tcMar>
            <w:tcW w:w="2093" w:type="dxa"/>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top w:val="none" w:color="000000" w:sz="4" w:space="0"/>
              <w:left w:val="single" w:color="000000" w:sz="6" w:space="0"/>
              <w:bottom w:val="none" w:color="000000" w:sz="4" w:space="0"/>
              <w:right w:val="single" w:color="000000" w:sz="6" w:space="0"/>
            </w:tcBorders>
            <w:tcMar>
              <w:left w:w="149" w:type="dxa"/>
              <w:top w:w="0" w:type="dxa"/>
              <w:right w:w="149" w:type="dxa"/>
              <w:bottom w:w="0" w:type="dxa"/>
            </w:tcMar>
            <w:tcW w:w="1294" w:type="dxa"/>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574" w:type="dxa"/>
            <w:textDirection w:val="lrTb"/>
            <w:noWrap w:val="false"/>
          </w:tcPr>
          <w:p>
            <w:pPr>
              <w:pStyle w:val="1304"/>
              <w:jc w:val="center"/>
              <w:spacing w:before="0" w:beforeAutospacing="0" w:after="0" w:afterAutospacing="0"/>
              <w:rPr>
                <w:sz w:val="20"/>
                <w:szCs w:val="20"/>
              </w:rPr>
            </w:pPr>
            <w:r>
              <w:rPr>
                <w:sz w:val="20"/>
                <w:szCs w:val="20"/>
              </w:rPr>
              <w:t xml:space="preserve">с 1 января по 30 июня</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74" w:type="dxa"/>
            <w:textDirection w:val="lrTb"/>
            <w:noWrap w:val="false"/>
          </w:tcPr>
          <w:p>
            <w:pPr>
              <w:pStyle w:val="1304"/>
              <w:jc w:val="center"/>
              <w:spacing w:before="0" w:beforeAutospacing="0" w:after="0" w:afterAutospacing="0"/>
              <w:rPr>
                <w:sz w:val="20"/>
                <w:szCs w:val="20"/>
              </w:rPr>
            </w:pPr>
            <w:r>
              <w:rPr>
                <w:sz w:val="20"/>
                <w:szCs w:val="20"/>
              </w:rPr>
              <w:t xml:space="preserve">с 1 июля по 31 декабря</w:t>
            </w:r>
            <w:r>
              <w:rPr>
                <w:sz w:val="20"/>
                <w:szCs w:val="20"/>
              </w:rPr>
            </w:r>
            <w:r>
              <w:rPr>
                <w:sz w:val="20"/>
                <w:szCs w:val="20"/>
              </w:rPr>
            </w:r>
          </w:p>
        </w:tc>
      </w:tr>
      <w:tr>
        <w:tblPrEx/>
        <w:trPr/>
        <w:tc>
          <w:tcPr>
            <w:shd w:val="clear" w:color="auto" w:fill="auto"/>
            <w:tcBorders>
              <w:top w:val="single" w:color="000000" w:sz="6" w:space="0"/>
              <w:left w:val="single" w:color="000000" w:sz="6" w:space="0"/>
              <w:right w:val="single" w:color="000000" w:sz="6" w:space="0"/>
            </w:tcBorders>
            <w:tcMar>
              <w:left w:w="149" w:type="dxa"/>
              <w:top w:w="0" w:type="dxa"/>
              <w:right w:w="149" w:type="dxa"/>
              <w:bottom w:w="0" w:type="dxa"/>
            </w:tcMar>
            <w:tcW w:w="739" w:type="dxa"/>
            <w:vMerge w:val="restart"/>
            <w:textDirection w:val="lrTb"/>
            <w:noWrap w:val="false"/>
          </w:tcPr>
          <w:p>
            <w:pPr>
              <w:pStyle w:val="1304"/>
              <w:spacing w:before="0" w:beforeAutospacing="0" w:after="0" w:afterAutospacing="0"/>
              <w:rPr>
                <w:sz w:val="20"/>
                <w:szCs w:val="20"/>
              </w:rPr>
            </w:pPr>
            <w:r>
              <w:rPr>
                <w:sz w:val="20"/>
                <w:szCs w:val="20"/>
              </w:rPr>
              <w:t xml:space="preserve">1.</w:t>
            </w:r>
            <w:r>
              <w:rPr>
                <w:sz w:val="20"/>
                <w:szCs w:val="20"/>
              </w:rPr>
            </w:r>
            <w:r>
              <w:rPr>
                <w:sz w:val="20"/>
                <w:szCs w:val="20"/>
              </w:rPr>
            </w:r>
          </w:p>
        </w:tc>
        <w:tc>
          <w:tcPr>
            <w:shd w:val="clear" w:color="auto" w:fill="auto"/>
            <w:tcBorders>
              <w:top w:val="single" w:color="000000" w:sz="6" w:space="0"/>
              <w:left w:val="single" w:color="000000" w:sz="6" w:space="0"/>
              <w:right w:val="single" w:color="000000" w:sz="6" w:space="0"/>
            </w:tcBorders>
            <w:tcMar>
              <w:left w:w="149" w:type="dxa"/>
              <w:top w:w="0" w:type="dxa"/>
              <w:right w:w="149" w:type="dxa"/>
              <w:bottom w:w="0" w:type="dxa"/>
            </w:tcMar>
            <w:tcW w:w="2587" w:type="dxa"/>
            <w:vMerge w:val="restart"/>
            <w:textDirection w:val="lrTb"/>
            <w:noWrap w:val="false"/>
          </w:tcPr>
          <w:p>
            <w:pPr>
              <w:pStyle w:val="1304"/>
              <w:jc w:val="center"/>
              <w:spacing w:before="0" w:beforeAutospacing="0" w:after="0" w:afterAutospacing="0"/>
              <w:rPr>
                <w:sz w:val="20"/>
                <w:szCs w:val="20"/>
              </w:rPr>
            </w:pPr>
            <w:r>
              <w:rPr>
                <w:sz w:val="20"/>
                <w:szCs w:val="20"/>
              </w:rPr>
              <w:t xml:space="preserve">Общество с ограниченной ответственностью "ЖКХ Юго-Запад"</w:t>
            </w:r>
            <w:r>
              <w:rPr>
                <w:sz w:val="20"/>
                <w:szCs w:val="20"/>
              </w:rPr>
            </w:r>
            <w:r>
              <w:rPr>
                <w:sz w:val="20"/>
                <w:szCs w:val="20"/>
              </w:rPr>
            </w:r>
          </w:p>
        </w:tc>
        <w:tc>
          <w:tcPr>
            <w:gridSpan w:val="4"/>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6435" w:type="dxa"/>
            <w:textDirection w:val="lrTb"/>
            <w:noWrap w:val="false"/>
          </w:tcPr>
          <w:p>
            <w:pPr>
              <w:pStyle w:val="1304"/>
              <w:spacing w:before="0" w:beforeAutospacing="0" w:after="0" w:afterAutospacing="0"/>
              <w:rPr>
                <w:sz w:val="20"/>
                <w:szCs w:val="20"/>
              </w:rPr>
            </w:pPr>
            <w:r>
              <w:rPr>
                <w:sz w:val="20"/>
                <w:szCs w:val="20"/>
              </w:rPr>
              <w:t xml:space="preserve">Для потребителей, в случае отсутствия дифференциации тарифов по схеме подключения</w:t>
            </w:r>
            <w:r>
              <w:rPr>
                <w:sz w:val="20"/>
                <w:szCs w:val="20"/>
              </w:rPr>
            </w:r>
            <w:r>
              <w:rPr>
                <w:sz w:val="20"/>
                <w:szCs w:val="20"/>
              </w:rPr>
            </w:r>
          </w:p>
        </w:tc>
      </w:tr>
      <w:tr>
        <w:tblPrEx/>
        <w:trPr/>
        <w:tc>
          <w:tcPr>
            <w:shd w:val="clear" w:color="auto" w:fill="auto"/>
            <w:tcBorders>
              <w:left w:val="single" w:color="000000" w:sz="6" w:space="0"/>
              <w:right w:val="single" w:color="000000" w:sz="6" w:space="0"/>
            </w:tcBorders>
            <w:tcMar>
              <w:left w:w="149" w:type="dxa"/>
              <w:top w:w="0" w:type="dxa"/>
              <w:right w:w="149" w:type="dxa"/>
              <w:bottom w:w="0" w:type="dxa"/>
            </w:tcMar>
            <w:tcW w:w="739"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2587" w:type="dxa"/>
            <w:vMerge w:val="continue"/>
            <w:textDirection w:val="lrTb"/>
            <w:noWrap w:val="false"/>
          </w:tcPr>
          <w:p>
            <w:pPr>
              <w:rPr>
                <w:sz w:val="20"/>
                <w:szCs w:val="20"/>
              </w:rPr>
            </w:pPr>
            <w:r>
              <w:rPr>
                <w:sz w:val="20"/>
                <w:szCs w:val="20"/>
              </w:rPr>
            </w:r>
            <w:r>
              <w:rPr>
                <w:sz w:val="20"/>
                <w:szCs w:val="20"/>
              </w:rPr>
            </w:r>
            <w:r>
              <w:rPr>
                <w:sz w:val="20"/>
                <w:szCs w:val="20"/>
              </w:rPr>
            </w:r>
          </w:p>
        </w:tc>
        <w:tc>
          <w:tcPr>
            <w:gridSpan w:val="4"/>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6435" w:type="dxa"/>
            <w:textDirection w:val="lrTb"/>
            <w:noWrap w:val="false"/>
          </w:tcPr>
          <w:p>
            <w:pPr>
              <w:pStyle w:val="1304"/>
              <w:jc w:val="center"/>
              <w:spacing w:before="0" w:beforeAutospacing="0" w:after="0" w:afterAutospacing="0"/>
              <w:rPr>
                <w:sz w:val="20"/>
                <w:szCs w:val="20"/>
              </w:rPr>
            </w:pPr>
            <w:r>
              <w:rPr>
                <w:sz w:val="20"/>
                <w:szCs w:val="20"/>
              </w:rPr>
              <w:t xml:space="preserve">Юргамышский муниципальный округ: р.п. Юргамыш</w:t>
            </w:r>
            <w:r>
              <w:rPr>
                <w:sz w:val="20"/>
                <w:szCs w:val="20"/>
              </w:rPr>
            </w:r>
            <w:r>
              <w:rPr>
                <w:sz w:val="20"/>
                <w:szCs w:val="20"/>
              </w:rPr>
            </w:r>
          </w:p>
        </w:tc>
      </w:tr>
      <w:tr>
        <w:tblPrEx/>
        <w:trPr>
          <w:trHeight w:val="230"/>
        </w:trPr>
        <w:tc>
          <w:tcPr>
            <w:shd w:val="clear" w:color="auto" w:fill="auto"/>
            <w:tcBorders>
              <w:left w:val="single" w:color="000000" w:sz="6" w:space="0"/>
              <w:right w:val="single" w:color="000000" w:sz="6" w:space="0"/>
            </w:tcBorders>
            <w:tcMar>
              <w:left w:w="149" w:type="dxa"/>
              <w:top w:w="0" w:type="dxa"/>
              <w:right w:w="149" w:type="dxa"/>
              <w:bottom w:w="0" w:type="dxa"/>
            </w:tcMar>
            <w:tcW w:w="739"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2587"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top w:val="single" w:color="000000" w:sz="6" w:space="0"/>
              <w:left w:val="single" w:color="000000" w:sz="6" w:space="0"/>
              <w:right w:val="single" w:color="000000" w:sz="6" w:space="0"/>
            </w:tcBorders>
            <w:tcMar>
              <w:left w:w="149" w:type="dxa"/>
              <w:top w:w="0" w:type="dxa"/>
              <w:right w:w="149" w:type="dxa"/>
              <w:bottom w:w="0" w:type="dxa"/>
            </w:tcMar>
            <w:tcW w:w="2093" w:type="dxa"/>
            <w:vMerge w:val="restart"/>
            <w:textDirection w:val="lrTb"/>
            <w:noWrap w:val="false"/>
          </w:tcPr>
          <w:p>
            <w:pPr>
              <w:pStyle w:val="1304"/>
              <w:spacing w:before="0" w:beforeAutospacing="0" w:after="0" w:afterAutospacing="0"/>
              <w:rPr>
                <w:sz w:val="20"/>
                <w:szCs w:val="20"/>
              </w:rPr>
            </w:pPr>
            <w:r>
              <w:rPr>
                <w:sz w:val="20"/>
                <w:szCs w:val="20"/>
              </w:rPr>
              <w:t xml:space="preserve">одноставочный, руб./Гкал &lt;*&gt;</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pStyle w:val="1304"/>
              <w:jc w:val="center"/>
              <w:spacing w:before="0" w:beforeAutospacing="0" w:after="0" w:afterAutospacing="0"/>
              <w:rPr>
                <w:sz w:val="20"/>
                <w:szCs w:val="20"/>
              </w:rPr>
            </w:pPr>
            <w:r>
              <w:rPr>
                <w:sz w:val="20"/>
                <w:szCs w:val="20"/>
              </w:rPr>
              <w:t xml:space="preserve">2020</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574" w:type="dxa"/>
            <w:textDirection w:val="lrTb"/>
            <w:noWrap w:val="false"/>
          </w:tcPr>
          <w:p>
            <w:pPr>
              <w:pStyle w:val="1304"/>
              <w:jc w:val="center"/>
              <w:spacing w:before="0" w:beforeAutospacing="0" w:after="0" w:afterAutospacing="0"/>
              <w:rPr>
                <w:sz w:val="20"/>
                <w:szCs w:val="20"/>
              </w:rPr>
            </w:pPr>
            <w:r>
              <w:rPr>
                <w:sz w:val="20"/>
                <w:szCs w:val="20"/>
              </w:rPr>
              <w:t xml:space="preserve">-</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74" w:type="dxa"/>
            <w:textDirection w:val="lrTb"/>
            <w:noWrap w:val="false"/>
          </w:tcPr>
          <w:p>
            <w:pPr>
              <w:pStyle w:val="1304"/>
              <w:jc w:val="center"/>
              <w:spacing w:before="0" w:beforeAutospacing="0" w:after="0" w:afterAutospacing="0"/>
              <w:rPr>
                <w:sz w:val="20"/>
                <w:szCs w:val="20"/>
              </w:rPr>
            </w:pPr>
            <w:r>
              <w:rPr>
                <w:sz w:val="20"/>
                <w:szCs w:val="20"/>
              </w:rPr>
              <w:t xml:space="preserve">2517,08</w:t>
            </w:r>
            <w:r>
              <w:rPr>
                <w:sz w:val="20"/>
                <w:szCs w:val="20"/>
              </w:rPr>
            </w:r>
            <w:r>
              <w:rPr>
                <w:sz w:val="20"/>
                <w:szCs w:val="20"/>
              </w:rPr>
            </w:r>
          </w:p>
        </w:tc>
      </w:tr>
      <w:tr>
        <w:tblPrEx/>
        <w:trPr/>
        <w:tc>
          <w:tcPr>
            <w:shd w:val="clear" w:color="auto" w:fill="auto"/>
            <w:tcBorders>
              <w:left w:val="single" w:color="000000" w:sz="6" w:space="0"/>
              <w:right w:val="single" w:color="000000" w:sz="6" w:space="0"/>
            </w:tcBorders>
            <w:tcMar>
              <w:left w:w="149" w:type="dxa"/>
              <w:top w:w="0" w:type="dxa"/>
              <w:right w:w="149" w:type="dxa"/>
              <w:bottom w:w="0" w:type="dxa"/>
            </w:tcMar>
            <w:tcW w:w="739"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2587"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2093"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pStyle w:val="1304"/>
              <w:jc w:val="center"/>
              <w:spacing w:before="0" w:beforeAutospacing="0" w:after="0" w:afterAutospacing="0"/>
              <w:rPr>
                <w:sz w:val="20"/>
                <w:szCs w:val="20"/>
              </w:rPr>
            </w:pPr>
            <w:r>
              <w:rPr>
                <w:sz w:val="20"/>
                <w:szCs w:val="20"/>
              </w:rPr>
              <w:t xml:space="preserve">2021</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574" w:type="dxa"/>
            <w:textDirection w:val="lrTb"/>
            <w:noWrap w:val="false"/>
          </w:tcPr>
          <w:p>
            <w:pPr>
              <w:pStyle w:val="1304"/>
              <w:jc w:val="center"/>
              <w:spacing w:before="0" w:beforeAutospacing="0" w:after="0" w:afterAutospacing="0"/>
              <w:rPr>
                <w:sz w:val="20"/>
                <w:szCs w:val="20"/>
              </w:rPr>
            </w:pPr>
            <w:r>
              <w:rPr>
                <w:sz w:val="20"/>
                <w:szCs w:val="20"/>
              </w:rPr>
              <w:t xml:space="preserve">2517,08</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74" w:type="dxa"/>
            <w:textDirection w:val="lrTb"/>
            <w:noWrap w:val="false"/>
          </w:tcPr>
          <w:p>
            <w:pPr>
              <w:pStyle w:val="1304"/>
              <w:jc w:val="center"/>
              <w:spacing w:before="0" w:beforeAutospacing="0" w:after="0" w:afterAutospacing="0"/>
              <w:rPr>
                <w:sz w:val="20"/>
                <w:szCs w:val="20"/>
              </w:rPr>
            </w:pPr>
            <w:r>
              <w:rPr>
                <w:sz w:val="20"/>
                <w:szCs w:val="20"/>
              </w:rPr>
              <w:t xml:space="preserve">2568,47</w:t>
            </w:r>
            <w:r>
              <w:rPr>
                <w:sz w:val="20"/>
                <w:szCs w:val="20"/>
              </w:rPr>
            </w:r>
            <w:r>
              <w:rPr>
                <w:sz w:val="20"/>
                <w:szCs w:val="20"/>
              </w:rPr>
            </w:r>
          </w:p>
        </w:tc>
      </w:tr>
      <w:tr>
        <w:tblPrEx/>
        <w:trPr/>
        <w:tc>
          <w:tcPr>
            <w:shd w:val="clear" w:color="auto" w:fill="auto"/>
            <w:tcBorders>
              <w:left w:val="single" w:color="000000" w:sz="6" w:space="0"/>
              <w:right w:val="single" w:color="000000" w:sz="6" w:space="0"/>
            </w:tcBorders>
            <w:tcMar>
              <w:left w:w="149" w:type="dxa"/>
              <w:top w:w="0" w:type="dxa"/>
              <w:right w:w="149" w:type="dxa"/>
              <w:bottom w:w="0" w:type="dxa"/>
            </w:tcMar>
            <w:tcW w:w="739"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2587"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2093"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pStyle w:val="1304"/>
              <w:jc w:val="center"/>
              <w:spacing w:before="0" w:beforeAutospacing="0" w:after="0" w:afterAutospacing="0"/>
              <w:rPr>
                <w:sz w:val="20"/>
                <w:szCs w:val="20"/>
              </w:rPr>
            </w:pPr>
            <w:r>
              <w:rPr>
                <w:sz w:val="20"/>
                <w:szCs w:val="20"/>
              </w:rPr>
              <w:t xml:space="preserve">2022</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574" w:type="dxa"/>
            <w:textDirection w:val="lrTb"/>
            <w:noWrap w:val="false"/>
          </w:tcPr>
          <w:p>
            <w:pPr>
              <w:pStyle w:val="1304"/>
              <w:jc w:val="center"/>
              <w:spacing w:before="0" w:beforeAutospacing="0" w:after="0" w:afterAutospacing="0"/>
              <w:rPr>
                <w:sz w:val="20"/>
                <w:szCs w:val="20"/>
              </w:rPr>
            </w:pPr>
            <w:r>
              <w:rPr>
                <w:sz w:val="20"/>
                <w:szCs w:val="20"/>
              </w:rPr>
              <w:t xml:space="preserve">2568,47</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74" w:type="dxa"/>
            <w:textDirection w:val="lrTb"/>
            <w:noWrap w:val="false"/>
          </w:tcPr>
          <w:p>
            <w:pPr>
              <w:pStyle w:val="1304"/>
              <w:jc w:val="center"/>
              <w:spacing w:before="0" w:beforeAutospacing="0" w:after="0" w:afterAutospacing="0"/>
              <w:rPr>
                <w:sz w:val="20"/>
                <w:szCs w:val="20"/>
              </w:rPr>
            </w:pPr>
            <w:r>
              <w:rPr>
                <w:sz w:val="20"/>
                <w:szCs w:val="20"/>
              </w:rPr>
              <w:t xml:space="preserve">2628,57</w:t>
            </w:r>
            <w:r>
              <w:rPr>
                <w:sz w:val="20"/>
                <w:szCs w:val="20"/>
              </w:rPr>
            </w:r>
            <w:r>
              <w:rPr>
                <w:sz w:val="20"/>
                <w:szCs w:val="20"/>
              </w:rPr>
            </w:r>
          </w:p>
        </w:tc>
      </w:tr>
      <w:tr>
        <w:tblPrEx/>
        <w:trPr/>
        <w:tc>
          <w:tcPr>
            <w:shd w:val="clear" w:color="auto" w:fill="auto"/>
            <w:tcBorders>
              <w:left w:val="single" w:color="000000" w:sz="6" w:space="0"/>
              <w:right w:val="single" w:color="000000" w:sz="6" w:space="0"/>
            </w:tcBorders>
            <w:tcMar>
              <w:left w:w="149" w:type="dxa"/>
              <w:top w:w="0" w:type="dxa"/>
              <w:right w:w="149" w:type="dxa"/>
              <w:bottom w:w="0" w:type="dxa"/>
            </w:tcMar>
            <w:tcW w:w="739"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2587"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2093"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pStyle w:val="1304"/>
              <w:jc w:val="center"/>
              <w:spacing w:before="0" w:beforeAutospacing="0" w:after="0" w:afterAutospacing="0"/>
              <w:rPr>
                <w:sz w:val="20"/>
                <w:szCs w:val="20"/>
              </w:rPr>
            </w:pPr>
            <w:r>
              <w:rPr>
                <w:sz w:val="20"/>
                <w:szCs w:val="20"/>
              </w:rPr>
              <w:t xml:space="preserve">2023</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574" w:type="dxa"/>
            <w:textDirection w:val="lrTb"/>
            <w:noWrap w:val="false"/>
          </w:tcPr>
          <w:p>
            <w:pPr>
              <w:pStyle w:val="1304"/>
              <w:jc w:val="center"/>
              <w:spacing w:before="0" w:beforeAutospacing="0" w:after="0" w:afterAutospacing="0"/>
              <w:rPr>
                <w:sz w:val="20"/>
                <w:szCs w:val="20"/>
              </w:rPr>
            </w:pPr>
            <w:r>
              <w:rPr>
                <w:sz w:val="20"/>
                <w:szCs w:val="20"/>
              </w:rPr>
              <w:t xml:space="preserve">2628,57</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74" w:type="dxa"/>
            <w:textDirection w:val="lrTb"/>
            <w:noWrap w:val="false"/>
          </w:tcPr>
          <w:p>
            <w:pPr>
              <w:pStyle w:val="1304"/>
              <w:jc w:val="center"/>
              <w:spacing w:before="0" w:beforeAutospacing="0" w:after="0" w:afterAutospacing="0"/>
              <w:rPr>
                <w:sz w:val="20"/>
                <w:szCs w:val="20"/>
              </w:rPr>
            </w:pPr>
            <w:r>
              <w:rPr>
                <w:sz w:val="20"/>
                <w:szCs w:val="20"/>
              </w:rPr>
              <w:t xml:space="preserve">2687,55</w:t>
            </w:r>
            <w:r>
              <w:rPr>
                <w:sz w:val="20"/>
                <w:szCs w:val="20"/>
              </w:rPr>
            </w:r>
            <w:r>
              <w:rPr>
                <w:sz w:val="20"/>
                <w:szCs w:val="20"/>
              </w:rPr>
            </w:r>
          </w:p>
        </w:tc>
      </w:tr>
      <w:tr>
        <w:tblPrEx/>
        <w:trPr/>
        <w:tc>
          <w:tcPr>
            <w:shd w:val="clear" w:color="auto" w:fill="auto"/>
            <w:tcBorders>
              <w:left w:val="single" w:color="000000" w:sz="6" w:space="0"/>
              <w:right w:val="single" w:color="000000" w:sz="6" w:space="0"/>
            </w:tcBorders>
            <w:tcMar>
              <w:left w:w="149" w:type="dxa"/>
              <w:top w:w="0" w:type="dxa"/>
              <w:right w:w="149" w:type="dxa"/>
              <w:bottom w:w="0" w:type="dxa"/>
            </w:tcMar>
            <w:tcW w:w="739"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2587"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bottom w:val="none" w:color="000000" w:sz="4" w:space="0"/>
              <w:right w:val="single" w:color="000000" w:sz="6" w:space="0"/>
            </w:tcBorders>
            <w:tcMar>
              <w:left w:w="149" w:type="dxa"/>
              <w:top w:w="0" w:type="dxa"/>
              <w:right w:w="149" w:type="dxa"/>
              <w:bottom w:w="0" w:type="dxa"/>
            </w:tcMar>
            <w:tcW w:w="2093"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pStyle w:val="1304"/>
              <w:jc w:val="center"/>
              <w:spacing w:before="0" w:beforeAutospacing="0" w:after="0" w:afterAutospacing="0"/>
              <w:rPr>
                <w:sz w:val="20"/>
                <w:szCs w:val="20"/>
              </w:rPr>
            </w:pPr>
            <w:r>
              <w:rPr>
                <w:sz w:val="20"/>
                <w:szCs w:val="20"/>
              </w:rPr>
              <w:t xml:space="preserve">2024</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574" w:type="dxa"/>
            <w:textDirection w:val="lrTb"/>
            <w:noWrap w:val="false"/>
          </w:tcPr>
          <w:p>
            <w:pPr>
              <w:pStyle w:val="1304"/>
              <w:jc w:val="center"/>
              <w:spacing w:before="0" w:beforeAutospacing="0" w:after="0" w:afterAutospacing="0"/>
              <w:rPr>
                <w:sz w:val="20"/>
                <w:szCs w:val="20"/>
              </w:rPr>
            </w:pPr>
            <w:r>
              <w:rPr>
                <w:sz w:val="20"/>
                <w:szCs w:val="20"/>
              </w:rPr>
              <w:t xml:space="preserve">2687,55</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74" w:type="dxa"/>
            <w:textDirection w:val="lrTb"/>
            <w:noWrap w:val="false"/>
          </w:tcPr>
          <w:p>
            <w:pPr>
              <w:pStyle w:val="1304"/>
              <w:jc w:val="center"/>
              <w:spacing w:before="0" w:beforeAutospacing="0" w:after="0" w:afterAutospacing="0"/>
              <w:rPr>
                <w:sz w:val="20"/>
                <w:szCs w:val="20"/>
              </w:rPr>
            </w:pPr>
            <w:r>
              <w:rPr>
                <w:sz w:val="20"/>
                <w:szCs w:val="20"/>
              </w:rPr>
              <w:t xml:space="preserve">2750,78</w:t>
            </w:r>
            <w:r>
              <w:rPr>
                <w:sz w:val="20"/>
                <w:szCs w:val="20"/>
              </w:rPr>
            </w:r>
            <w:r>
              <w:rPr>
                <w:sz w:val="20"/>
                <w:szCs w:val="20"/>
              </w:rPr>
            </w:r>
          </w:p>
        </w:tc>
      </w:tr>
      <w:tr>
        <w:tblPrEx/>
        <w:trPr/>
        <w:tc>
          <w:tcPr>
            <w:shd w:val="clear" w:color="auto" w:fill="auto"/>
            <w:tcBorders>
              <w:left w:val="single" w:color="000000" w:sz="6" w:space="0"/>
              <w:right w:val="single" w:color="000000" w:sz="6" w:space="0"/>
            </w:tcBorders>
            <w:tcMar>
              <w:left w:w="149" w:type="dxa"/>
              <w:top w:w="0" w:type="dxa"/>
              <w:right w:w="149" w:type="dxa"/>
              <w:bottom w:w="0" w:type="dxa"/>
            </w:tcMar>
            <w:tcW w:w="739"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2587" w:type="dxa"/>
            <w:vMerge w:val="continue"/>
            <w:textDirection w:val="lrTb"/>
            <w:noWrap w:val="false"/>
          </w:tcPr>
          <w:p>
            <w:pPr>
              <w:rPr>
                <w:sz w:val="20"/>
                <w:szCs w:val="20"/>
              </w:rPr>
            </w:pPr>
            <w:r>
              <w:rPr>
                <w:sz w:val="20"/>
                <w:szCs w:val="20"/>
              </w:rPr>
            </w:r>
            <w:r>
              <w:rPr>
                <w:sz w:val="20"/>
                <w:szCs w:val="20"/>
              </w:rPr>
            </w:r>
            <w:r>
              <w:rPr>
                <w:sz w:val="20"/>
                <w:szCs w:val="20"/>
              </w:rPr>
            </w:r>
          </w:p>
        </w:tc>
        <w:tc>
          <w:tcPr>
            <w:gridSpan w:val="4"/>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6435" w:type="dxa"/>
            <w:textDirection w:val="lrTb"/>
            <w:noWrap w:val="false"/>
          </w:tcPr>
          <w:p>
            <w:pPr>
              <w:pStyle w:val="1304"/>
              <w:spacing w:before="0" w:beforeAutospacing="0" w:after="0" w:afterAutospacing="0"/>
              <w:rPr>
                <w:sz w:val="20"/>
                <w:szCs w:val="20"/>
              </w:rPr>
            </w:pPr>
            <w:r>
              <w:rPr>
                <w:sz w:val="20"/>
                <w:szCs w:val="20"/>
              </w:rPr>
              <w:t xml:space="preserve">Население &lt;**&gt;</w:t>
            </w:r>
            <w:r>
              <w:rPr>
                <w:sz w:val="20"/>
                <w:szCs w:val="20"/>
              </w:rPr>
            </w:r>
            <w:r>
              <w:rPr>
                <w:sz w:val="20"/>
                <w:szCs w:val="20"/>
              </w:rPr>
            </w:r>
          </w:p>
        </w:tc>
      </w:tr>
      <w:tr>
        <w:tblPrEx/>
        <w:trPr>
          <w:trHeight w:val="230"/>
        </w:trPr>
        <w:tc>
          <w:tcPr>
            <w:shd w:val="clear" w:color="auto" w:fill="auto"/>
            <w:tcBorders>
              <w:left w:val="single" w:color="000000" w:sz="6" w:space="0"/>
              <w:right w:val="single" w:color="000000" w:sz="6" w:space="0"/>
            </w:tcBorders>
            <w:tcMar>
              <w:left w:w="149" w:type="dxa"/>
              <w:top w:w="0" w:type="dxa"/>
              <w:right w:w="149" w:type="dxa"/>
              <w:bottom w:w="0" w:type="dxa"/>
            </w:tcMar>
            <w:tcW w:w="739"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2587"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top w:val="single" w:color="000000" w:sz="6" w:space="0"/>
              <w:left w:val="single" w:color="000000" w:sz="6" w:space="0"/>
              <w:right w:val="single" w:color="000000" w:sz="6" w:space="0"/>
            </w:tcBorders>
            <w:tcMar>
              <w:left w:w="149" w:type="dxa"/>
              <w:top w:w="0" w:type="dxa"/>
              <w:right w:w="149" w:type="dxa"/>
              <w:bottom w:w="0" w:type="dxa"/>
            </w:tcMar>
            <w:tcW w:w="2093" w:type="dxa"/>
            <w:vMerge w:val="restart"/>
            <w:textDirection w:val="lrTb"/>
            <w:noWrap w:val="false"/>
          </w:tcPr>
          <w:p>
            <w:pPr>
              <w:pStyle w:val="1304"/>
              <w:spacing w:before="0" w:beforeAutospacing="0" w:after="0" w:afterAutospacing="0"/>
              <w:rPr>
                <w:sz w:val="20"/>
                <w:szCs w:val="20"/>
              </w:rPr>
            </w:pPr>
            <w:r>
              <w:rPr>
                <w:sz w:val="20"/>
                <w:szCs w:val="20"/>
              </w:rPr>
              <w:t xml:space="preserve">одноставочный, руб./Гкал &lt;*&gt;</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pStyle w:val="1304"/>
              <w:jc w:val="center"/>
              <w:spacing w:before="0" w:beforeAutospacing="0" w:after="0" w:afterAutospacing="0"/>
              <w:rPr>
                <w:sz w:val="20"/>
                <w:szCs w:val="20"/>
              </w:rPr>
            </w:pPr>
            <w:r>
              <w:rPr>
                <w:sz w:val="20"/>
                <w:szCs w:val="20"/>
              </w:rPr>
              <w:t xml:space="preserve">2020</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574" w:type="dxa"/>
            <w:textDirection w:val="lrTb"/>
            <w:noWrap w:val="false"/>
          </w:tcPr>
          <w:p>
            <w:pPr>
              <w:pStyle w:val="1304"/>
              <w:jc w:val="center"/>
              <w:spacing w:before="0" w:beforeAutospacing="0" w:after="0" w:afterAutospacing="0"/>
              <w:rPr>
                <w:sz w:val="20"/>
                <w:szCs w:val="20"/>
              </w:rPr>
            </w:pPr>
            <w:r>
              <w:rPr>
                <w:sz w:val="20"/>
                <w:szCs w:val="20"/>
              </w:rPr>
              <w:t xml:space="preserve">-</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74" w:type="dxa"/>
            <w:textDirection w:val="lrTb"/>
            <w:noWrap w:val="false"/>
          </w:tcPr>
          <w:p>
            <w:pPr>
              <w:pStyle w:val="1304"/>
              <w:jc w:val="center"/>
              <w:spacing w:before="0" w:beforeAutospacing="0" w:after="0" w:afterAutospacing="0"/>
              <w:rPr>
                <w:sz w:val="20"/>
                <w:szCs w:val="20"/>
              </w:rPr>
            </w:pPr>
            <w:r>
              <w:rPr>
                <w:sz w:val="20"/>
                <w:szCs w:val="20"/>
              </w:rPr>
              <w:t xml:space="preserve">-</w:t>
            </w:r>
            <w:r>
              <w:rPr>
                <w:sz w:val="20"/>
                <w:szCs w:val="20"/>
              </w:rPr>
            </w:r>
            <w:r>
              <w:rPr>
                <w:sz w:val="20"/>
                <w:szCs w:val="20"/>
              </w:rPr>
            </w:r>
          </w:p>
        </w:tc>
      </w:tr>
      <w:tr>
        <w:tblPrEx/>
        <w:trPr/>
        <w:tc>
          <w:tcPr>
            <w:shd w:val="clear" w:color="auto" w:fill="auto"/>
            <w:tcBorders>
              <w:left w:val="single" w:color="000000" w:sz="6" w:space="0"/>
              <w:right w:val="single" w:color="000000" w:sz="6" w:space="0"/>
            </w:tcBorders>
            <w:tcMar>
              <w:left w:w="149" w:type="dxa"/>
              <w:top w:w="0" w:type="dxa"/>
              <w:right w:w="149" w:type="dxa"/>
              <w:bottom w:w="0" w:type="dxa"/>
            </w:tcMar>
            <w:tcW w:w="739"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2587"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2093"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pStyle w:val="1304"/>
              <w:jc w:val="center"/>
              <w:spacing w:before="0" w:beforeAutospacing="0" w:after="0" w:afterAutospacing="0"/>
              <w:rPr>
                <w:sz w:val="20"/>
                <w:szCs w:val="20"/>
              </w:rPr>
            </w:pPr>
            <w:r>
              <w:rPr>
                <w:sz w:val="20"/>
                <w:szCs w:val="20"/>
              </w:rPr>
              <w:t xml:space="preserve">2021</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574" w:type="dxa"/>
            <w:textDirection w:val="lrTb"/>
            <w:noWrap w:val="false"/>
          </w:tcPr>
          <w:p>
            <w:pPr>
              <w:pStyle w:val="1304"/>
              <w:jc w:val="center"/>
              <w:spacing w:before="0" w:beforeAutospacing="0" w:after="0" w:afterAutospacing="0"/>
              <w:rPr>
                <w:sz w:val="20"/>
                <w:szCs w:val="20"/>
              </w:rPr>
            </w:pPr>
            <w:r>
              <w:rPr>
                <w:sz w:val="20"/>
                <w:szCs w:val="20"/>
              </w:rPr>
              <w:t xml:space="preserve">-</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74" w:type="dxa"/>
            <w:textDirection w:val="lrTb"/>
            <w:noWrap w:val="false"/>
          </w:tcPr>
          <w:p>
            <w:pPr>
              <w:pStyle w:val="1304"/>
              <w:jc w:val="center"/>
              <w:spacing w:before="0" w:beforeAutospacing="0" w:after="0" w:afterAutospacing="0"/>
              <w:rPr>
                <w:sz w:val="20"/>
                <w:szCs w:val="20"/>
              </w:rPr>
            </w:pPr>
            <w:r>
              <w:rPr>
                <w:sz w:val="20"/>
                <w:szCs w:val="20"/>
              </w:rPr>
              <w:t xml:space="preserve">-</w:t>
            </w:r>
            <w:r>
              <w:rPr>
                <w:sz w:val="20"/>
                <w:szCs w:val="20"/>
              </w:rPr>
            </w:r>
            <w:r>
              <w:rPr>
                <w:sz w:val="20"/>
                <w:szCs w:val="20"/>
              </w:rPr>
            </w:r>
          </w:p>
        </w:tc>
      </w:tr>
      <w:tr>
        <w:tblPrEx/>
        <w:trPr/>
        <w:tc>
          <w:tcPr>
            <w:shd w:val="clear" w:color="auto" w:fill="auto"/>
            <w:tcBorders>
              <w:left w:val="single" w:color="000000" w:sz="6" w:space="0"/>
              <w:right w:val="single" w:color="000000" w:sz="6" w:space="0"/>
            </w:tcBorders>
            <w:tcMar>
              <w:left w:w="149" w:type="dxa"/>
              <w:top w:w="0" w:type="dxa"/>
              <w:right w:w="149" w:type="dxa"/>
              <w:bottom w:w="0" w:type="dxa"/>
            </w:tcMar>
            <w:tcW w:w="739"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2587"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2093"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pStyle w:val="1304"/>
              <w:jc w:val="center"/>
              <w:spacing w:before="0" w:beforeAutospacing="0" w:after="0" w:afterAutospacing="0"/>
              <w:rPr>
                <w:sz w:val="20"/>
                <w:szCs w:val="20"/>
              </w:rPr>
            </w:pPr>
            <w:r>
              <w:rPr>
                <w:sz w:val="20"/>
                <w:szCs w:val="20"/>
              </w:rPr>
              <w:t xml:space="preserve">2022</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574" w:type="dxa"/>
            <w:textDirection w:val="lrTb"/>
            <w:noWrap w:val="false"/>
          </w:tcPr>
          <w:p>
            <w:pPr>
              <w:pStyle w:val="1304"/>
              <w:jc w:val="center"/>
              <w:spacing w:before="0" w:beforeAutospacing="0" w:after="0" w:afterAutospacing="0"/>
              <w:rPr>
                <w:sz w:val="20"/>
                <w:szCs w:val="20"/>
              </w:rPr>
            </w:pPr>
            <w:r>
              <w:rPr>
                <w:sz w:val="20"/>
                <w:szCs w:val="20"/>
              </w:rPr>
              <w:t xml:space="preserve">-</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74" w:type="dxa"/>
            <w:textDirection w:val="lrTb"/>
            <w:noWrap w:val="false"/>
          </w:tcPr>
          <w:p>
            <w:pPr>
              <w:pStyle w:val="1304"/>
              <w:jc w:val="center"/>
              <w:spacing w:before="0" w:beforeAutospacing="0" w:after="0" w:afterAutospacing="0"/>
              <w:rPr>
                <w:sz w:val="20"/>
                <w:szCs w:val="20"/>
              </w:rPr>
            </w:pPr>
            <w:r>
              <w:rPr>
                <w:sz w:val="20"/>
                <w:szCs w:val="20"/>
              </w:rPr>
              <w:t xml:space="preserve">-</w:t>
            </w:r>
            <w:r>
              <w:rPr>
                <w:sz w:val="20"/>
                <w:szCs w:val="20"/>
              </w:rPr>
            </w:r>
            <w:r>
              <w:rPr>
                <w:sz w:val="20"/>
                <w:szCs w:val="20"/>
              </w:rPr>
            </w:r>
          </w:p>
        </w:tc>
      </w:tr>
      <w:tr>
        <w:tblPrEx/>
        <w:trPr/>
        <w:tc>
          <w:tcPr>
            <w:shd w:val="clear" w:color="auto" w:fill="auto"/>
            <w:tcBorders>
              <w:left w:val="single" w:color="000000" w:sz="6" w:space="0"/>
              <w:right w:val="single" w:color="000000" w:sz="6" w:space="0"/>
            </w:tcBorders>
            <w:tcMar>
              <w:left w:w="149" w:type="dxa"/>
              <w:top w:w="0" w:type="dxa"/>
              <w:right w:w="149" w:type="dxa"/>
              <w:bottom w:w="0" w:type="dxa"/>
            </w:tcMar>
            <w:tcW w:w="739"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2587"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2093"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pStyle w:val="1304"/>
              <w:jc w:val="center"/>
              <w:spacing w:before="0" w:beforeAutospacing="0" w:after="0" w:afterAutospacing="0"/>
              <w:rPr>
                <w:sz w:val="20"/>
                <w:szCs w:val="20"/>
              </w:rPr>
            </w:pPr>
            <w:r>
              <w:rPr>
                <w:sz w:val="20"/>
                <w:szCs w:val="20"/>
              </w:rPr>
              <w:t xml:space="preserve">2023</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574" w:type="dxa"/>
            <w:textDirection w:val="lrTb"/>
            <w:noWrap w:val="false"/>
          </w:tcPr>
          <w:p>
            <w:pPr>
              <w:pStyle w:val="1304"/>
              <w:jc w:val="center"/>
              <w:spacing w:before="0" w:beforeAutospacing="0" w:after="0" w:afterAutospacing="0"/>
              <w:rPr>
                <w:sz w:val="20"/>
                <w:szCs w:val="20"/>
              </w:rPr>
            </w:pPr>
            <w:r>
              <w:rPr>
                <w:sz w:val="20"/>
                <w:szCs w:val="20"/>
              </w:rPr>
              <w:t xml:space="preserve">-</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74" w:type="dxa"/>
            <w:textDirection w:val="lrTb"/>
            <w:noWrap w:val="false"/>
          </w:tcPr>
          <w:p>
            <w:pPr>
              <w:pStyle w:val="1304"/>
              <w:jc w:val="center"/>
              <w:spacing w:before="0" w:beforeAutospacing="0" w:after="0" w:afterAutospacing="0"/>
              <w:rPr>
                <w:sz w:val="20"/>
                <w:szCs w:val="20"/>
              </w:rPr>
            </w:pPr>
            <w:r>
              <w:rPr>
                <w:sz w:val="20"/>
                <w:szCs w:val="20"/>
              </w:rPr>
              <w:t xml:space="preserve">-</w:t>
            </w:r>
            <w:r>
              <w:rPr>
                <w:sz w:val="20"/>
                <w:szCs w:val="20"/>
              </w:rPr>
            </w:r>
            <w:r>
              <w:rPr>
                <w:sz w:val="20"/>
                <w:szCs w:val="20"/>
              </w:rPr>
            </w:r>
          </w:p>
        </w:tc>
      </w:tr>
      <w:tr>
        <w:tblPrEx/>
        <w:trPr/>
        <w:tc>
          <w:tcPr>
            <w:shd w:val="clear" w:color="auto" w:fill="auto"/>
            <w:tcBorders>
              <w:left w:val="single" w:color="000000" w:sz="6" w:space="0"/>
              <w:right w:val="single" w:color="000000" w:sz="6" w:space="0"/>
            </w:tcBorders>
            <w:tcMar>
              <w:left w:w="149" w:type="dxa"/>
              <w:top w:w="0" w:type="dxa"/>
              <w:right w:w="149" w:type="dxa"/>
              <w:bottom w:w="0" w:type="dxa"/>
            </w:tcMar>
            <w:tcW w:w="739"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2587"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bottom w:val="none" w:color="000000" w:sz="4" w:space="0"/>
              <w:right w:val="single" w:color="000000" w:sz="6" w:space="0"/>
            </w:tcBorders>
            <w:tcMar>
              <w:left w:w="149" w:type="dxa"/>
              <w:top w:w="0" w:type="dxa"/>
              <w:right w:w="149" w:type="dxa"/>
              <w:bottom w:w="0" w:type="dxa"/>
            </w:tcMar>
            <w:tcW w:w="2093" w:type="dxa"/>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294" w:type="dxa"/>
            <w:textDirection w:val="lrTb"/>
            <w:noWrap w:val="false"/>
          </w:tcPr>
          <w:p>
            <w:pPr>
              <w:pStyle w:val="1304"/>
              <w:jc w:val="center"/>
              <w:spacing w:before="0" w:beforeAutospacing="0" w:after="0" w:afterAutospacing="0"/>
              <w:rPr>
                <w:sz w:val="20"/>
                <w:szCs w:val="20"/>
              </w:rPr>
            </w:pPr>
            <w:r>
              <w:rPr>
                <w:sz w:val="20"/>
                <w:szCs w:val="20"/>
              </w:rPr>
              <w:t xml:space="preserve">2024</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574" w:type="dxa"/>
            <w:textDirection w:val="lrTb"/>
            <w:noWrap w:val="false"/>
          </w:tcPr>
          <w:p>
            <w:pPr>
              <w:pStyle w:val="1304"/>
              <w:jc w:val="center"/>
              <w:spacing w:before="0" w:beforeAutospacing="0" w:after="0" w:afterAutospacing="0"/>
              <w:rPr>
                <w:sz w:val="20"/>
                <w:szCs w:val="20"/>
              </w:rPr>
            </w:pPr>
            <w:r>
              <w:rPr>
                <w:sz w:val="20"/>
                <w:szCs w:val="20"/>
              </w:rPr>
              <w:t xml:space="preserve">-</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74" w:type="dxa"/>
            <w:textDirection w:val="lrTb"/>
            <w:noWrap w:val="false"/>
          </w:tcPr>
          <w:p>
            <w:pPr>
              <w:pStyle w:val="1304"/>
              <w:jc w:val="center"/>
              <w:spacing w:before="0" w:beforeAutospacing="0" w:after="0" w:afterAutospacing="0"/>
              <w:rPr>
                <w:sz w:val="20"/>
                <w:szCs w:val="20"/>
              </w:rPr>
            </w:pPr>
            <w:r>
              <w:rPr>
                <w:sz w:val="20"/>
                <w:szCs w:val="20"/>
              </w:rPr>
              <w:t xml:space="preserve">-</w:t>
            </w:r>
            <w:r>
              <w:rPr>
                <w:sz w:val="20"/>
                <w:szCs w:val="20"/>
              </w:rPr>
            </w:r>
            <w:r>
              <w:rPr>
                <w:sz w:val="20"/>
                <w:szCs w:val="20"/>
              </w:rPr>
            </w:r>
          </w:p>
        </w:tc>
      </w:tr>
      <w:tr>
        <w:tblPrEx/>
        <w:trPr/>
        <w:tc>
          <w:tcPr>
            <w:gridSpan w:val="6"/>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9761" w:type="dxa"/>
            <w:textDirection w:val="lrTb"/>
            <w:noWrap w:val="false"/>
          </w:tcPr>
          <w:p>
            <w:pPr>
              <w:pStyle w:val="1304"/>
              <w:ind w:firstLine="480"/>
              <w:jc w:val="center"/>
              <w:spacing w:before="0" w:beforeAutospacing="0" w:after="0" w:afterAutospacing="0"/>
              <w:rPr>
                <w:sz w:val="20"/>
                <w:szCs w:val="20"/>
              </w:rPr>
            </w:pPr>
            <w:r>
              <w:rPr>
                <w:sz w:val="20"/>
                <w:szCs w:val="20"/>
              </w:rPr>
              <w:t xml:space="preserve">(в ред. </w:t>
            </w:r>
            <w:hyperlink r:id="rId27" w:tooltip="https://docs.cntd.ru/document/406988667#64U0IK" w:anchor="64U0IK" w:history="1">
              <w:r>
                <w:rPr>
                  <w:rStyle w:val="1267"/>
                  <w:color w:val="auto"/>
                  <w:sz w:val="20"/>
                  <w:szCs w:val="20"/>
                  <w:u w:val="none"/>
                </w:rPr>
                <w:t xml:space="preserve">Постановления Департамента государственного регулирования цен и тарифов Курганской области от 15.12.2020 N 54-</w:t>
              </w:r>
            </w:hyperlink>
            <w:r>
              <w:rPr>
                <w:sz w:val="20"/>
                <w:szCs w:val="20"/>
              </w:rPr>
              <w:t xml:space="preserve">20)</w:t>
            </w:r>
            <w:r>
              <w:rPr>
                <w:sz w:val="20"/>
                <w:szCs w:val="20"/>
              </w:rPr>
            </w:r>
            <w:r>
              <w:rPr>
                <w:sz w:val="20"/>
                <w:szCs w:val="20"/>
              </w:rPr>
            </w:r>
          </w:p>
        </w:tc>
      </w:tr>
    </w:tbl>
    <w:p>
      <w:pPr>
        <w:rPr>
          <w:sz w:val="20"/>
          <w:szCs w:val="20"/>
        </w:rPr>
      </w:pPr>
      <w:r>
        <w:rPr>
          <w:sz w:val="20"/>
          <w:szCs w:val="20"/>
        </w:rPr>
        <w:t xml:space="preserve">Примечания:</w:t>
      </w:r>
      <w:r>
        <w:rPr>
          <w:sz w:val="20"/>
          <w:szCs w:val="20"/>
        </w:rPr>
      </w:r>
      <w:r>
        <w:rPr>
          <w:sz w:val="20"/>
          <w:szCs w:val="20"/>
        </w:rPr>
      </w:r>
    </w:p>
    <w:p>
      <w:pPr>
        <w:rPr>
          <w:sz w:val="20"/>
          <w:szCs w:val="20"/>
        </w:rPr>
      </w:pPr>
      <w:r>
        <w:rPr>
          <w:sz w:val="20"/>
          <w:szCs w:val="20"/>
        </w:rPr>
        <w:t xml:space="preserve">* Организация не признается плательщиком НДС в соответствии со </w:t>
      </w:r>
      <w:hyperlink r:id="rId28" w:tooltip="https://docs.cntd.ru/document/901765862#BRK0PE" w:anchor="BRK0PE" w:history="1">
        <w:r>
          <w:rPr>
            <w:rStyle w:val="1267"/>
            <w:color w:val="auto"/>
            <w:sz w:val="20"/>
            <w:szCs w:val="20"/>
            <w:u w:val="none"/>
          </w:rPr>
          <w:t xml:space="preserve">ст. 346.11 гл. 26.2 Налогового кодекса Российской Федерации</w:t>
        </w:r>
      </w:hyperlink>
      <w:r>
        <w:rPr>
          <w:sz w:val="20"/>
          <w:szCs w:val="20"/>
        </w:rPr>
        <w:t xml:space="preserve">.</w:t>
      </w:r>
      <w:r>
        <w:rPr>
          <w:sz w:val="20"/>
          <w:szCs w:val="20"/>
        </w:rPr>
        <w:br/>
        <w:t xml:space="preserve">** Тариф действует с 1 июля 2022 года по 30 ноября 2022 года.</w:t>
      </w:r>
      <w:r>
        <w:rPr>
          <w:sz w:val="20"/>
          <w:szCs w:val="20"/>
        </w:rPr>
        <w:br/>
        <w:t xml:space="preserve">*** Тариф действует с 1 декабря 2022 года.".</w:t>
      </w:r>
      <w:r>
        <w:rPr>
          <w:sz w:val="20"/>
          <w:szCs w:val="20"/>
        </w:rPr>
        <w:br/>
        <w:t xml:space="preserve">**** Выделяется в целях реализации </w:t>
      </w:r>
      <w:hyperlink r:id="rId29" w:tooltip="https://docs.cntd.ru/document/901765862#8Q00M5" w:anchor="8Q00M5" w:history="1">
        <w:r>
          <w:rPr>
            <w:rStyle w:val="1267"/>
            <w:color w:val="auto"/>
            <w:sz w:val="20"/>
            <w:szCs w:val="20"/>
            <w:u w:val="none"/>
          </w:rPr>
          <w:t xml:space="preserve">пункта 6 статьи 168 Налогового кодекса Российской Федерации (часть вторая)</w:t>
        </w:r>
      </w:hyperlink>
      <w:r>
        <w:rPr>
          <w:sz w:val="20"/>
          <w:szCs w:val="20"/>
        </w:rPr>
        <w:t xml:space="preserve">.</w:t>
      </w:r>
      <w:r>
        <w:rPr>
          <w:sz w:val="20"/>
          <w:szCs w:val="20"/>
        </w:rPr>
      </w:r>
      <w:r>
        <w:rPr>
          <w:sz w:val="20"/>
          <w:szCs w:val="20"/>
        </w:rPr>
      </w:r>
    </w:p>
    <w:p>
      <w:pPr>
        <w:pStyle w:val="1247"/>
        <w:ind w:left="119" w:right="147" w:firstLine="709"/>
        <w:jc w:val="right"/>
      </w:pPr>
      <w:r/>
      <w:r/>
    </w:p>
    <w:p>
      <w:pPr>
        <w:pStyle w:val="1247"/>
        <w:ind w:left="119" w:right="147" w:firstLine="709"/>
        <w:jc w:val="right"/>
      </w:pPr>
      <w:r>
        <w:t xml:space="preserve">Таблица 1.11.1.6</w:t>
      </w:r>
      <w:r/>
    </w:p>
    <w:p>
      <w:pPr>
        <w:pStyle w:val="1247"/>
        <w:ind w:left="142" w:right="130" w:firstLine="709"/>
        <w:jc w:val="center"/>
        <w:rPr>
          <w:rFonts w:ascii="Liberation Serif" w:hAnsi="Liberation Serif" w:cs="Liberation Serif"/>
        </w:rPr>
      </w:pPr>
      <w:r>
        <w:t xml:space="preserve">Динамика утверждённых тарифов на тепловую энергию </w:t>
      </w:r>
      <w:r>
        <w:rPr>
          <w:rFonts w:ascii="Liberation Serif" w:hAnsi="Liberation Serif" w:cs="Liberation Serif"/>
        </w:rPr>
        <w:t xml:space="preserve">ООО «Арабика»</w:t>
      </w:r>
      <w:r>
        <w:rPr>
          <w:rFonts w:ascii="Liberation Serif" w:hAnsi="Liberation Serif" w:cs="Liberation Serif"/>
        </w:rPr>
      </w:r>
      <w:r>
        <w:rPr>
          <w:rFonts w:ascii="Liberation Serif" w:hAnsi="Liberation Serif" w:cs="Liberation Serif"/>
        </w:rPr>
      </w:r>
    </w:p>
    <w:p>
      <w:pPr>
        <w:pStyle w:val="1247"/>
        <w:ind w:left="119" w:right="147" w:firstLine="23"/>
        <w:jc w:val="center"/>
      </w:pPr>
      <w:r>
        <w:t xml:space="preserve">(Постановление Департамента государственного регулирования цен и тарифов Курганской области от 19.12.2023г. №58-39)</w:t>
      </w:r>
      <w:r/>
    </w:p>
    <w:tbl>
      <w:tblPr>
        <w:tblW w:w="5000" w:type="pct"/>
        <w:shd w:val="clear" w:color="auto" w:fill="ffffff"/>
        <w:tblCellMar>
          <w:left w:w="0" w:type="dxa"/>
          <w:right w:w="0" w:type="dxa"/>
        </w:tblCellMar>
        <w:tblLook w:val="04A0" w:firstRow="1" w:lastRow="0" w:firstColumn="1" w:lastColumn="0" w:noHBand="0" w:noVBand="1"/>
      </w:tblPr>
      <w:tblGrid>
        <w:gridCol w:w="861"/>
        <w:gridCol w:w="2796"/>
        <w:gridCol w:w="2582"/>
        <w:gridCol w:w="861"/>
        <w:gridCol w:w="1290"/>
        <w:gridCol w:w="1504"/>
      </w:tblGrid>
      <w:tr>
        <w:tblPrEx/>
        <w:trPr/>
        <w:tc>
          <w:tcPr>
            <w:shd w:val="clear" w:color="auto" w:fill="auto"/>
            <w:tcBorders>
              <w:top w:val="single" w:color="000000" w:sz="6" w:space="0"/>
              <w:left w:val="single" w:color="000000" w:sz="6" w:space="0"/>
              <w:right w:val="single" w:color="000000" w:sz="6" w:space="0"/>
            </w:tcBorders>
            <w:tcMar>
              <w:left w:w="149" w:type="dxa"/>
              <w:top w:w="0" w:type="dxa"/>
              <w:right w:w="149" w:type="dxa"/>
              <w:bottom w:w="0" w:type="dxa"/>
            </w:tcMar>
            <w:tcW w:w="435" w:type="pct"/>
            <w:vMerge w:val="restart"/>
            <w:textDirection w:val="lrTb"/>
            <w:noWrap w:val="false"/>
          </w:tcPr>
          <w:p>
            <w:pPr>
              <w:jc w:val="center"/>
              <w:widowControl/>
              <w:rPr>
                <w:sz w:val="20"/>
                <w:szCs w:val="20"/>
                <w:lang w:eastAsia="ru-RU"/>
              </w:rPr>
            </w:pPr>
            <w:r>
              <w:rPr>
                <w:sz w:val="20"/>
                <w:szCs w:val="20"/>
                <w:lang w:eastAsia="ru-RU"/>
              </w:rPr>
              <w:t xml:space="preserve">N п/п</w:t>
            </w:r>
            <w:r>
              <w:rPr>
                <w:sz w:val="20"/>
                <w:szCs w:val="20"/>
                <w:lang w:eastAsia="ru-RU"/>
              </w:rPr>
            </w:r>
            <w:r>
              <w:rPr>
                <w:sz w:val="20"/>
                <w:szCs w:val="20"/>
                <w:lang w:eastAsia="ru-RU"/>
              </w:rPr>
            </w:r>
          </w:p>
        </w:tc>
        <w:tc>
          <w:tcPr>
            <w:shd w:val="clear" w:color="auto" w:fill="auto"/>
            <w:tcBorders>
              <w:top w:val="single" w:color="000000" w:sz="6" w:space="0"/>
              <w:left w:val="single" w:color="000000" w:sz="6" w:space="0"/>
              <w:right w:val="single" w:color="000000" w:sz="6" w:space="0"/>
            </w:tcBorders>
            <w:tcMar>
              <w:left w:w="149" w:type="dxa"/>
              <w:top w:w="0" w:type="dxa"/>
              <w:right w:w="149" w:type="dxa"/>
              <w:bottom w:w="0" w:type="dxa"/>
            </w:tcMar>
            <w:tcW w:w="1413" w:type="pct"/>
            <w:vMerge w:val="restart"/>
            <w:textDirection w:val="lrTb"/>
            <w:noWrap w:val="false"/>
          </w:tcPr>
          <w:p>
            <w:pPr>
              <w:jc w:val="center"/>
              <w:widowControl/>
              <w:rPr>
                <w:sz w:val="20"/>
                <w:szCs w:val="20"/>
                <w:lang w:eastAsia="ru-RU"/>
              </w:rPr>
            </w:pPr>
            <w:r>
              <w:rPr>
                <w:sz w:val="20"/>
                <w:szCs w:val="20"/>
                <w:lang w:eastAsia="ru-RU"/>
              </w:rPr>
              <w:t xml:space="preserve">Наименование регулируемой организации</w:t>
            </w:r>
            <w:r>
              <w:rPr>
                <w:sz w:val="20"/>
                <w:szCs w:val="20"/>
                <w:lang w:eastAsia="ru-RU"/>
              </w:rPr>
            </w:r>
            <w:r>
              <w:rPr>
                <w:sz w:val="20"/>
                <w:szCs w:val="20"/>
                <w:lang w:eastAsia="ru-RU"/>
              </w:rPr>
            </w:r>
          </w:p>
        </w:tc>
        <w:tc>
          <w:tcPr>
            <w:shd w:val="clear" w:color="auto" w:fill="auto"/>
            <w:tcBorders>
              <w:top w:val="single" w:color="000000" w:sz="6" w:space="0"/>
              <w:left w:val="single" w:color="000000" w:sz="6" w:space="0"/>
              <w:right w:val="single" w:color="000000" w:sz="6" w:space="0"/>
            </w:tcBorders>
            <w:tcMar>
              <w:left w:w="149" w:type="dxa"/>
              <w:top w:w="0" w:type="dxa"/>
              <w:right w:w="149" w:type="dxa"/>
              <w:bottom w:w="0" w:type="dxa"/>
            </w:tcMar>
            <w:tcW w:w="1305" w:type="pct"/>
            <w:vMerge w:val="restart"/>
            <w:textDirection w:val="lrTb"/>
            <w:noWrap w:val="false"/>
          </w:tcPr>
          <w:p>
            <w:pPr>
              <w:jc w:val="center"/>
              <w:widowControl/>
              <w:rPr>
                <w:sz w:val="20"/>
                <w:szCs w:val="20"/>
                <w:lang w:eastAsia="ru-RU"/>
              </w:rPr>
            </w:pPr>
            <w:r>
              <w:rPr>
                <w:sz w:val="20"/>
                <w:szCs w:val="20"/>
                <w:lang w:eastAsia="ru-RU"/>
              </w:rPr>
              <w:t xml:space="preserve">Вид тарифа</w:t>
            </w:r>
            <w:r>
              <w:rPr>
                <w:sz w:val="20"/>
                <w:szCs w:val="20"/>
                <w:lang w:eastAsia="ru-RU"/>
              </w:rPr>
            </w:r>
            <w:r>
              <w:rPr>
                <w:sz w:val="20"/>
                <w:szCs w:val="20"/>
                <w:lang w:eastAsia="ru-RU"/>
              </w:rPr>
            </w:r>
          </w:p>
        </w:tc>
        <w:tc>
          <w:tcPr>
            <w:shd w:val="clear" w:color="auto" w:fill="auto"/>
            <w:tcBorders>
              <w:top w:val="single" w:color="000000" w:sz="6" w:space="0"/>
              <w:left w:val="single" w:color="000000" w:sz="6" w:space="0"/>
              <w:right w:val="single" w:color="000000" w:sz="6" w:space="0"/>
            </w:tcBorders>
            <w:tcMar>
              <w:left w:w="149" w:type="dxa"/>
              <w:top w:w="0" w:type="dxa"/>
              <w:right w:w="149" w:type="dxa"/>
              <w:bottom w:w="0" w:type="dxa"/>
            </w:tcMar>
            <w:tcW w:w="435" w:type="pct"/>
            <w:vMerge w:val="restart"/>
            <w:textDirection w:val="lrTb"/>
            <w:noWrap w:val="false"/>
          </w:tcPr>
          <w:p>
            <w:pPr>
              <w:jc w:val="center"/>
              <w:widowControl/>
              <w:rPr>
                <w:sz w:val="20"/>
                <w:szCs w:val="20"/>
                <w:lang w:eastAsia="ru-RU"/>
              </w:rPr>
            </w:pPr>
            <w:r>
              <w:rPr>
                <w:sz w:val="20"/>
                <w:szCs w:val="20"/>
                <w:lang w:eastAsia="ru-RU"/>
              </w:rPr>
              <w:t xml:space="preserve">Год</w:t>
            </w:r>
            <w:r>
              <w:rPr>
                <w:sz w:val="20"/>
                <w:szCs w:val="20"/>
                <w:lang w:eastAsia="ru-RU"/>
              </w:rPr>
            </w:r>
            <w:r>
              <w:rPr>
                <w:sz w:val="20"/>
                <w:szCs w:val="20"/>
                <w:lang w:eastAsia="ru-RU"/>
              </w:rPr>
            </w:r>
          </w:p>
        </w:tc>
        <w:tc>
          <w:tcPr>
            <w:gridSpan w:val="2"/>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12" w:type="pct"/>
            <w:textDirection w:val="lrTb"/>
            <w:noWrap w:val="false"/>
          </w:tcPr>
          <w:p>
            <w:pPr>
              <w:jc w:val="center"/>
              <w:widowControl/>
              <w:rPr>
                <w:sz w:val="20"/>
                <w:szCs w:val="20"/>
                <w:lang w:eastAsia="ru-RU"/>
              </w:rPr>
            </w:pPr>
            <w:r>
              <w:rPr>
                <w:sz w:val="20"/>
                <w:szCs w:val="20"/>
                <w:lang w:eastAsia="ru-RU"/>
              </w:rPr>
              <w:t xml:space="preserve">Вода</w:t>
            </w:r>
            <w:r>
              <w:rPr>
                <w:sz w:val="20"/>
                <w:szCs w:val="20"/>
                <w:lang w:eastAsia="ru-RU"/>
              </w:rPr>
            </w:r>
            <w:r>
              <w:rPr>
                <w:sz w:val="20"/>
                <w:szCs w:val="20"/>
                <w:lang w:eastAsia="ru-RU"/>
              </w:rPr>
            </w:r>
          </w:p>
        </w:tc>
      </w:tr>
      <w:tr>
        <w:tblPrEx/>
        <w:trPr/>
        <w:tc>
          <w:tcPr>
            <w:shd w:val="clear" w:color="auto" w:fill="auto"/>
            <w:tcBorders>
              <w:left w:val="single" w:color="000000" w:sz="6" w:space="0"/>
              <w:bottom w:val="none" w:color="000000" w:sz="4" w:space="0"/>
              <w:right w:val="single" w:color="000000" w:sz="6" w:space="0"/>
            </w:tcBorders>
            <w:tcMar>
              <w:left w:w="149" w:type="dxa"/>
              <w:top w:w="0" w:type="dxa"/>
              <w:right w:w="149" w:type="dxa"/>
              <w:bottom w:w="0" w:type="dxa"/>
            </w:tcMar>
            <w:tcW w:w="435" w:type="pct"/>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bottom w:val="single" w:color="auto" w:sz="4" w:space="0"/>
              <w:right w:val="single" w:color="000000" w:sz="6" w:space="0"/>
            </w:tcBorders>
            <w:tcMar>
              <w:left w:w="149" w:type="dxa"/>
              <w:top w:w="0" w:type="dxa"/>
              <w:right w:w="149" w:type="dxa"/>
              <w:bottom w:w="0" w:type="dxa"/>
            </w:tcMar>
            <w:tcW w:w="1413" w:type="pct"/>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bottom w:val="none" w:color="000000" w:sz="4" w:space="0"/>
              <w:right w:val="single" w:color="000000" w:sz="6" w:space="0"/>
            </w:tcBorders>
            <w:tcMar>
              <w:left w:w="149" w:type="dxa"/>
              <w:top w:w="0" w:type="dxa"/>
              <w:right w:w="149" w:type="dxa"/>
              <w:bottom w:w="0" w:type="dxa"/>
            </w:tcMar>
            <w:tcW w:w="1305" w:type="pct"/>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000000" w:sz="6" w:space="0"/>
              <w:bottom w:val="none" w:color="000000" w:sz="4" w:space="0"/>
              <w:right w:val="single" w:color="000000" w:sz="6" w:space="0"/>
            </w:tcBorders>
            <w:tcMar>
              <w:left w:w="149" w:type="dxa"/>
              <w:top w:w="0" w:type="dxa"/>
              <w:right w:w="149" w:type="dxa"/>
              <w:bottom w:w="0" w:type="dxa"/>
            </w:tcMar>
            <w:tcW w:w="435" w:type="pct"/>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652" w:type="pct"/>
            <w:textDirection w:val="lrTb"/>
            <w:noWrap w:val="false"/>
          </w:tcPr>
          <w:p>
            <w:pPr>
              <w:jc w:val="center"/>
              <w:widowControl/>
              <w:rPr>
                <w:sz w:val="20"/>
                <w:szCs w:val="20"/>
                <w:lang w:eastAsia="ru-RU"/>
              </w:rPr>
            </w:pPr>
            <w:r>
              <w:rPr>
                <w:sz w:val="20"/>
                <w:szCs w:val="20"/>
                <w:lang w:eastAsia="ru-RU"/>
              </w:rPr>
              <w:t xml:space="preserve">с 1 января по 30 июня</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760" w:type="pct"/>
            <w:textDirection w:val="lrTb"/>
            <w:noWrap w:val="false"/>
          </w:tcPr>
          <w:p>
            <w:pPr>
              <w:jc w:val="center"/>
              <w:widowControl/>
              <w:rPr>
                <w:sz w:val="20"/>
                <w:szCs w:val="20"/>
                <w:lang w:eastAsia="ru-RU"/>
              </w:rPr>
            </w:pPr>
            <w:r>
              <w:rPr>
                <w:sz w:val="20"/>
                <w:szCs w:val="20"/>
                <w:lang w:eastAsia="ru-RU"/>
              </w:rPr>
              <w:t xml:space="preserve">с 1 июля по 31 декабря</w:t>
            </w:r>
            <w:r>
              <w:rPr>
                <w:sz w:val="20"/>
                <w:szCs w:val="20"/>
                <w:lang w:eastAsia="ru-RU"/>
              </w:rPr>
            </w:r>
            <w:r>
              <w:rPr>
                <w:sz w:val="20"/>
                <w:szCs w:val="20"/>
                <w:lang w:eastAsia="ru-RU"/>
              </w:rPr>
            </w:r>
          </w:p>
        </w:tc>
      </w:tr>
      <w:tr>
        <w:tblPrEx/>
        <w:trPr/>
        <w:tc>
          <w:tcPr>
            <w:shd w:val="clear" w:color="auto" w:fill="auto"/>
            <w:tcBorders>
              <w:top w:val="single" w:color="000000" w:sz="6" w:space="0"/>
              <w:left w:val="single" w:color="000000" w:sz="6" w:space="0"/>
              <w:right w:val="single" w:color="auto" w:sz="4" w:space="0"/>
            </w:tcBorders>
            <w:tcMar>
              <w:left w:w="149" w:type="dxa"/>
              <w:top w:w="0" w:type="dxa"/>
              <w:right w:w="149" w:type="dxa"/>
              <w:bottom w:w="0" w:type="dxa"/>
            </w:tcMar>
            <w:tcW w:w="435" w:type="pct"/>
            <w:vMerge w:val="restart"/>
            <w:textDirection w:val="lrTb"/>
            <w:noWrap w:val="false"/>
          </w:tcPr>
          <w:p>
            <w:pPr>
              <w:widowControl/>
              <w:rPr>
                <w:sz w:val="20"/>
                <w:szCs w:val="20"/>
                <w:lang w:eastAsia="ru-RU"/>
              </w:rPr>
            </w:pPr>
            <w:r>
              <w:rPr>
                <w:sz w:val="20"/>
                <w:szCs w:val="20"/>
                <w:lang w:eastAsia="ru-RU"/>
              </w:rPr>
              <w:t xml:space="preserve">1.</w:t>
            </w:r>
            <w:r>
              <w:rPr>
                <w:sz w:val="20"/>
                <w:szCs w:val="20"/>
                <w:lang w:eastAsia="ru-RU"/>
              </w:rPr>
              <w:br/>
            </w:r>
            <w:r>
              <w:rPr>
                <w:sz w:val="20"/>
                <w:szCs w:val="20"/>
                <w:lang w:eastAsia="ru-RU"/>
              </w:rPr>
            </w:r>
            <w:r>
              <w:rPr>
                <w:sz w:val="20"/>
                <w:szCs w:val="20"/>
                <w:lang w:eastAsia="ru-RU"/>
              </w:rPr>
            </w:r>
          </w:p>
        </w:tc>
        <w:tc>
          <w:tcPr>
            <w:shd w:val="clear" w:color="auto" w:fill="auto"/>
            <w:tcBorders>
              <w:top w:val="single" w:color="auto" w:sz="4" w:space="0"/>
              <w:left w:val="single" w:color="auto" w:sz="4" w:space="0"/>
              <w:bottom w:val="single" w:color="auto" w:sz="4" w:space="0"/>
              <w:right w:val="single" w:color="auto" w:sz="4" w:space="0"/>
            </w:tcBorders>
            <w:tcMar>
              <w:left w:w="149" w:type="dxa"/>
              <w:top w:w="0" w:type="dxa"/>
              <w:right w:w="149" w:type="dxa"/>
              <w:bottom w:w="0" w:type="dxa"/>
            </w:tcMar>
            <w:tcW w:w="1413" w:type="pct"/>
            <w:vMerge w:val="restart"/>
            <w:textDirection w:val="lrTb"/>
            <w:noWrap w:val="false"/>
          </w:tcPr>
          <w:p>
            <w:pPr>
              <w:widowControl/>
              <w:rPr>
                <w:sz w:val="20"/>
                <w:szCs w:val="20"/>
                <w:lang w:eastAsia="ru-RU"/>
              </w:rPr>
            </w:pPr>
            <w:r>
              <w:rPr>
                <w:sz w:val="20"/>
                <w:szCs w:val="20"/>
                <w:lang w:eastAsia="ru-RU"/>
              </w:rPr>
              <w:t xml:space="preserve">Общество с ограниченной ответственностью "Арабика" &lt;***&gt;</w:t>
            </w:r>
            <w:r>
              <w:rPr>
                <w:sz w:val="20"/>
                <w:szCs w:val="20"/>
                <w:lang w:eastAsia="ru-RU"/>
              </w:rPr>
              <w:br/>
            </w:r>
            <w:r>
              <w:rPr>
                <w:sz w:val="20"/>
                <w:szCs w:val="20"/>
                <w:lang w:eastAsia="ru-RU"/>
              </w:rPr>
            </w:r>
            <w:r>
              <w:rPr>
                <w:sz w:val="20"/>
                <w:szCs w:val="20"/>
                <w:lang w:eastAsia="ru-RU"/>
              </w:rPr>
            </w:r>
          </w:p>
        </w:tc>
        <w:tc>
          <w:tcPr>
            <w:gridSpan w:val="4"/>
            <w:shd w:val="clear" w:color="auto" w:fill="auto"/>
            <w:tcBorders>
              <w:top w:val="single" w:color="000000" w:sz="6" w:space="0"/>
              <w:left w:val="single" w:color="auto" w:sz="4" w:space="0"/>
              <w:bottom w:val="single" w:color="000000" w:sz="6" w:space="0"/>
              <w:right w:val="single" w:color="000000" w:sz="6" w:space="0"/>
            </w:tcBorders>
            <w:tcMar>
              <w:left w:w="149" w:type="dxa"/>
              <w:top w:w="0" w:type="dxa"/>
              <w:right w:w="149" w:type="dxa"/>
              <w:bottom w:w="0" w:type="dxa"/>
            </w:tcMar>
            <w:tcW w:w="3152" w:type="pct"/>
            <w:textDirection w:val="lrTb"/>
            <w:noWrap w:val="false"/>
          </w:tcPr>
          <w:p>
            <w:pPr>
              <w:widowControl/>
              <w:rPr>
                <w:sz w:val="20"/>
                <w:szCs w:val="20"/>
                <w:lang w:eastAsia="ru-RU"/>
              </w:rPr>
            </w:pPr>
            <w:r>
              <w:rPr>
                <w:sz w:val="20"/>
                <w:szCs w:val="20"/>
                <w:lang w:eastAsia="ru-RU"/>
              </w:rPr>
              <w:t xml:space="preserve">Для потребителей, в случае отсутствия дифференциации тарифов по схеме подключения</w:t>
            </w:r>
            <w:r>
              <w:rPr>
                <w:sz w:val="20"/>
                <w:szCs w:val="20"/>
                <w:lang w:eastAsia="ru-RU"/>
              </w:rPr>
            </w:r>
            <w:r>
              <w:rPr>
                <w:sz w:val="20"/>
                <w:szCs w:val="20"/>
                <w:lang w:eastAsia="ru-RU"/>
              </w:rPr>
            </w:r>
          </w:p>
        </w:tc>
      </w:tr>
      <w:tr>
        <w:tblPrEx/>
        <w:trPr>
          <w:trHeight w:val="230"/>
        </w:trPr>
        <w:tc>
          <w:tcPr>
            <w:shd w:val="clear" w:color="auto" w:fill="auto"/>
            <w:tcBorders>
              <w:left w:val="single" w:color="000000" w:sz="6" w:space="0"/>
              <w:right w:val="single" w:color="auto" w:sz="4" w:space="0"/>
            </w:tcBorders>
            <w:tcMar>
              <w:left w:w="149" w:type="dxa"/>
              <w:top w:w="0" w:type="dxa"/>
              <w:right w:w="149" w:type="dxa"/>
              <w:bottom w:w="0" w:type="dxa"/>
            </w:tcMar>
            <w:tcW w:w="435" w:type="pct"/>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top w:val="single" w:color="auto" w:sz="4" w:space="0"/>
              <w:left w:val="single" w:color="auto" w:sz="4" w:space="0"/>
              <w:bottom w:val="single" w:color="auto" w:sz="4" w:space="0"/>
              <w:right w:val="single" w:color="auto" w:sz="4" w:space="0"/>
            </w:tcBorders>
            <w:tcMar>
              <w:left w:w="149" w:type="dxa"/>
              <w:top w:w="0" w:type="dxa"/>
              <w:right w:w="149" w:type="dxa"/>
              <w:bottom w:w="0" w:type="dxa"/>
            </w:tcMar>
            <w:tcW w:w="1413" w:type="pct"/>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top w:val="single" w:color="000000" w:sz="6" w:space="0"/>
              <w:left w:val="single" w:color="auto" w:sz="4" w:space="0"/>
              <w:right w:val="single" w:color="000000" w:sz="6" w:space="0"/>
            </w:tcBorders>
            <w:tcMar>
              <w:left w:w="149" w:type="dxa"/>
              <w:top w:w="0" w:type="dxa"/>
              <w:right w:w="149" w:type="dxa"/>
              <w:bottom w:w="0" w:type="dxa"/>
            </w:tcMar>
            <w:tcW w:w="1305" w:type="pct"/>
            <w:vMerge w:val="restart"/>
            <w:textDirection w:val="lrTb"/>
            <w:noWrap w:val="false"/>
          </w:tcPr>
          <w:p>
            <w:pPr>
              <w:widowControl/>
              <w:rPr>
                <w:sz w:val="20"/>
                <w:szCs w:val="20"/>
                <w:lang w:eastAsia="ru-RU"/>
              </w:rPr>
            </w:pPr>
            <w:r>
              <w:rPr>
                <w:sz w:val="20"/>
                <w:szCs w:val="20"/>
                <w:lang w:eastAsia="ru-RU"/>
              </w:rPr>
              <w:t xml:space="preserve">одноставочный, руб./Гкал &lt;*&gt;</w:t>
            </w:r>
            <w:r>
              <w:rPr>
                <w:sz w:val="20"/>
                <w:szCs w:val="20"/>
                <w:lang w:eastAsia="ru-RU"/>
              </w:rPr>
              <w:br/>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435" w:type="pct"/>
            <w:textDirection w:val="lrTb"/>
            <w:noWrap w:val="false"/>
          </w:tcPr>
          <w:p>
            <w:pPr>
              <w:jc w:val="center"/>
              <w:widowControl/>
              <w:rPr>
                <w:sz w:val="20"/>
                <w:szCs w:val="20"/>
                <w:lang w:eastAsia="ru-RU"/>
              </w:rPr>
            </w:pPr>
            <w:r>
              <w:rPr>
                <w:sz w:val="20"/>
                <w:szCs w:val="20"/>
                <w:lang w:eastAsia="ru-RU"/>
              </w:rPr>
              <w:t xml:space="preserve">2020</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652" w:type="pct"/>
            <w:textDirection w:val="lrTb"/>
            <w:noWrap w:val="false"/>
          </w:tcPr>
          <w:p>
            <w:pPr>
              <w:jc w:val="center"/>
              <w:widowControl/>
              <w:rPr>
                <w:sz w:val="20"/>
                <w:szCs w:val="20"/>
                <w:lang w:eastAsia="ru-RU"/>
              </w:rPr>
            </w:pPr>
            <w:r>
              <w:rPr>
                <w:sz w:val="20"/>
                <w:szCs w:val="20"/>
                <w:lang w:eastAsia="ru-RU"/>
              </w:rPr>
              <w:t xml:space="preserve">2965,22</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760" w:type="pct"/>
            <w:textDirection w:val="lrTb"/>
            <w:noWrap w:val="false"/>
          </w:tcPr>
          <w:p>
            <w:pPr>
              <w:jc w:val="center"/>
              <w:widowControl/>
              <w:rPr>
                <w:sz w:val="20"/>
                <w:szCs w:val="20"/>
                <w:lang w:eastAsia="ru-RU"/>
              </w:rPr>
            </w:pPr>
            <w:r>
              <w:rPr>
                <w:sz w:val="20"/>
                <w:szCs w:val="20"/>
                <w:lang w:eastAsia="ru-RU"/>
              </w:rPr>
              <w:t xml:space="preserve">2965,22</w:t>
            </w:r>
            <w:r>
              <w:rPr>
                <w:sz w:val="20"/>
                <w:szCs w:val="20"/>
                <w:lang w:eastAsia="ru-RU"/>
              </w:rPr>
            </w:r>
            <w:r>
              <w:rPr>
                <w:sz w:val="20"/>
                <w:szCs w:val="20"/>
                <w:lang w:eastAsia="ru-RU"/>
              </w:rPr>
            </w:r>
          </w:p>
        </w:tc>
      </w:tr>
      <w:tr>
        <w:tblPrEx/>
        <w:trPr/>
        <w:tc>
          <w:tcPr>
            <w:shd w:val="clear" w:color="auto" w:fill="auto"/>
            <w:tcBorders>
              <w:left w:val="single" w:color="000000" w:sz="6" w:space="0"/>
              <w:right w:val="single" w:color="auto" w:sz="4" w:space="0"/>
            </w:tcBorders>
            <w:tcMar>
              <w:left w:w="149" w:type="dxa"/>
              <w:top w:w="0" w:type="dxa"/>
              <w:right w:w="149" w:type="dxa"/>
              <w:bottom w:w="0" w:type="dxa"/>
            </w:tcMar>
            <w:tcW w:w="435" w:type="pct"/>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top w:val="single" w:color="auto" w:sz="4" w:space="0"/>
              <w:left w:val="single" w:color="auto" w:sz="4" w:space="0"/>
              <w:bottom w:val="single" w:color="auto" w:sz="4" w:space="0"/>
              <w:right w:val="single" w:color="auto" w:sz="4" w:space="0"/>
            </w:tcBorders>
            <w:tcMar>
              <w:left w:w="149" w:type="dxa"/>
              <w:top w:w="0" w:type="dxa"/>
              <w:right w:w="149" w:type="dxa"/>
              <w:bottom w:w="0" w:type="dxa"/>
            </w:tcMar>
            <w:tcW w:w="1413" w:type="pct"/>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auto" w:sz="4" w:space="0"/>
              <w:right w:val="single" w:color="000000" w:sz="6" w:space="0"/>
            </w:tcBorders>
            <w:tcMar>
              <w:left w:w="149" w:type="dxa"/>
              <w:top w:w="0" w:type="dxa"/>
              <w:right w:w="149" w:type="dxa"/>
              <w:bottom w:w="0" w:type="dxa"/>
            </w:tcMar>
            <w:tcW w:w="1305" w:type="pct"/>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435" w:type="pct"/>
            <w:textDirection w:val="lrTb"/>
            <w:noWrap w:val="false"/>
          </w:tcPr>
          <w:p>
            <w:pPr>
              <w:jc w:val="center"/>
              <w:widowControl/>
              <w:rPr>
                <w:sz w:val="20"/>
                <w:szCs w:val="20"/>
                <w:lang w:eastAsia="ru-RU"/>
              </w:rPr>
            </w:pPr>
            <w:r>
              <w:rPr>
                <w:sz w:val="20"/>
                <w:szCs w:val="20"/>
                <w:lang w:eastAsia="ru-RU"/>
              </w:rPr>
              <w:t xml:space="preserve">2021</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652" w:type="pct"/>
            <w:textDirection w:val="lrTb"/>
            <w:noWrap w:val="false"/>
          </w:tcPr>
          <w:p>
            <w:pPr>
              <w:jc w:val="center"/>
              <w:widowControl/>
              <w:rPr>
                <w:sz w:val="20"/>
                <w:szCs w:val="20"/>
                <w:lang w:eastAsia="ru-RU"/>
              </w:rPr>
            </w:pPr>
            <w:r>
              <w:rPr>
                <w:sz w:val="20"/>
                <w:szCs w:val="20"/>
                <w:lang w:eastAsia="ru-RU"/>
              </w:rPr>
              <w:t xml:space="preserve">2965,22</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760" w:type="pct"/>
            <w:textDirection w:val="lrTb"/>
            <w:noWrap w:val="false"/>
          </w:tcPr>
          <w:p>
            <w:pPr>
              <w:jc w:val="center"/>
              <w:widowControl/>
              <w:rPr>
                <w:sz w:val="20"/>
                <w:szCs w:val="20"/>
                <w:lang w:eastAsia="ru-RU"/>
              </w:rPr>
            </w:pPr>
            <w:r>
              <w:rPr>
                <w:sz w:val="20"/>
                <w:szCs w:val="20"/>
                <w:lang w:eastAsia="ru-RU"/>
              </w:rPr>
              <w:t xml:space="preserve">3053,93</w:t>
            </w:r>
            <w:r>
              <w:rPr>
                <w:sz w:val="20"/>
                <w:szCs w:val="20"/>
                <w:lang w:eastAsia="ru-RU"/>
              </w:rPr>
            </w:r>
            <w:r>
              <w:rPr>
                <w:sz w:val="20"/>
                <w:szCs w:val="20"/>
                <w:lang w:eastAsia="ru-RU"/>
              </w:rPr>
            </w:r>
          </w:p>
        </w:tc>
      </w:tr>
      <w:tr>
        <w:tblPrEx/>
        <w:trPr/>
        <w:tc>
          <w:tcPr>
            <w:shd w:val="clear" w:color="auto" w:fill="auto"/>
            <w:tcBorders>
              <w:left w:val="single" w:color="000000" w:sz="6" w:space="0"/>
              <w:right w:val="single" w:color="auto" w:sz="4" w:space="0"/>
            </w:tcBorders>
            <w:tcMar>
              <w:left w:w="149" w:type="dxa"/>
              <w:top w:w="0" w:type="dxa"/>
              <w:right w:w="149" w:type="dxa"/>
              <w:bottom w:w="0" w:type="dxa"/>
            </w:tcMar>
            <w:tcW w:w="435" w:type="pct"/>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top w:val="single" w:color="auto" w:sz="4" w:space="0"/>
              <w:left w:val="single" w:color="auto" w:sz="4" w:space="0"/>
              <w:bottom w:val="single" w:color="auto" w:sz="4" w:space="0"/>
              <w:right w:val="single" w:color="auto" w:sz="4" w:space="0"/>
            </w:tcBorders>
            <w:tcMar>
              <w:left w:w="149" w:type="dxa"/>
              <w:top w:w="0" w:type="dxa"/>
              <w:right w:w="149" w:type="dxa"/>
              <w:bottom w:w="0" w:type="dxa"/>
            </w:tcMar>
            <w:tcW w:w="1413" w:type="pct"/>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auto" w:sz="4" w:space="0"/>
              <w:right w:val="single" w:color="000000" w:sz="6" w:space="0"/>
            </w:tcBorders>
            <w:tcMar>
              <w:left w:w="149" w:type="dxa"/>
              <w:top w:w="0" w:type="dxa"/>
              <w:right w:w="149" w:type="dxa"/>
              <w:bottom w:w="0" w:type="dxa"/>
            </w:tcMar>
            <w:tcW w:w="1305" w:type="pct"/>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435" w:type="pct"/>
            <w:textDirection w:val="lrTb"/>
            <w:noWrap w:val="false"/>
          </w:tcPr>
          <w:p>
            <w:pPr>
              <w:jc w:val="center"/>
              <w:widowControl/>
              <w:rPr>
                <w:sz w:val="20"/>
                <w:szCs w:val="20"/>
                <w:lang w:eastAsia="ru-RU"/>
              </w:rPr>
            </w:pPr>
            <w:r>
              <w:rPr>
                <w:sz w:val="20"/>
                <w:szCs w:val="20"/>
                <w:lang w:eastAsia="ru-RU"/>
              </w:rPr>
              <w:t xml:space="preserve">2022</w:t>
            </w:r>
            <w:r>
              <w:rPr>
                <w:sz w:val="20"/>
                <w:szCs w:val="20"/>
                <w:lang w:eastAsia="ru-RU"/>
              </w:rPr>
              <w:br/>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652" w:type="pct"/>
            <w:textDirection w:val="lrTb"/>
            <w:noWrap w:val="false"/>
          </w:tcPr>
          <w:p>
            <w:pPr>
              <w:jc w:val="center"/>
              <w:widowControl/>
              <w:rPr>
                <w:sz w:val="20"/>
                <w:szCs w:val="20"/>
                <w:lang w:eastAsia="ru-RU"/>
              </w:rPr>
            </w:pPr>
            <w:r>
              <w:rPr>
                <w:sz w:val="20"/>
                <w:szCs w:val="20"/>
                <w:lang w:eastAsia="ru-RU"/>
              </w:rPr>
              <w:t xml:space="preserve">3053,93</w:t>
            </w:r>
            <w:r>
              <w:rPr>
                <w:sz w:val="20"/>
                <w:szCs w:val="20"/>
                <w:lang w:eastAsia="ru-RU"/>
              </w:rPr>
              <w:br/>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760" w:type="pct"/>
            <w:textDirection w:val="lrTb"/>
            <w:noWrap w:val="false"/>
          </w:tcPr>
          <w:p>
            <w:pPr>
              <w:jc w:val="center"/>
              <w:widowControl/>
              <w:rPr>
                <w:sz w:val="20"/>
                <w:szCs w:val="20"/>
                <w:lang w:eastAsia="ru-RU"/>
              </w:rPr>
            </w:pPr>
            <w:r>
              <w:rPr>
                <w:sz w:val="20"/>
                <w:szCs w:val="20"/>
                <w:lang w:eastAsia="ru-RU"/>
              </w:rPr>
              <w:t xml:space="preserve">3170,23 &lt;****&gt;</w:t>
            </w:r>
            <w:r>
              <w:rPr>
                <w:sz w:val="20"/>
                <w:szCs w:val="20"/>
                <w:lang w:eastAsia="ru-RU"/>
              </w:rPr>
            </w:r>
            <w:r>
              <w:rPr>
                <w:sz w:val="20"/>
                <w:szCs w:val="20"/>
                <w:lang w:eastAsia="ru-RU"/>
              </w:rPr>
            </w:r>
          </w:p>
        </w:tc>
      </w:tr>
      <w:tr>
        <w:tblPrEx/>
        <w:trPr/>
        <w:tc>
          <w:tcPr>
            <w:shd w:val="clear" w:color="auto" w:fill="auto"/>
            <w:tcBorders>
              <w:left w:val="single" w:color="000000" w:sz="6" w:space="0"/>
              <w:right w:val="single" w:color="auto" w:sz="4" w:space="0"/>
            </w:tcBorders>
            <w:tcMar>
              <w:left w:w="149" w:type="dxa"/>
              <w:top w:w="0" w:type="dxa"/>
              <w:right w:w="149" w:type="dxa"/>
              <w:bottom w:w="0" w:type="dxa"/>
            </w:tcMar>
            <w:tcW w:w="435" w:type="pct"/>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top w:val="single" w:color="auto" w:sz="4" w:space="0"/>
              <w:left w:val="single" w:color="auto" w:sz="4" w:space="0"/>
              <w:bottom w:val="single" w:color="auto" w:sz="4" w:space="0"/>
              <w:right w:val="single" w:color="auto" w:sz="4" w:space="0"/>
            </w:tcBorders>
            <w:tcMar>
              <w:left w:w="149" w:type="dxa"/>
              <w:top w:w="0" w:type="dxa"/>
              <w:right w:w="149" w:type="dxa"/>
              <w:bottom w:w="0" w:type="dxa"/>
            </w:tcMar>
            <w:tcW w:w="1413" w:type="pct"/>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auto" w:sz="4" w:space="0"/>
              <w:right w:val="single" w:color="000000" w:sz="6" w:space="0"/>
            </w:tcBorders>
            <w:tcMar>
              <w:left w:w="149" w:type="dxa"/>
              <w:top w:w="0" w:type="dxa"/>
              <w:right w:w="149" w:type="dxa"/>
              <w:bottom w:w="0" w:type="dxa"/>
            </w:tcMar>
            <w:tcW w:w="1305" w:type="pct"/>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435" w:type="pct"/>
            <w:textDirection w:val="lrTb"/>
            <w:noWrap w:val="false"/>
          </w:tcPr>
          <w:p>
            <w:pPr>
              <w:jc w:val="center"/>
              <w:widowControl/>
              <w:rPr>
                <w:sz w:val="20"/>
                <w:szCs w:val="20"/>
                <w:lang w:eastAsia="ru-RU"/>
              </w:rPr>
            </w:pPr>
            <w:r>
              <w:rPr>
                <w:sz w:val="20"/>
                <w:szCs w:val="20"/>
                <w:lang w:eastAsia="ru-RU"/>
              </w:rPr>
              <w:t xml:space="preserve">2023</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652" w:type="pct"/>
            <w:textDirection w:val="lrTb"/>
            <w:noWrap w:val="false"/>
          </w:tcPr>
          <w:p>
            <w:pPr>
              <w:jc w:val="center"/>
              <w:widowControl/>
              <w:rPr>
                <w:sz w:val="20"/>
                <w:szCs w:val="20"/>
                <w:lang w:eastAsia="ru-RU"/>
              </w:rPr>
            </w:pPr>
            <w:r>
              <w:rPr>
                <w:sz w:val="20"/>
                <w:szCs w:val="20"/>
                <w:lang w:eastAsia="ru-RU"/>
              </w:rPr>
              <w:t xml:space="preserve">3421,38 &lt;*****&gt;</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760" w:type="pct"/>
            <w:textDirection w:val="lrTb"/>
            <w:noWrap w:val="false"/>
          </w:tcPr>
          <w:p>
            <w:pPr>
              <w:jc w:val="center"/>
              <w:widowControl/>
              <w:rPr>
                <w:sz w:val="20"/>
                <w:szCs w:val="20"/>
                <w:lang w:eastAsia="ru-RU"/>
              </w:rPr>
            </w:pPr>
            <w:r>
              <w:rPr>
                <w:sz w:val="20"/>
                <w:szCs w:val="20"/>
                <w:lang w:eastAsia="ru-RU"/>
              </w:rPr>
              <w:t xml:space="preserve">3421,38</w:t>
            </w:r>
            <w:r>
              <w:rPr>
                <w:sz w:val="20"/>
                <w:szCs w:val="20"/>
                <w:lang w:eastAsia="ru-RU"/>
              </w:rPr>
            </w:r>
            <w:r>
              <w:rPr>
                <w:sz w:val="20"/>
                <w:szCs w:val="20"/>
                <w:lang w:eastAsia="ru-RU"/>
              </w:rPr>
            </w:r>
          </w:p>
        </w:tc>
      </w:tr>
      <w:tr>
        <w:tblPrEx/>
        <w:trPr/>
        <w:tc>
          <w:tcPr>
            <w:shd w:val="clear" w:color="auto" w:fill="auto"/>
            <w:tcBorders>
              <w:left w:val="single" w:color="000000" w:sz="6" w:space="0"/>
              <w:right w:val="single" w:color="auto" w:sz="4" w:space="0"/>
            </w:tcBorders>
            <w:tcMar>
              <w:left w:w="149" w:type="dxa"/>
              <w:top w:w="0" w:type="dxa"/>
              <w:right w:w="149" w:type="dxa"/>
              <w:bottom w:w="0" w:type="dxa"/>
            </w:tcMar>
            <w:tcW w:w="435" w:type="pct"/>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top w:val="single" w:color="auto" w:sz="4" w:space="0"/>
              <w:left w:val="single" w:color="auto" w:sz="4" w:space="0"/>
              <w:bottom w:val="single" w:color="auto" w:sz="4" w:space="0"/>
              <w:right w:val="single" w:color="auto" w:sz="4" w:space="0"/>
            </w:tcBorders>
            <w:tcMar>
              <w:left w:w="149" w:type="dxa"/>
              <w:top w:w="0" w:type="dxa"/>
              <w:right w:w="149" w:type="dxa"/>
              <w:bottom w:w="0" w:type="dxa"/>
            </w:tcMar>
            <w:tcW w:w="1413" w:type="pct"/>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auto" w:sz="4" w:space="0"/>
              <w:bottom w:val="none" w:color="000000" w:sz="4" w:space="0"/>
              <w:right w:val="single" w:color="000000" w:sz="6" w:space="0"/>
            </w:tcBorders>
            <w:tcMar>
              <w:left w:w="149" w:type="dxa"/>
              <w:top w:w="0" w:type="dxa"/>
              <w:right w:w="149" w:type="dxa"/>
              <w:bottom w:w="0" w:type="dxa"/>
            </w:tcMar>
            <w:tcW w:w="1305" w:type="pct"/>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435" w:type="pct"/>
            <w:textDirection w:val="lrTb"/>
            <w:noWrap w:val="false"/>
          </w:tcPr>
          <w:p>
            <w:pPr>
              <w:jc w:val="center"/>
              <w:widowControl/>
              <w:rPr>
                <w:sz w:val="20"/>
                <w:szCs w:val="20"/>
                <w:lang w:eastAsia="ru-RU"/>
              </w:rPr>
            </w:pPr>
            <w:r>
              <w:rPr>
                <w:sz w:val="20"/>
                <w:szCs w:val="20"/>
                <w:lang w:eastAsia="ru-RU"/>
              </w:rPr>
              <w:t xml:space="preserve">2024</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652" w:type="pct"/>
            <w:textDirection w:val="lrTb"/>
            <w:noWrap w:val="false"/>
          </w:tcPr>
          <w:p>
            <w:pPr>
              <w:jc w:val="center"/>
              <w:widowControl/>
              <w:rPr>
                <w:sz w:val="20"/>
                <w:szCs w:val="20"/>
                <w:lang w:eastAsia="ru-RU"/>
              </w:rPr>
            </w:pPr>
            <w:r>
              <w:rPr>
                <w:sz w:val="20"/>
                <w:szCs w:val="20"/>
                <w:lang w:eastAsia="ru-RU"/>
              </w:rPr>
              <w:t xml:space="preserve">3421,38</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760" w:type="pct"/>
            <w:textDirection w:val="lrTb"/>
            <w:noWrap w:val="false"/>
          </w:tcPr>
          <w:p>
            <w:pPr>
              <w:jc w:val="center"/>
              <w:widowControl/>
              <w:rPr>
                <w:sz w:val="20"/>
                <w:szCs w:val="20"/>
                <w:lang w:eastAsia="ru-RU"/>
              </w:rPr>
            </w:pPr>
            <w:r>
              <w:rPr>
                <w:sz w:val="20"/>
                <w:szCs w:val="20"/>
                <w:lang w:eastAsia="ru-RU"/>
              </w:rPr>
              <w:t xml:space="preserve">4447,10</w:t>
            </w:r>
            <w:r>
              <w:rPr>
                <w:sz w:val="20"/>
                <w:szCs w:val="20"/>
                <w:lang w:eastAsia="ru-RU"/>
              </w:rPr>
            </w:r>
            <w:r>
              <w:rPr>
                <w:sz w:val="20"/>
                <w:szCs w:val="20"/>
                <w:lang w:eastAsia="ru-RU"/>
              </w:rPr>
            </w:r>
          </w:p>
        </w:tc>
      </w:tr>
      <w:tr>
        <w:tblPrEx/>
        <w:trPr/>
        <w:tc>
          <w:tcPr>
            <w:shd w:val="clear" w:color="auto" w:fill="auto"/>
            <w:tcBorders>
              <w:left w:val="single" w:color="000000" w:sz="6" w:space="0"/>
              <w:right w:val="single" w:color="auto" w:sz="4" w:space="0"/>
            </w:tcBorders>
            <w:tcMar>
              <w:left w:w="149" w:type="dxa"/>
              <w:top w:w="0" w:type="dxa"/>
              <w:right w:w="149" w:type="dxa"/>
              <w:bottom w:w="0" w:type="dxa"/>
            </w:tcMar>
            <w:tcW w:w="435" w:type="pct"/>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top w:val="single" w:color="auto" w:sz="4" w:space="0"/>
              <w:left w:val="single" w:color="auto" w:sz="4" w:space="0"/>
              <w:bottom w:val="single" w:color="auto" w:sz="4" w:space="0"/>
              <w:right w:val="single" w:color="auto" w:sz="4" w:space="0"/>
            </w:tcBorders>
            <w:tcMar>
              <w:left w:w="149" w:type="dxa"/>
              <w:top w:w="0" w:type="dxa"/>
              <w:right w:w="149" w:type="dxa"/>
              <w:bottom w:w="0" w:type="dxa"/>
            </w:tcMar>
            <w:tcW w:w="1413" w:type="pct"/>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gridSpan w:val="4"/>
            <w:shd w:val="clear" w:color="auto" w:fill="auto"/>
            <w:tcBorders>
              <w:top w:val="single" w:color="000000" w:sz="6" w:space="0"/>
              <w:left w:val="single" w:color="auto" w:sz="4" w:space="0"/>
              <w:bottom w:val="single" w:color="000000" w:sz="6" w:space="0"/>
              <w:right w:val="single" w:color="000000" w:sz="6" w:space="0"/>
            </w:tcBorders>
            <w:tcMar>
              <w:left w:w="149" w:type="dxa"/>
              <w:top w:w="0" w:type="dxa"/>
              <w:right w:w="149" w:type="dxa"/>
              <w:bottom w:w="0" w:type="dxa"/>
            </w:tcMar>
            <w:tcW w:w="3152" w:type="pct"/>
            <w:textDirection w:val="lrTb"/>
            <w:noWrap w:val="false"/>
          </w:tcPr>
          <w:p>
            <w:pPr>
              <w:widowControl/>
              <w:rPr>
                <w:sz w:val="20"/>
                <w:szCs w:val="20"/>
                <w:lang w:eastAsia="ru-RU"/>
              </w:rPr>
            </w:pPr>
            <w:r>
              <w:rPr>
                <w:sz w:val="20"/>
                <w:szCs w:val="20"/>
                <w:lang w:eastAsia="ru-RU"/>
              </w:rPr>
              <w:t xml:space="preserve">Население &lt;**&gt;</w:t>
            </w:r>
            <w:r>
              <w:rPr>
                <w:sz w:val="20"/>
                <w:szCs w:val="20"/>
                <w:lang w:eastAsia="ru-RU"/>
              </w:rPr>
            </w:r>
            <w:r>
              <w:rPr>
                <w:sz w:val="20"/>
                <w:szCs w:val="20"/>
                <w:lang w:eastAsia="ru-RU"/>
              </w:rPr>
            </w:r>
          </w:p>
        </w:tc>
      </w:tr>
      <w:tr>
        <w:tblPrEx/>
        <w:trPr>
          <w:trHeight w:val="230"/>
        </w:trPr>
        <w:tc>
          <w:tcPr>
            <w:shd w:val="clear" w:color="auto" w:fill="auto"/>
            <w:tcBorders>
              <w:left w:val="single" w:color="000000" w:sz="6" w:space="0"/>
              <w:right w:val="single" w:color="auto" w:sz="4" w:space="0"/>
            </w:tcBorders>
            <w:tcMar>
              <w:left w:w="149" w:type="dxa"/>
              <w:top w:w="0" w:type="dxa"/>
              <w:right w:w="149" w:type="dxa"/>
              <w:bottom w:w="0" w:type="dxa"/>
            </w:tcMar>
            <w:tcW w:w="435" w:type="pct"/>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top w:val="single" w:color="auto" w:sz="4" w:space="0"/>
              <w:left w:val="single" w:color="auto" w:sz="4" w:space="0"/>
              <w:bottom w:val="single" w:color="auto" w:sz="4" w:space="0"/>
              <w:right w:val="single" w:color="auto" w:sz="4" w:space="0"/>
            </w:tcBorders>
            <w:tcMar>
              <w:left w:w="149" w:type="dxa"/>
              <w:top w:w="0" w:type="dxa"/>
              <w:right w:w="149" w:type="dxa"/>
              <w:bottom w:w="0" w:type="dxa"/>
            </w:tcMar>
            <w:tcW w:w="1413" w:type="pct"/>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top w:val="single" w:color="000000" w:sz="6" w:space="0"/>
              <w:left w:val="single" w:color="auto" w:sz="4" w:space="0"/>
              <w:right w:val="single" w:color="000000" w:sz="6" w:space="0"/>
            </w:tcBorders>
            <w:tcMar>
              <w:left w:w="149" w:type="dxa"/>
              <w:top w:w="0" w:type="dxa"/>
              <w:right w:w="149" w:type="dxa"/>
              <w:bottom w:w="0" w:type="dxa"/>
            </w:tcMar>
            <w:tcW w:w="1305" w:type="pct"/>
            <w:vMerge w:val="restart"/>
            <w:textDirection w:val="lrTb"/>
            <w:noWrap w:val="false"/>
          </w:tcPr>
          <w:p>
            <w:pPr>
              <w:widowControl/>
              <w:rPr>
                <w:sz w:val="20"/>
                <w:szCs w:val="20"/>
                <w:lang w:eastAsia="ru-RU"/>
              </w:rPr>
            </w:pPr>
            <w:r>
              <w:rPr>
                <w:sz w:val="20"/>
                <w:szCs w:val="20"/>
                <w:lang w:eastAsia="ru-RU"/>
              </w:rPr>
              <w:t xml:space="preserve">одноставочный, руб./Гкал &lt;*&gt;</w:t>
            </w:r>
            <w:r>
              <w:rPr>
                <w:sz w:val="20"/>
                <w:szCs w:val="20"/>
                <w:lang w:eastAsia="ru-RU"/>
              </w:rPr>
              <w:br/>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435" w:type="pct"/>
            <w:textDirection w:val="lrTb"/>
            <w:noWrap w:val="false"/>
          </w:tcPr>
          <w:p>
            <w:pPr>
              <w:jc w:val="center"/>
              <w:widowControl/>
              <w:rPr>
                <w:sz w:val="20"/>
                <w:szCs w:val="20"/>
                <w:lang w:eastAsia="ru-RU"/>
              </w:rPr>
            </w:pPr>
            <w:r>
              <w:rPr>
                <w:sz w:val="20"/>
                <w:szCs w:val="20"/>
                <w:lang w:eastAsia="ru-RU"/>
              </w:rPr>
              <w:t xml:space="preserve">2020</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652" w:type="pct"/>
            <w:textDirection w:val="lrTb"/>
            <w:noWrap w:val="false"/>
          </w:tcPr>
          <w:p>
            <w:pPr>
              <w:jc w:val="center"/>
              <w:widowControl/>
              <w:rPr>
                <w:sz w:val="20"/>
                <w:szCs w:val="20"/>
                <w:lang w:eastAsia="ru-RU"/>
              </w:rPr>
            </w:pPr>
            <w:r>
              <w:rPr>
                <w:sz w:val="20"/>
                <w:szCs w:val="20"/>
                <w:lang w:eastAsia="ru-RU"/>
              </w:rPr>
              <w:t xml:space="preserve">-</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760" w:type="pct"/>
            <w:textDirection w:val="lrTb"/>
            <w:noWrap w:val="false"/>
          </w:tcPr>
          <w:p>
            <w:pPr>
              <w:jc w:val="center"/>
              <w:widowControl/>
              <w:rPr>
                <w:sz w:val="20"/>
                <w:szCs w:val="20"/>
                <w:lang w:eastAsia="ru-RU"/>
              </w:rPr>
            </w:pPr>
            <w:r>
              <w:rPr>
                <w:sz w:val="20"/>
                <w:szCs w:val="20"/>
                <w:lang w:eastAsia="ru-RU"/>
              </w:rPr>
              <w:t xml:space="preserve">-</w:t>
            </w:r>
            <w:r>
              <w:rPr>
                <w:sz w:val="20"/>
                <w:szCs w:val="20"/>
                <w:lang w:eastAsia="ru-RU"/>
              </w:rPr>
            </w:r>
            <w:r>
              <w:rPr>
                <w:sz w:val="20"/>
                <w:szCs w:val="20"/>
                <w:lang w:eastAsia="ru-RU"/>
              </w:rPr>
            </w:r>
          </w:p>
        </w:tc>
      </w:tr>
      <w:tr>
        <w:tblPrEx/>
        <w:trPr/>
        <w:tc>
          <w:tcPr>
            <w:shd w:val="clear" w:color="auto" w:fill="auto"/>
            <w:tcBorders>
              <w:left w:val="single" w:color="000000" w:sz="6" w:space="0"/>
              <w:right w:val="single" w:color="auto" w:sz="4" w:space="0"/>
            </w:tcBorders>
            <w:tcMar>
              <w:left w:w="149" w:type="dxa"/>
              <w:top w:w="0" w:type="dxa"/>
              <w:right w:w="149" w:type="dxa"/>
              <w:bottom w:w="0" w:type="dxa"/>
            </w:tcMar>
            <w:tcW w:w="435" w:type="pct"/>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top w:val="single" w:color="auto" w:sz="4" w:space="0"/>
              <w:left w:val="single" w:color="auto" w:sz="4" w:space="0"/>
              <w:bottom w:val="single" w:color="auto" w:sz="4" w:space="0"/>
              <w:right w:val="single" w:color="auto" w:sz="4" w:space="0"/>
            </w:tcBorders>
            <w:tcMar>
              <w:left w:w="149" w:type="dxa"/>
              <w:top w:w="0" w:type="dxa"/>
              <w:right w:w="149" w:type="dxa"/>
              <w:bottom w:w="0" w:type="dxa"/>
            </w:tcMar>
            <w:tcW w:w="1413" w:type="pct"/>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auto" w:sz="4" w:space="0"/>
              <w:right w:val="single" w:color="000000" w:sz="6" w:space="0"/>
            </w:tcBorders>
            <w:tcMar>
              <w:left w:w="149" w:type="dxa"/>
              <w:top w:w="0" w:type="dxa"/>
              <w:right w:w="149" w:type="dxa"/>
              <w:bottom w:w="0" w:type="dxa"/>
            </w:tcMar>
            <w:tcW w:w="1305" w:type="pct"/>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435" w:type="pct"/>
            <w:textDirection w:val="lrTb"/>
            <w:noWrap w:val="false"/>
          </w:tcPr>
          <w:p>
            <w:pPr>
              <w:jc w:val="center"/>
              <w:widowControl/>
              <w:rPr>
                <w:sz w:val="20"/>
                <w:szCs w:val="20"/>
                <w:lang w:eastAsia="ru-RU"/>
              </w:rPr>
            </w:pPr>
            <w:r>
              <w:rPr>
                <w:sz w:val="20"/>
                <w:szCs w:val="20"/>
                <w:lang w:eastAsia="ru-RU"/>
              </w:rPr>
              <w:t xml:space="preserve">2021</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652" w:type="pct"/>
            <w:textDirection w:val="lrTb"/>
            <w:noWrap w:val="false"/>
          </w:tcPr>
          <w:p>
            <w:pPr>
              <w:jc w:val="center"/>
              <w:widowControl/>
              <w:rPr>
                <w:sz w:val="20"/>
                <w:szCs w:val="20"/>
                <w:lang w:eastAsia="ru-RU"/>
              </w:rPr>
            </w:pPr>
            <w:r>
              <w:rPr>
                <w:sz w:val="20"/>
                <w:szCs w:val="20"/>
                <w:lang w:eastAsia="ru-RU"/>
              </w:rPr>
              <w:t xml:space="preserve">-</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760" w:type="pct"/>
            <w:textDirection w:val="lrTb"/>
            <w:noWrap w:val="false"/>
          </w:tcPr>
          <w:p>
            <w:pPr>
              <w:jc w:val="center"/>
              <w:widowControl/>
              <w:rPr>
                <w:sz w:val="20"/>
                <w:szCs w:val="20"/>
                <w:lang w:eastAsia="ru-RU"/>
              </w:rPr>
            </w:pPr>
            <w:r>
              <w:rPr>
                <w:sz w:val="20"/>
                <w:szCs w:val="20"/>
                <w:lang w:eastAsia="ru-RU"/>
              </w:rPr>
              <w:t xml:space="preserve">-</w:t>
            </w:r>
            <w:r>
              <w:rPr>
                <w:sz w:val="20"/>
                <w:szCs w:val="20"/>
                <w:lang w:eastAsia="ru-RU"/>
              </w:rPr>
            </w:r>
            <w:r>
              <w:rPr>
                <w:sz w:val="20"/>
                <w:szCs w:val="20"/>
                <w:lang w:eastAsia="ru-RU"/>
              </w:rPr>
            </w:r>
          </w:p>
        </w:tc>
      </w:tr>
      <w:tr>
        <w:tblPrEx/>
        <w:trPr/>
        <w:tc>
          <w:tcPr>
            <w:shd w:val="clear" w:color="auto" w:fill="auto"/>
            <w:tcBorders>
              <w:left w:val="single" w:color="000000" w:sz="6" w:space="0"/>
              <w:right w:val="single" w:color="auto" w:sz="4" w:space="0"/>
            </w:tcBorders>
            <w:tcMar>
              <w:left w:w="149" w:type="dxa"/>
              <w:top w:w="0" w:type="dxa"/>
              <w:right w:w="149" w:type="dxa"/>
              <w:bottom w:w="0" w:type="dxa"/>
            </w:tcMar>
            <w:tcW w:w="435" w:type="pct"/>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top w:val="single" w:color="auto" w:sz="4" w:space="0"/>
              <w:left w:val="single" w:color="auto" w:sz="4" w:space="0"/>
              <w:bottom w:val="single" w:color="auto" w:sz="4" w:space="0"/>
              <w:right w:val="single" w:color="auto" w:sz="4" w:space="0"/>
            </w:tcBorders>
            <w:tcMar>
              <w:left w:w="149" w:type="dxa"/>
              <w:top w:w="0" w:type="dxa"/>
              <w:right w:w="149" w:type="dxa"/>
              <w:bottom w:w="0" w:type="dxa"/>
            </w:tcMar>
            <w:tcW w:w="1413" w:type="pct"/>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auto" w:sz="4" w:space="0"/>
              <w:right w:val="single" w:color="000000" w:sz="6" w:space="0"/>
            </w:tcBorders>
            <w:tcMar>
              <w:left w:w="149" w:type="dxa"/>
              <w:top w:w="0" w:type="dxa"/>
              <w:right w:w="149" w:type="dxa"/>
              <w:bottom w:w="0" w:type="dxa"/>
            </w:tcMar>
            <w:tcW w:w="1305" w:type="pct"/>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435" w:type="pct"/>
            <w:textDirection w:val="lrTb"/>
            <w:noWrap w:val="false"/>
          </w:tcPr>
          <w:p>
            <w:pPr>
              <w:jc w:val="center"/>
              <w:widowControl/>
              <w:rPr>
                <w:sz w:val="20"/>
                <w:szCs w:val="20"/>
                <w:lang w:eastAsia="ru-RU"/>
              </w:rPr>
            </w:pPr>
            <w:r>
              <w:rPr>
                <w:sz w:val="20"/>
                <w:szCs w:val="20"/>
                <w:lang w:eastAsia="ru-RU"/>
              </w:rPr>
              <w:t xml:space="preserve">2022</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652" w:type="pct"/>
            <w:textDirection w:val="lrTb"/>
            <w:noWrap w:val="false"/>
          </w:tcPr>
          <w:p>
            <w:pPr>
              <w:jc w:val="center"/>
              <w:widowControl/>
              <w:rPr>
                <w:sz w:val="20"/>
                <w:szCs w:val="20"/>
                <w:lang w:eastAsia="ru-RU"/>
              </w:rPr>
            </w:pPr>
            <w:r>
              <w:rPr>
                <w:sz w:val="20"/>
                <w:szCs w:val="20"/>
                <w:lang w:eastAsia="ru-RU"/>
              </w:rPr>
              <w:t xml:space="preserve">-</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760" w:type="pct"/>
            <w:textDirection w:val="lrTb"/>
            <w:noWrap w:val="false"/>
          </w:tcPr>
          <w:p>
            <w:pPr>
              <w:jc w:val="center"/>
              <w:widowControl/>
              <w:rPr>
                <w:sz w:val="20"/>
                <w:szCs w:val="20"/>
                <w:lang w:eastAsia="ru-RU"/>
              </w:rPr>
            </w:pPr>
            <w:r>
              <w:rPr>
                <w:sz w:val="20"/>
                <w:szCs w:val="20"/>
                <w:lang w:eastAsia="ru-RU"/>
              </w:rPr>
              <w:t xml:space="preserve">-</w:t>
            </w:r>
            <w:r>
              <w:rPr>
                <w:sz w:val="20"/>
                <w:szCs w:val="20"/>
                <w:lang w:eastAsia="ru-RU"/>
              </w:rPr>
            </w:r>
            <w:r>
              <w:rPr>
                <w:sz w:val="20"/>
                <w:szCs w:val="20"/>
                <w:lang w:eastAsia="ru-RU"/>
              </w:rPr>
            </w:r>
          </w:p>
        </w:tc>
      </w:tr>
      <w:tr>
        <w:tblPrEx/>
        <w:trPr/>
        <w:tc>
          <w:tcPr>
            <w:shd w:val="clear" w:color="auto" w:fill="auto"/>
            <w:tcBorders>
              <w:left w:val="single" w:color="000000" w:sz="6" w:space="0"/>
              <w:right w:val="single" w:color="auto" w:sz="4" w:space="0"/>
            </w:tcBorders>
            <w:tcMar>
              <w:left w:w="149" w:type="dxa"/>
              <w:top w:w="0" w:type="dxa"/>
              <w:right w:w="149" w:type="dxa"/>
              <w:bottom w:w="0" w:type="dxa"/>
            </w:tcMar>
            <w:tcW w:w="435" w:type="pct"/>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top w:val="single" w:color="auto" w:sz="4" w:space="0"/>
              <w:left w:val="single" w:color="auto" w:sz="4" w:space="0"/>
              <w:bottom w:val="single" w:color="auto" w:sz="4" w:space="0"/>
              <w:right w:val="single" w:color="auto" w:sz="4" w:space="0"/>
            </w:tcBorders>
            <w:tcMar>
              <w:left w:w="149" w:type="dxa"/>
              <w:top w:w="0" w:type="dxa"/>
              <w:right w:w="149" w:type="dxa"/>
              <w:bottom w:w="0" w:type="dxa"/>
            </w:tcMar>
            <w:tcW w:w="1413" w:type="pct"/>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auto" w:sz="4" w:space="0"/>
              <w:right w:val="single" w:color="000000" w:sz="6" w:space="0"/>
            </w:tcBorders>
            <w:tcMar>
              <w:left w:w="149" w:type="dxa"/>
              <w:top w:w="0" w:type="dxa"/>
              <w:right w:w="149" w:type="dxa"/>
              <w:bottom w:w="0" w:type="dxa"/>
            </w:tcMar>
            <w:tcW w:w="1305" w:type="pct"/>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435" w:type="pct"/>
            <w:textDirection w:val="lrTb"/>
            <w:noWrap w:val="false"/>
          </w:tcPr>
          <w:p>
            <w:pPr>
              <w:jc w:val="center"/>
              <w:widowControl/>
              <w:rPr>
                <w:sz w:val="20"/>
                <w:szCs w:val="20"/>
                <w:lang w:eastAsia="ru-RU"/>
              </w:rPr>
            </w:pPr>
            <w:r>
              <w:rPr>
                <w:sz w:val="20"/>
                <w:szCs w:val="20"/>
                <w:lang w:eastAsia="ru-RU"/>
              </w:rPr>
              <w:t xml:space="preserve">2023</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652" w:type="pct"/>
            <w:textDirection w:val="lrTb"/>
            <w:noWrap w:val="false"/>
          </w:tcPr>
          <w:p>
            <w:pPr>
              <w:jc w:val="center"/>
              <w:widowControl/>
              <w:rPr>
                <w:sz w:val="20"/>
                <w:szCs w:val="20"/>
                <w:lang w:eastAsia="ru-RU"/>
              </w:rPr>
            </w:pPr>
            <w:r>
              <w:rPr>
                <w:sz w:val="20"/>
                <w:szCs w:val="20"/>
                <w:lang w:eastAsia="ru-RU"/>
              </w:rPr>
              <w:t xml:space="preserve">-</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760" w:type="pct"/>
            <w:textDirection w:val="lrTb"/>
            <w:noWrap w:val="false"/>
          </w:tcPr>
          <w:p>
            <w:pPr>
              <w:jc w:val="center"/>
              <w:widowControl/>
              <w:rPr>
                <w:sz w:val="20"/>
                <w:szCs w:val="20"/>
                <w:lang w:eastAsia="ru-RU"/>
              </w:rPr>
            </w:pPr>
            <w:r>
              <w:rPr>
                <w:sz w:val="20"/>
                <w:szCs w:val="20"/>
                <w:lang w:eastAsia="ru-RU"/>
              </w:rPr>
              <w:t xml:space="preserve">-</w:t>
            </w:r>
            <w:r>
              <w:rPr>
                <w:sz w:val="20"/>
                <w:szCs w:val="20"/>
                <w:lang w:eastAsia="ru-RU"/>
              </w:rPr>
            </w:r>
            <w:r>
              <w:rPr>
                <w:sz w:val="20"/>
                <w:szCs w:val="20"/>
                <w:lang w:eastAsia="ru-RU"/>
              </w:rPr>
            </w:r>
          </w:p>
        </w:tc>
      </w:tr>
      <w:tr>
        <w:tblPrEx/>
        <w:trPr/>
        <w:tc>
          <w:tcPr>
            <w:shd w:val="clear" w:color="auto" w:fill="auto"/>
            <w:tcBorders>
              <w:left w:val="single" w:color="000000" w:sz="6" w:space="0"/>
              <w:bottom w:val="single" w:color="000000" w:sz="6" w:space="0"/>
              <w:right w:val="single" w:color="auto" w:sz="4" w:space="0"/>
            </w:tcBorders>
            <w:tcMar>
              <w:left w:w="149" w:type="dxa"/>
              <w:top w:w="0" w:type="dxa"/>
              <w:right w:w="149" w:type="dxa"/>
              <w:bottom w:w="0" w:type="dxa"/>
            </w:tcMar>
            <w:tcW w:w="435" w:type="pct"/>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top w:val="single" w:color="auto" w:sz="4" w:space="0"/>
              <w:left w:val="single" w:color="auto" w:sz="4" w:space="0"/>
              <w:bottom w:val="single" w:color="auto" w:sz="4" w:space="0"/>
              <w:right w:val="single" w:color="auto" w:sz="4" w:space="0"/>
            </w:tcBorders>
            <w:tcMar>
              <w:left w:w="149" w:type="dxa"/>
              <w:top w:w="0" w:type="dxa"/>
              <w:right w:w="149" w:type="dxa"/>
              <w:bottom w:w="0" w:type="dxa"/>
            </w:tcMar>
            <w:tcW w:w="1413" w:type="pct"/>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left w:val="single" w:color="auto" w:sz="4" w:space="0"/>
              <w:bottom w:val="single" w:color="000000" w:sz="6" w:space="0"/>
              <w:right w:val="single" w:color="000000" w:sz="6" w:space="0"/>
            </w:tcBorders>
            <w:tcMar>
              <w:left w:w="149" w:type="dxa"/>
              <w:top w:w="0" w:type="dxa"/>
              <w:right w:w="149" w:type="dxa"/>
              <w:bottom w:w="0" w:type="dxa"/>
            </w:tcMar>
            <w:tcW w:w="1305" w:type="pct"/>
            <w:vMerge w:val="continue"/>
            <w:textDirection w:val="lrTb"/>
            <w:noWrap w:val="false"/>
          </w:tcPr>
          <w:p>
            <w:pP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435" w:type="pct"/>
            <w:textDirection w:val="lrTb"/>
            <w:noWrap w:val="false"/>
          </w:tcPr>
          <w:p>
            <w:pPr>
              <w:jc w:val="center"/>
              <w:widowControl/>
              <w:rPr>
                <w:sz w:val="20"/>
                <w:szCs w:val="20"/>
                <w:lang w:eastAsia="ru-RU"/>
              </w:rPr>
            </w:pPr>
            <w:r>
              <w:rPr>
                <w:sz w:val="20"/>
                <w:szCs w:val="20"/>
                <w:lang w:eastAsia="ru-RU"/>
              </w:rPr>
              <w:t xml:space="preserve">2024</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652" w:type="pct"/>
            <w:textDirection w:val="lrTb"/>
            <w:noWrap w:val="false"/>
          </w:tcPr>
          <w:p>
            <w:pPr>
              <w:jc w:val="center"/>
              <w:widowControl/>
              <w:rPr>
                <w:sz w:val="20"/>
                <w:szCs w:val="20"/>
                <w:lang w:eastAsia="ru-RU"/>
              </w:rPr>
            </w:pPr>
            <w:r>
              <w:rPr>
                <w:sz w:val="20"/>
                <w:szCs w:val="20"/>
                <w:lang w:eastAsia="ru-RU"/>
              </w:rPr>
              <w:t xml:space="preserve">-</w:t>
            </w:r>
            <w:r>
              <w:rPr>
                <w:sz w:val="20"/>
                <w:szCs w:val="20"/>
                <w:lang w:eastAsia="ru-RU"/>
              </w:rPr>
            </w:r>
            <w:r>
              <w:rPr>
                <w:sz w:val="20"/>
                <w:szCs w:val="20"/>
                <w:lang w:eastAsia="ru-RU"/>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760" w:type="pct"/>
            <w:textDirection w:val="lrTb"/>
            <w:noWrap w:val="false"/>
          </w:tcPr>
          <w:p>
            <w:pPr>
              <w:jc w:val="center"/>
              <w:widowControl/>
              <w:rPr>
                <w:sz w:val="20"/>
                <w:szCs w:val="20"/>
                <w:lang w:eastAsia="ru-RU"/>
              </w:rPr>
            </w:pPr>
            <w:r>
              <w:rPr>
                <w:sz w:val="20"/>
                <w:szCs w:val="20"/>
                <w:lang w:eastAsia="ru-RU"/>
              </w:rPr>
              <w:t xml:space="preserve">-</w:t>
            </w:r>
            <w:r>
              <w:rPr>
                <w:sz w:val="20"/>
                <w:szCs w:val="20"/>
                <w:lang w:eastAsia="ru-RU"/>
              </w:rPr>
            </w:r>
            <w:r>
              <w:rPr>
                <w:sz w:val="20"/>
                <w:szCs w:val="20"/>
                <w:lang w:eastAsia="ru-RU"/>
              </w:rPr>
            </w:r>
          </w:p>
        </w:tc>
      </w:tr>
    </w:tbl>
    <w:p>
      <w:pPr>
        <w:rPr>
          <w:sz w:val="20"/>
          <w:szCs w:val="20"/>
        </w:rPr>
      </w:pPr>
      <w:r>
        <w:rPr>
          <w:sz w:val="20"/>
          <w:szCs w:val="20"/>
        </w:rPr>
        <w:t xml:space="preserve">Примечания:</w:t>
      </w:r>
      <w:r>
        <w:rPr>
          <w:sz w:val="20"/>
          <w:szCs w:val="20"/>
        </w:rPr>
      </w:r>
      <w:r>
        <w:rPr>
          <w:sz w:val="20"/>
          <w:szCs w:val="20"/>
        </w:rPr>
      </w:r>
    </w:p>
    <w:p>
      <w:pPr>
        <w:pStyle w:val="1304"/>
        <w:spacing w:before="0" w:beforeAutospacing="0" w:after="0" w:afterAutospacing="0"/>
        <w:shd w:val="clear" w:color="auto" w:fill="ffffff"/>
        <w:rPr>
          <w:sz w:val="20"/>
          <w:szCs w:val="20"/>
        </w:rPr>
      </w:pPr>
      <w:r>
        <w:rPr>
          <w:sz w:val="20"/>
          <w:szCs w:val="20"/>
        </w:rPr>
        <w:t xml:space="preserve">* Организация применяет упрощенную систему налогообложения и не является плательщиком НДС в соответствии со </w:t>
      </w:r>
      <w:hyperlink r:id="rId30" w:tooltip="https://docs.cntd.ru/document/901765862#BRK0PE" w:anchor="BRK0PE" w:history="1">
        <w:r>
          <w:rPr>
            <w:rStyle w:val="1267"/>
            <w:color w:val="auto"/>
            <w:sz w:val="20"/>
            <w:szCs w:val="20"/>
            <w:u w:val="none"/>
          </w:rPr>
          <w:t xml:space="preserve">ст. 346.11 главы 26.2 Налогового кодекса Российской Федерации</w:t>
        </w:r>
      </w:hyperlink>
      <w:r>
        <w:rPr>
          <w:sz w:val="20"/>
          <w:szCs w:val="20"/>
        </w:rPr>
        <w:t xml:space="preserve">.</w:t>
      </w:r>
      <w:r>
        <w:rPr>
          <w:sz w:val="20"/>
          <w:szCs w:val="20"/>
        </w:rPr>
        <w:br/>
        <w:t xml:space="preserve">** Выделяется в целях реализации </w:t>
      </w:r>
      <w:hyperlink r:id="rId31" w:tooltip="https://docs.cntd.ru/document/901765862#8Q00M5" w:anchor="8Q00M5" w:history="1">
        <w:r>
          <w:rPr>
            <w:rStyle w:val="1267"/>
            <w:color w:val="auto"/>
            <w:sz w:val="20"/>
            <w:szCs w:val="20"/>
            <w:u w:val="none"/>
          </w:rPr>
          <w:t xml:space="preserve">пункта 6 статьи 168 Налогового кодекса Российской Федерации (часть вторая)</w:t>
        </w:r>
      </w:hyperlink>
      <w:r>
        <w:rPr>
          <w:sz w:val="20"/>
          <w:szCs w:val="20"/>
        </w:rPr>
        <w:t xml:space="preserve">.</w:t>
      </w:r>
      <w:r>
        <w:rPr>
          <w:sz w:val="20"/>
          <w:szCs w:val="20"/>
        </w:rPr>
        <w:br/>
        <w:t xml:space="preserve">*** Величина расходов на топливо, отнесенная на 1 Гкал тепловой энергии, отпускаемую в виде воды: 2020 год - 2154,40 руб./Гкал, 2021 год - 2192,43 руб./Гкал, 2022 год - 2271,94 руб./Гкал, 2023 год - 2704,00 руб./Гкал, 2024 год – 2470,45 руб./Гкал.</w:t>
      </w:r>
      <w:r>
        <w:rPr>
          <w:sz w:val="20"/>
          <w:szCs w:val="20"/>
        </w:rPr>
        <w:br/>
        <w:t xml:space="preserve">**** Тариф действует с 1 июля 2022 года по 30 ноября 2022 года.</w:t>
      </w:r>
      <w:r>
        <w:rPr>
          <w:sz w:val="20"/>
          <w:szCs w:val="20"/>
        </w:rPr>
        <w:br/>
        <w:t xml:space="preserve">***** Тариф действует с 1 декабря 2022 года.</w:t>
      </w:r>
      <w:r>
        <w:rPr>
          <w:sz w:val="20"/>
          <w:szCs w:val="20"/>
        </w:rPr>
      </w:r>
      <w:r>
        <w:rPr>
          <w:sz w:val="20"/>
          <w:szCs w:val="20"/>
        </w:rPr>
      </w:r>
    </w:p>
    <w:p>
      <w:pPr>
        <w:pStyle w:val="1247"/>
        <w:ind w:left="119" w:right="147" w:firstLine="709"/>
        <w:jc w:val="both"/>
      </w:pPr>
      <w:r/>
      <w:r/>
    </w:p>
    <w:p>
      <w:pPr>
        <w:rPr>
          <w:sz w:val="24"/>
          <w:szCs w:val="24"/>
        </w:rPr>
      </w:pPr>
      <w:r>
        <w:br w:type="page" w:clear="all"/>
      </w:r>
      <w:r>
        <w:rPr>
          <w:sz w:val="24"/>
          <w:szCs w:val="24"/>
        </w:rPr>
      </w:r>
      <w:r>
        <w:rPr>
          <w:sz w:val="24"/>
          <w:szCs w:val="24"/>
        </w:rPr>
      </w:r>
    </w:p>
    <w:p>
      <w:pPr>
        <w:pStyle w:val="1247"/>
        <w:ind w:left="119" w:right="147" w:firstLine="709"/>
        <w:jc w:val="right"/>
      </w:pPr>
      <w:r>
        <w:t xml:space="preserve">Таблица 1.11.1.7</w:t>
      </w:r>
      <w:r/>
    </w:p>
    <w:p>
      <w:pPr>
        <w:pStyle w:val="1247"/>
        <w:ind w:left="142" w:right="130" w:firstLine="709"/>
        <w:jc w:val="center"/>
        <w:rPr>
          <w:rFonts w:ascii="Liberation Serif" w:hAnsi="Liberation Serif" w:cs="Liberation Serif"/>
        </w:rPr>
      </w:pPr>
      <w:r>
        <w:t xml:space="preserve">Динамика утверждённых тарифов на тепловую энергию </w:t>
      </w:r>
      <w:r>
        <w:rPr>
          <w:rFonts w:ascii="Liberation Serif" w:hAnsi="Liberation Serif" w:cs="Liberation Serif"/>
        </w:rPr>
        <w:t xml:space="preserve">ООО «КурганТепло»</w:t>
      </w:r>
      <w:r>
        <w:rPr>
          <w:rFonts w:ascii="Liberation Serif" w:hAnsi="Liberation Serif" w:cs="Liberation Serif"/>
        </w:rPr>
      </w:r>
      <w:r>
        <w:rPr>
          <w:rFonts w:ascii="Liberation Serif" w:hAnsi="Liberation Serif" w:cs="Liberation Serif"/>
        </w:rPr>
      </w:r>
    </w:p>
    <w:tbl>
      <w:tblPr>
        <w:tblW w:w="5010" w:type="pct"/>
        <w:tblInd w:w="-30" w:type="dxa"/>
        <w:shd w:val="clear" w:color="auto" w:fill="ffffff"/>
        <w:tblCellMar>
          <w:left w:w="0" w:type="dxa"/>
          <w:right w:w="0" w:type="dxa"/>
        </w:tblCellMar>
        <w:tblLook w:val="04A0" w:firstRow="1" w:lastRow="0" w:firstColumn="1" w:lastColumn="0" w:noHBand="0" w:noVBand="1"/>
      </w:tblPr>
      <w:tblGrid>
        <w:gridCol w:w="666"/>
        <w:gridCol w:w="3004"/>
        <w:gridCol w:w="2546"/>
        <w:gridCol w:w="847"/>
        <w:gridCol w:w="1275"/>
        <w:gridCol w:w="1576"/>
      </w:tblGrid>
      <w:tr>
        <w:tblPrEx/>
        <w:trPr/>
        <w:tc>
          <w:tcPr>
            <w:shd w:val="clear" w:color="auto" w:fill="auto"/>
            <w:tcBorders>
              <w:top w:val="single" w:color="000000" w:sz="6" w:space="0"/>
              <w:left w:val="single" w:color="000000" w:sz="6" w:space="0"/>
              <w:right w:val="single" w:color="000000" w:sz="6" w:space="0"/>
            </w:tcBorders>
            <w:tcMar>
              <w:left w:w="149" w:type="dxa"/>
              <w:top w:w="0" w:type="dxa"/>
              <w:right w:w="149" w:type="dxa"/>
              <w:bottom w:w="0" w:type="dxa"/>
            </w:tcMar>
            <w:tcW w:w="336" w:type="pct"/>
            <w:vMerge w:val="restart"/>
            <w:textDirection w:val="lrTb"/>
            <w:noWrap w:val="false"/>
          </w:tcPr>
          <w:p>
            <w:pPr>
              <w:pStyle w:val="1304"/>
              <w:jc w:val="center"/>
              <w:spacing w:before="0" w:beforeAutospacing="0" w:after="0" w:afterAutospacing="0"/>
              <w:rPr>
                <w:sz w:val="20"/>
                <w:szCs w:val="20"/>
              </w:rPr>
            </w:pPr>
            <w:r>
              <w:rPr>
                <w:sz w:val="20"/>
                <w:szCs w:val="20"/>
              </w:rPr>
              <w:t xml:space="preserve">N п/п</w:t>
            </w:r>
            <w:r>
              <w:rPr>
                <w:sz w:val="20"/>
                <w:szCs w:val="20"/>
              </w:rPr>
            </w:r>
            <w:r>
              <w:rPr>
                <w:sz w:val="20"/>
                <w:szCs w:val="20"/>
              </w:rPr>
            </w:r>
          </w:p>
        </w:tc>
        <w:tc>
          <w:tcPr>
            <w:shd w:val="clear" w:color="auto" w:fill="auto"/>
            <w:tcBorders>
              <w:top w:val="single" w:color="000000" w:sz="6" w:space="0"/>
              <w:left w:val="single" w:color="000000" w:sz="6" w:space="0"/>
              <w:right w:val="single" w:color="000000" w:sz="6" w:space="0"/>
            </w:tcBorders>
            <w:tcMar>
              <w:left w:w="149" w:type="dxa"/>
              <w:top w:w="0" w:type="dxa"/>
              <w:right w:w="149" w:type="dxa"/>
              <w:bottom w:w="0" w:type="dxa"/>
            </w:tcMar>
            <w:tcW w:w="1515" w:type="pct"/>
            <w:vMerge w:val="restart"/>
            <w:textDirection w:val="lrTb"/>
            <w:noWrap w:val="false"/>
          </w:tcPr>
          <w:p>
            <w:pPr>
              <w:pStyle w:val="1304"/>
              <w:jc w:val="center"/>
              <w:spacing w:before="0" w:beforeAutospacing="0" w:after="0" w:afterAutospacing="0"/>
              <w:rPr>
                <w:sz w:val="20"/>
                <w:szCs w:val="20"/>
              </w:rPr>
            </w:pPr>
            <w:r>
              <w:rPr>
                <w:sz w:val="20"/>
                <w:szCs w:val="20"/>
              </w:rPr>
              <w:t xml:space="preserve">Наименование регулируемой организации</w:t>
            </w:r>
            <w:r>
              <w:rPr>
                <w:sz w:val="20"/>
                <w:szCs w:val="20"/>
              </w:rPr>
            </w:r>
            <w:r>
              <w:rPr>
                <w:sz w:val="20"/>
                <w:szCs w:val="20"/>
              </w:rPr>
            </w:r>
          </w:p>
        </w:tc>
        <w:tc>
          <w:tcPr>
            <w:shd w:val="clear" w:color="auto" w:fill="auto"/>
            <w:tcBorders>
              <w:top w:val="single" w:color="000000" w:sz="6" w:space="0"/>
              <w:left w:val="single" w:color="000000" w:sz="6" w:space="0"/>
              <w:right w:val="single" w:color="000000" w:sz="6" w:space="0"/>
            </w:tcBorders>
            <w:tcMar>
              <w:left w:w="149" w:type="dxa"/>
              <w:top w:w="0" w:type="dxa"/>
              <w:right w:w="149" w:type="dxa"/>
              <w:bottom w:w="0" w:type="dxa"/>
            </w:tcMar>
            <w:tcW w:w="1284" w:type="pct"/>
            <w:vMerge w:val="restart"/>
            <w:textDirection w:val="lrTb"/>
            <w:noWrap w:val="false"/>
          </w:tcPr>
          <w:p>
            <w:pPr>
              <w:pStyle w:val="1304"/>
              <w:jc w:val="center"/>
              <w:spacing w:before="0" w:beforeAutospacing="0" w:after="0" w:afterAutospacing="0"/>
              <w:rPr>
                <w:sz w:val="20"/>
                <w:szCs w:val="20"/>
              </w:rPr>
            </w:pPr>
            <w:r>
              <w:rPr>
                <w:sz w:val="20"/>
                <w:szCs w:val="20"/>
              </w:rPr>
              <w:t xml:space="preserve">Вид тарифа</w:t>
            </w:r>
            <w:r>
              <w:rPr>
                <w:sz w:val="20"/>
                <w:szCs w:val="20"/>
              </w:rPr>
            </w:r>
            <w:r>
              <w:rPr>
                <w:sz w:val="20"/>
                <w:szCs w:val="20"/>
              </w:rPr>
            </w:r>
          </w:p>
        </w:tc>
        <w:tc>
          <w:tcPr>
            <w:shd w:val="clear" w:color="auto" w:fill="auto"/>
            <w:tcBorders>
              <w:top w:val="single" w:color="000000" w:sz="6" w:space="0"/>
              <w:left w:val="single" w:color="000000" w:sz="6" w:space="0"/>
              <w:bottom w:val="none" w:color="000000" w:sz="4" w:space="0"/>
              <w:right w:val="single" w:color="000000" w:sz="6" w:space="0"/>
            </w:tcBorders>
            <w:tcMar>
              <w:left w:w="149" w:type="dxa"/>
              <w:top w:w="0" w:type="dxa"/>
              <w:right w:w="149" w:type="dxa"/>
              <w:bottom w:w="0" w:type="dxa"/>
            </w:tcMar>
            <w:tcW w:w="427" w:type="pct"/>
            <w:textDirection w:val="lrTb"/>
            <w:noWrap w:val="false"/>
          </w:tcPr>
          <w:p>
            <w:pPr>
              <w:pStyle w:val="1304"/>
              <w:jc w:val="center"/>
              <w:spacing w:before="0" w:beforeAutospacing="0" w:after="0" w:afterAutospacing="0"/>
              <w:rPr>
                <w:sz w:val="20"/>
                <w:szCs w:val="20"/>
              </w:rPr>
            </w:pPr>
            <w:r>
              <w:rPr>
                <w:sz w:val="20"/>
                <w:szCs w:val="20"/>
              </w:rPr>
              <w:t xml:space="preserve">Год</w:t>
            </w:r>
            <w:r>
              <w:rPr>
                <w:sz w:val="20"/>
                <w:szCs w:val="20"/>
              </w:rPr>
            </w:r>
            <w:r>
              <w:rPr>
                <w:sz w:val="20"/>
                <w:szCs w:val="20"/>
              </w:rPr>
            </w:r>
          </w:p>
        </w:tc>
        <w:tc>
          <w:tcPr>
            <w:gridSpan w:val="2"/>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1438" w:type="pct"/>
            <w:textDirection w:val="lrTb"/>
            <w:noWrap w:val="false"/>
          </w:tcPr>
          <w:p>
            <w:pPr>
              <w:pStyle w:val="1304"/>
              <w:jc w:val="center"/>
              <w:spacing w:before="0" w:beforeAutospacing="0" w:after="0" w:afterAutospacing="0"/>
              <w:rPr>
                <w:sz w:val="20"/>
                <w:szCs w:val="20"/>
              </w:rPr>
            </w:pPr>
            <w:r>
              <w:rPr>
                <w:sz w:val="20"/>
                <w:szCs w:val="20"/>
              </w:rPr>
              <w:t xml:space="preserve">Вода</w:t>
            </w:r>
            <w:r>
              <w:rPr>
                <w:sz w:val="20"/>
                <w:szCs w:val="20"/>
              </w:rPr>
            </w:r>
            <w:r>
              <w:rPr>
                <w:sz w:val="20"/>
                <w:szCs w:val="20"/>
              </w:rPr>
            </w:r>
          </w:p>
        </w:tc>
      </w:tr>
      <w:tr>
        <w:tblPrEx/>
        <w:trPr/>
        <w:tc>
          <w:tcPr>
            <w:shd w:val="clear" w:color="auto" w:fill="auto"/>
            <w:tcBorders>
              <w:left w:val="single" w:color="000000" w:sz="6" w:space="0"/>
              <w:bottom w:val="none" w:color="000000" w:sz="4" w:space="0"/>
              <w:right w:val="single" w:color="000000" w:sz="6" w:space="0"/>
            </w:tcBorders>
            <w:tcMar>
              <w:left w:w="149" w:type="dxa"/>
              <w:top w:w="0" w:type="dxa"/>
              <w:right w:w="149" w:type="dxa"/>
              <w:bottom w:w="0" w:type="dxa"/>
            </w:tcMar>
            <w:tcW w:w="336" w:type="pct"/>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bottom w:val="none" w:color="000000" w:sz="4" w:space="0"/>
              <w:right w:val="single" w:color="000000" w:sz="6" w:space="0"/>
            </w:tcBorders>
            <w:tcMar>
              <w:left w:w="149" w:type="dxa"/>
              <w:top w:w="0" w:type="dxa"/>
              <w:right w:w="149" w:type="dxa"/>
              <w:bottom w:w="0" w:type="dxa"/>
            </w:tcMar>
            <w:tcW w:w="1515" w:type="pct"/>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bottom w:val="none" w:color="000000" w:sz="4" w:space="0"/>
              <w:right w:val="single" w:color="000000" w:sz="6" w:space="0"/>
            </w:tcBorders>
            <w:tcMar>
              <w:left w:w="149" w:type="dxa"/>
              <w:top w:w="0" w:type="dxa"/>
              <w:right w:w="149" w:type="dxa"/>
              <w:bottom w:w="0" w:type="dxa"/>
            </w:tcMar>
            <w:tcW w:w="1284" w:type="pct"/>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top w:val="none" w:color="000000" w:sz="4" w:space="0"/>
              <w:left w:val="single" w:color="000000" w:sz="6" w:space="0"/>
              <w:bottom w:val="none" w:color="000000" w:sz="4" w:space="0"/>
              <w:right w:val="single" w:color="000000" w:sz="6" w:space="0"/>
            </w:tcBorders>
            <w:tcMar>
              <w:left w:w="149" w:type="dxa"/>
              <w:top w:w="0" w:type="dxa"/>
              <w:right w:w="149" w:type="dxa"/>
              <w:bottom w:w="0" w:type="dxa"/>
            </w:tcMar>
            <w:tcW w:w="427" w:type="pct"/>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643" w:type="pct"/>
            <w:textDirection w:val="lrTb"/>
            <w:noWrap w:val="false"/>
          </w:tcPr>
          <w:p>
            <w:pPr>
              <w:pStyle w:val="1304"/>
              <w:jc w:val="center"/>
              <w:spacing w:before="0" w:beforeAutospacing="0" w:after="0" w:afterAutospacing="0"/>
              <w:rPr>
                <w:sz w:val="20"/>
                <w:szCs w:val="20"/>
              </w:rPr>
            </w:pPr>
            <w:r>
              <w:rPr>
                <w:sz w:val="20"/>
                <w:szCs w:val="20"/>
              </w:rPr>
              <w:t xml:space="preserve">с 1 января по 30 июня</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795" w:type="pct"/>
            <w:textDirection w:val="lrTb"/>
            <w:noWrap w:val="false"/>
          </w:tcPr>
          <w:p>
            <w:pPr>
              <w:pStyle w:val="1304"/>
              <w:jc w:val="center"/>
              <w:spacing w:before="0" w:beforeAutospacing="0" w:after="0" w:afterAutospacing="0"/>
              <w:rPr>
                <w:sz w:val="20"/>
                <w:szCs w:val="20"/>
              </w:rPr>
            </w:pPr>
            <w:r>
              <w:rPr>
                <w:sz w:val="20"/>
                <w:szCs w:val="20"/>
              </w:rPr>
              <w:t xml:space="preserve">с 1 июля по 31 декабря</w:t>
            </w:r>
            <w:r>
              <w:rPr>
                <w:sz w:val="20"/>
                <w:szCs w:val="20"/>
              </w:rPr>
            </w:r>
            <w:r>
              <w:rPr>
                <w:sz w:val="20"/>
                <w:szCs w:val="20"/>
              </w:rPr>
            </w:r>
          </w:p>
        </w:tc>
      </w:tr>
      <w:tr>
        <w:tblPrEx/>
        <w:trPr/>
        <w:tc>
          <w:tcPr>
            <w:shd w:val="clear" w:color="auto" w:fill="auto"/>
            <w:tcBorders>
              <w:top w:val="single" w:color="000000" w:sz="6" w:space="0"/>
              <w:left w:val="single" w:color="000000" w:sz="6" w:space="0"/>
              <w:right w:val="single" w:color="000000" w:sz="6" w:space="0"/>
            </w:tcBorders>
            <w:tcMar>
              <w:left w:w="149" w:type="dxa"/>
              <w:top w:w="0" w:type="dxa"/>
              <w:right w:w="149" w:type="dxa"/>
              <w:bottom w:w="0" w:type="dxa"/>
            </w:tcMar>
            <w:tcW w:w="336" w:type="pct"/>
            <w:vMerge w:val="restart"/>
            <w:textDirection w:val="lrTb"/>
            <w:noWrap w:val="false"/>
          </w:tcPr>
          <w:p>
            <w:pPr>
              <w:pStyle w:val="1304"/>
              <w:spacing w:before="0" w:beforeAutospacing="0" w:after="0" w:afterAutospacing="0"/>
              <w:rPr>
                <w:sz w:val="20"/>
                <w:szCs w:val="20"/>
              </w:rPr>
            </w:pPr>
            <w:r>
              <w:rPr>
                <w:sz w:val="20"/>
                <w:szCs w:val="20"/>
              </w:rPr>
              <w:t xml:space="preserve">1.</w:t>
            </w:r>
            <w:r>
              <w:rPr>
                <w:sz w:val="20"/>
                <w:szCs w:val="20"/>
              </w:rPr>
              <w:br/>
            </w:r>
            <w:r>
              <w:rPr>
                <w:sz w:val="20"/>
                <w:szCs w:val="20"/>
              </w:rPr>
            </w:r>
            <w:r>
              <w:rPr>
                <w:sz w:val="20"/>
                <w:szCs w:val="20"/>
              </w:rPr>
            </w:r>
          </w:p>
        </w:tc>
        <w:tc>
          <w:tcPr>
            <w:shd w:val="clear" w:color="auto" w:fill="auto"/>
            <w:tcBorders>
              <w:top w:val="single" w:color="000000" w:sz="6" w:space="0"/>
              <w:left w:val="single" w:color="000000" w:sz="6" w:space="0"/>
              <w:right w:val="single" w:color="000000" w:sz="6" w:space="0"/>
            </w:tcBorders>
            <w:tcMar>
              <w:left w:w="149" w:type="dxa"/>
              <w:top w:w="0" w:type="dxa"/>
              <w:right w:w="149" w:type="dxa"/>
              <w:bottom w:w="0" w:type="dxa"/>
            </w:tcMar>
            <w:tcW w:w="1515" w:type="pct"/>
            <w:vMerge w:val="restart"/>
            <w:textDirection w:val="lrTb"/>
            <w:noWrap w:val="false"/>
          </w:tcPr>
          <w:p>
            <w:pPr>
              <w:pStyle w:val="1304"/>
              <w:spacing w:before="0" w:beforeAutospacing="0" w:after="0" w:afterAutospacing="0"/>
              <w:rPr>
                <w:sz w:val="20"/>
                <w:szCs w:val="20"/>
              </w:rPr>
            </w:pPr>
            <w:r>
              <w:rPr>
                <w:sz w:val="20"/>
                <w:szCs w:val="20"/>
              </w:rPr>
              <w:t xml:space="preserve">Общество с ограниченной ответственностью "КУРГАН ТЕПЛО"</w:t>
            </w:r>
            <w:r>
              <w:rPr>
                <w:sz w:val="20"/>
                <w:szCs w:val="20"/>
              </w:rPr>
              <w:br/>
            </w:r>
            <w:r>
              <w:rPr>
                <w:sz w:val="20"/>
                <w:szCs w:val="20"/>
              </w:rPr>
            </w:r>
            <w:r>
              <w:rPr>
                <w:sz w:val="20"/>
                <w:szCs w:val="20"/>
              </w:rPr>
            </w:r>
          </w:p>
        </w:tc>
        <w:tc>
          <w:tcPr>
            <w:gridSpan w:val="4"/>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3149" w:type="pct"/>
            <w:textDirection w:val="lrTb"/>
            <w:noWrap w:val="false"/>
          </w:tcPr>
          <w:p>
            <w:pPr>
              <w:pStyle w:val="1304"/>
              <w:spacing w:before="0" w:beforeAutospacing="0" w:after="0" w:afterAutospacing="0"/>
              <w:rPr>
                <w:sz w:val="20"/>
                <w:szCs w:val="20"/>
              </w:rPr>
            </w:pPr>
            <w:r>
              <w:rPr>
                <w:sz w:val="20"/>
                <w:szCs w:val="20"/>
              </w:rPr>
              <w:t xml:space="preserve">Для потребителей, в случае отсутствия дифференциации тарифов по схеме подключения</w:t>
            </w:r>
            <w:r>
              <w:rPr>
                <w:sz w:val="20"/>
                <w:szCs w:val="20"/>
              </w:rPr>
            </w:r>
            <w:r>
              <w:rPr>
                <w:sz w:val="20"/>
                <w:szCs w:val="20"/>
              </w:rPr>
            </w:r>
          </w:p>
        </w:tc>
      </w:tr>
      <w:tr>
        <w:tblPrEx/>
        <w:trPr/>
        <w:tc>
          <w:tcPr>
            <w:shd w:val="clear" w:color="auto" w:fill="auto"/>
            <w:tcBorders>
              <w:left w:val="single" w:color="000000" w:sz="6" w:space="0"/>
              <w:right w:val="single" w:color="000000" w:sz="6" w:space="0"/>
            </w:tcBorders>
            <w:tcMar>
              <w:left w:w="149" w:type="dxa"/>
              <w:top w:w="0" w:type="dxa"/>
              <w:right w:w="149" w:type="dxa"/>
              <w:bottom w:w="0" w:type="dxa"/>
            </w:tcMar>
            <w:tcW w:w="336" w:type="pct"/>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1515" w:type="pct"/>
            <w:vMerge w:val="continue"/>
            <w:textDirection w:val="lrTb"/>
            <w:noWrap w:val="false"/>
          </w:tcPr>
          <w:p>
            <w:pPr>
              <w:rPr>
                <w:sz w:val="20"/>
                <w:szCs w:val="20"/>
              </w:rPr>
            </w:pPr>
            <w:r>
              <w:rPr>
                <w:sz w:val="20"/>
                <w:szCs w:val="20"/>
              </w:rPr>
            </w:r>
            <w:r>
              <w:rPr>
                <w:sz w:val="20"/>
                <w:szCs w:val="20"/>
              </w:rPr>
            </w:r>
            <w:r>
              <w:rPr>
                <w:sz w:val="20"/>
                <w:szCs w:val="20"/>
              </w:rPr>
            </w:r>
          </w:p>
        </w:tc>
        <w:tc>
          <w:tcPr>
            <w:gridSpan w:val="4"/>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3149" w:type="pct"/>
            <w:textDirection w:val="lrTb"/>
            <w:noWrap w:val="false"/>
          </w:tcPr>
          <w:p>
            <w:pPr>
              <w:pStyle w:val="1304"/>
              <w:spacing w:before="0" w:beforeAutospacing="0" w:after="0" w:afterAutospacing="0"/>
              <w:rPr>
                <w:sz w:val="20"/>
                <w:szCs w:val="20"/>
              </w:rPr>
            </w:pPr>
            <w:r>
              <w:rPr>
                <w:sz w:val="20"/>
                <w:szCs w:val="20"/>
              </w:rPr>
              <w:t xml:space="preserve">Юргамышский муниципальный округ: с. Вилкино, с. Губерля, с. Караси, с. Красный Уралец</w:t>
            </w:r>
            <w:r>
              <w:rPr>
                <w:sz w:val="20"/>
                <w:szCs w:val="20"/>
              </w:rPr>
            </w:r>
            <w:r>
              <w:rPr>
                <w:sz w:val="20"/>
                <w:szCs w:val="20"/>
              </w:rPr>
            </w:r>
          </w:p>
        </w:tc>
      </w:tr>
      <w:tr>
        <w:tblPrEx/>
        <w:trPr>
          <w:trHeight w:val="230"/>
        </w:trPr>
        <w:tc>
          <w:tcPr>
            <w:shd w:val="clear" w:color="auto" w:fill="auto"/>
            <w:tcBorders>
              <w:left w:val="single" w:color="000000" w:sz="6" w:space="0"/>
              <w:right w:val="single" w:color="000000" w:sz="6" w:space="0"/>
            </w:tcBorders>
            <w:tcMar>
              <w:left w:w="149" w:type="dxa"/>
              <w:top w:w="0" w:type="dxa"/>
              <w:right w:w="149" w:type="dxa"/>
              <w:bottom w:w="0" w:type="dxa"/>
            </w:tcMar>
            <w:tcW w:w="336" w:type="pct"/>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1515" w:type="pct"/>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top w:val="single" w:color="000000" w:sz="6" w:space="0"/>
              <w:left w:val="single" w:color="000000" w:sz="6" w:space="0"/>
              <w:right w:val="single" w:color="000000" w:sz="6" w:space="0"/>
            </w:tcBorders>
            <w:tcMar>
              <w:left w:w="149" w:type="dxa"/>
              <w:top w:w="0" w:type="dxa"/>
              <w:right w:w="149" w:type="dxa"/>
              <w:bottom w:w="0" w:type="dxa"/>
            </w:tcMar>
            <w:tcW w:w="1284" w:type="pct"/>
            <w:vMerge w:val="restart"/>
            <w:textDirection w:val="lrTb"/>
            <w:noWrap w:val="false"/>
          </w:tcPr>
          <w:p>
            <w:pPr>
              <w:pStyle w:val="1304"/>
              <w:spacing w:before="0" w:beforeAutospacing="0" w:after="0" w:afterAutospacing="0"/>
              <w:rPr>
                <w:sz w:val="20"/>
                <w:szCs w:val="20"/>
              </w:rPr>
            </w:pPr>
            <w:r>
              <w:rPr>
                <w:sz w:val="20"/>
                <w:szCs w:val="20"/>
              </w:rPr>
              <w:t xml:space="preserve">одноставочный, руб./Гкал &lt;*&gt;</w:t>
            </w:r>
            <w:r>
              <w:rPr>
                <w:sz w:val="20"/>
                <w:szCs w:val="20"/>
              </w:rPr>
              <w:br/>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427" w:type="pct"/>
            <w:textDirection w:val="lrTb"/>
            <w:noWrap w:val="false"/>
          </w:tcPr>
          <w:p>
            <w:pPr>
              <w:pStyle w:val="1304"/>
              <w:jc w:val="center"/>
              <w:spacing w:before="0" w:beforeAutospacing="0" w:after="0" w:afterAutospacing="0"/>
              <w:rPr>
                <w:sz w:val="20"/>
                <w:szCs w:val="20"/>
              </w:rPr>
            </w:pPr>
            <w:r>
              <w:rPr>
                <w:sz w:val="20"/>
                <w:szCs w:val="20"/>
              </w:rPr>
              <w:t xml:space="preserve">2021</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643" w:type="pct"/>
            <w:textDirection w:val="lrTb"/>
            <w:noWrap w:val="false"/>
          </w:tcPr>
          <w:p>
            <w:pPr>
              <w:pStyle w:val="1304"/>
              <w:jc w:val="center"/>
              <w:spacing w:before="0" w:beforeAutospacing="0" w:after="0" w:afterAutospacing="0"/>
              <w:rPr>
                <w:sz w:val="20"/>
                <w:szCs w:val="20"/>
              </w:rPr>
            </w:pPr>
            <w:r>
              <w:rPr>
                <w:sz w:val="20"/>
                <w:szCs w:val="20"/>
              </w:rPr>
              <w:t xml:space="preserve">-</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795" w:type="pct"/>
            <w:textDirection w:val="lrTb"/>
            <w:noWrap w:val="false"/>
          </w:tcPr>
          <w:p>
            <w:pPr>
              <w:pStyle w:val="1304"/>
              <w:jc w:val="center"/>
              <w:spacing w:before="0" w:beforeAutospacing="0" w:after="0" w:afterAutospacing="0"/>
              <w:rPr>
                <w:sz w:val="20"/>
                <w:szCs w:val="20"/>
              </w:rPr>
            </w:pPr>
            <w:r>
              <w:rPr>
                <w:sz w:val="20"/>
                <w:szCs w:val="20"/>
              </w:rPr>
              <w:t xml:space="preserve">3805,83 &lt;***&gt;</w:t>
            </w:r>
            <w:r>
              <w:rPr>
                <w:sz w:val="20"/>
                <w:szCs w:val="20"/>
              </w:rPr>
            </w:r>
            <w:r>
              <w:rPr>
                <w:sz w:val="20"/>
                <w:szCs w:val="20"/>
              </w:rPr>
            </w:r>
          </w:p>
        </w:tc>
      </w:tr>
      <w:tr>
        <w:tblPrEx/>
        <w:trPr/>
        <w:tc>
          <w:tcPr>
            <w:shd w:val="clear" w:color="auto" w:fill="auto"/>
            <w:tcBorders>
              <w:left w:val="single" w:color="000000" w:sz="6" w:space="0"/>
              <w:right w:val="single" w:color="000000" w:sz="6" w:space="0"/>
            </w:tcBorders>
            <w:tcMar>
              <w:left w:w="149" w:type="dxa"/>
              <w:top w:w="0" w:type="dxa"/>
              <w:right w:w="149" w:type="dxa"/>
              <w:bottom w:w="0" w:type="dxa"/>
            </w:tcMar>
            <w:tcW w:w="336" w:type="pct"/>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1515" w:type="pct"/>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1284" w:type="pct"/>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427" w:type="pct"/>
            <w:textDirection w:val="lrTb"/>
            <w:noWrap w:val="false"/>
          </w:tcPr>
          <w:p>
            <w:pPr>
              <w:pStyle w:val="1304"/>
              <w:jc w:val="center"/>
              <w:spacing w:before="0" w:beforeAutospacing="0" w:after="0" w:afterAutospacing="0"/>
              <w:rPr>
                <w:sz w:val="20"/>
                <w:szCs w:val="20"/>
              </w:rPr>
            </w:pPr>
            <w:r>
              <w:rPr>
                <w:sz w:val="20"/>
                <w:szCs w:val="20"/>
              </w:rPr>
              <w:t xml:space="preserve">2022</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643" w:type="pct"/>
            <w:textDirection w:val="lrTb"/>
            <w:noWrap w:val="false"/>
          </w:tcPr>
          <w:p>
            <w:pPr>
              <w:pStyle w:val="1304"/>
              <w:jc w:val="center"/>
              <w:spacing w:before="0" w:beforeAutospacing="0" w:after="0" w:afterAutospacing="0"/>
              <w:rPr>
                <w:sz w:val="20"/>
                <w:szCs w:val="20"/>
              </w:rPr>
            </w:pPr>
            <w:r>
              <w:rPr>
                <w:sz w:val="20"/>
                <w:szCs w:val="20"/>
              </w:rPr>
              <w:t xml:space="preserve">3805,83</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795" w:type="pct"/>
            <w:textDirection w:val="lrTb"/>
            <w:noWrap w:val="false"/>
          </w:tcPr>
          <w:p>
            <w:pPr>
              <w:pStyle w:val="1304"/>
              <w:jc w:val="center"/>
              <w:spacing w:before="0" w:beforeAutospacing="0" w:after="0" w:afterAutospacing="0"/>
              <w:rPr>
                <w:sz w:val="20"/>
                <w:szCs w:val="20"/>
              </w:rPr>
            </w:pPr>
            <w:r>
              <w:rPr>
                <w:sz w:val="20"/>
                <w:szCs w:val="20"/>
              </w:rPr>
              <w:t xml:space="preserve">3905,43&lt;****&gt;</w:t>
            </w:r>
            <w:r>
              <w:rPr>
                <w:sz w:val="20"/>
                <w:szCs w:val="20"/>
              </w:rPr>
            </w:r>
            <w:r>
              <w:rPr>
                <w:sz w:val="20"/>
                <w:szCs w:val="20"/>
              </w:rPr>
            </w:r>
          </w:p>
        </w:tc>
      </w:tr>
      <w:tr>
        <w:tblPrEx/>
        <w:trPr/>
        <w:tc>
          <w:tcPr>
            <w:shd w:val="clear" w:color="auto" w:fill="auto"/>
            <w:tcBorders>
              <w:left w:val="single" w:color="000000" w:sz="6" w:space="0"/>
              <w:right w:val="single" w:color="000000" w:sz="6" w:space="0"/>
            </w:tcBorders>
            <w:tcMar>
              <w:left w:w="149" w:type="dxa"/>
              <w:top w:w="0" w:type="dxa"/>
              <w:right w:w="149" w:type="dxa"/>
              <w:bottom w:w="0" w:type="dxa"/>
            </w:tcMar>
            <w:tcW w:w="336" w:type="pct"/>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1515" w:type="pct"/>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1284" w:type="pct"/>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427" w:type="pct"/>
            <w:textDirection w:val="lrTb"/>
            <w:noWrap w:val="false"/>
          </w:tcPr>
          <w:p>
            <w:pPr>
              <w:pStyle w:val="1304"/>
              <w:jc w:val="center"/>
              <w:spacing w:before="0" w:beforeAutospacing="0" w:after="0" w:afterAutospacing="0"/>
              <w:rPr>
                <w:sz w:val="20"/>
                <w:szCs w:val="20"/>
              </w:rPr>
            </w:pPr>
            <w:r>
              <w:rPr>
                <w:sz w:val="20"/>
                <w:szCs w:val="20"/>
              </w:rPr>
              <w:t xml:space="preserve">2023</w:t>
            </w:r>
            <w:r>
              <w:rPr>
                <w:sz w:val="20"/>
                <w:szCs w:val="20"/>
              </w:rPr>
              <w:br/>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643" w:type="pct"/>
            <w:textDirection w:val="lrTb"/>
            <w:noWrap w:val="false"/>
          </w:tcPr>
          <w:p>
            <w:pPr>
              <w:pStyle w:val="1304"/>
              <w:jc w:val="center"/>
              <w:spacing w:before="0" w:beforeAutospacing="0" w:after="0" w:afterAutospacing="0"/>
              <w:rPr>
                <w:sz w:val="20"/>
                <w:szCs w:val="20"/>
              </w:rPr>
            </w:pPr>
            <w:r>
              <w:rPr>
                <w:sz w:val="20"/>
                <w:szCs w:val="20"/>
              </w:rPr>
              <w:t xml:space="preserve">4316,99 &lt;*****&gt;</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795" w:type="pct"/>
            <w:textDirection w:val="lrTb"/>
            <w:noWrap w:val="false"/>
          </w:tcPr>
          <w:p>
            <w:pPr>
              <w:pStyle w:val="1304"/>
              <w:jc w:val="center"/>
              <w:spacing w:before="0" w:beforeAutospacing="0" w:after="0" w:afterAutospacing="0"/>
              <w:rPr>
                <w:sz w:val="20"/>
                <w:szCs w:val="20"/>
              </w:rPr>
            </w:pPr>
            <w:r>
              <w:rPr>
                <w:sz w:val="20"/>
                <w:szCs w:val="20"/>
              </w:rPr>
              <w:t xml:space="preserve">4316,99</w:t>
            </w:r>
            <w:r>
              <w:rPr>
                <w:sz w:val="20"/>
                <w:szCs w:val="20"/>
              </w:rPr>
            </w:r>
            <w:r>
              <w:rPr>
                <w:sz w:val="20"/>
                <w:szCs w:val="20"/>
              </w:rPr>
            </w:r>
          </w:p>
        </w:tc>
      </w:tr>
      <w:tr>
        <w:tblPrEx/>
        <w:trPr>
          <w:trHeight w:val="74"/>
        </w:trPr>
        <w:tc>
          <w:tcPr>
            <w:shd w:val="clear" w:color="auto" w:fill="auto"/>
            <w:tcBorders>
              <w:left w:val="single" w:color="000000" w:sz="6" w:space="0"/>
              <w:right w:val="single" w:color="000000" w:sz="6" w:space="0"/>
            </w:tcBorders>
            <w:tcMar>
              <w:left w:w="149" w:type="dxa"/>
              <w:top w:w="0" w:type="dxa"/>
              <w:right w:w="149" w:type="dxa"/>
              <w:bottom w:w="0" w:type="dxa"/>
            </w:tcMar>
            <w:tcW w:w="336" w:type="pct"/>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1515" w:type="pct"/>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1284" w:type="pct"/>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427" w:type="pct"/>
            <w:textDirection w:val="lrTb"/>
            <w:noWrap w:val="false"/>
          </w:tcPr>
          <w:p>
            <w:pPr>
              <w:pStyle w:val="1304"/>
              <w:jc w:val="center"/>
              <w:spacing w:before="0" w:beforeAutospacing="0" w:after="0" w:afterAutospacing="0"/>
              <w:rPr>
                <w:sz w:val="20"/>
                <w:szCs w:val="20"/>
              </w:rPr>
            </w:pPr>
            <w:r>
              <w:rPr>
                <w:sz w:val="20"/>
                <w:szCs w:val="20"/>
              </w:rPr>
              <w:t xml:space="preserve">2024</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643" w:type="pct"/>
            <w:textDirection w:val="lrTb"/>
            <w:noWrap w:val="false"/>
          </w:tcPr>
          <w:p>
            <w:pPr>
              <w:pStyle w:val="1304"/>
              <w:jc w:val="center"/>
              <w:spacing w:before="0" w:beforeAutospacing="0" w:after="0" w:afterAutospacing="0"/>
              <w:rPr>
                <w:sz w:val="20"/>
                <w:szCs w:val="20"/>
              </w:rPr>
            </w:pPr>
            <w:r>
              <w:rPr>
                <w:sz w:val="20"/>
                <w:szCs w:val="20"/>
              </w:rPr>
              <w:t xml:space="preserve">4316,99</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795" w:type="pct"/>
            <w:textDirection w:val="lrTb"/>
            <w:noWrap w:val="false"/>
          </w:tcPr>
          <w:p>
            <w:pPr>
              <w:pStyle w:val="1304"/>
              <w:jc w:val="center"/>
              <w:spacing w:before="0" w:beforeAutospacing="0" w:after="0" w:afterAutospacing="0"/>
              <w:rPr>
                <w:sz w:val="20"/>
                <w:szCs w:val="20"/>
              </w:rPr>
            </w:pPr>
            <w:r>
              <w:rPr>
                <w:sz w:val="20"/>
                <w:szCs w:val="20"/>
              </w:rPr>
              <w:t xml:space="preserve">4801,66</w:t>
            </w:r>
            <w:r>
              <w:rPr>
                <w:sz w:val="20"/>
                <w:szCs w:val="20"/>
              </w:rPr>
            </w:r>
            <w:r>
              <w:rPr>
                <w:sz w:val="20"/>
                <w:szCs w:val="20"/>
              </w:rPr>
            </w:r>
          </w:p>
        </w:tc>
      </w:tr>
      <w:tr>
        <w:tblPrEx/>
        <w:trPr/>
        <w:tc>
          <w:tcPr>
            <w:shd w:val="clear" w:color="auto" w:fill="auto"/>
            <w:tcBorders>
              <w:left w:val="single" w:color="000000" w:sz="6" w:space="0"/>
              <w:right w:val="single" w:color="000000" w:sz="6" w:space="0"/>
            </w:tcBorders>
            <w:tcMar>
              <w:left w:w="149" w:type="dxa"/>
              <w:top w:w="0" w:type="dxa"/>
              <w:right w:w="149" w:type="dxa"/>
              <w:bottom w:w="0" w:type="dxa"/>
            </w:tcMar>
            <w:tcW w:w="336" w:type="pct"/>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1515" w:type="pct"/>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bottom w:val="none" w:color="000000" w:sz="4" w:space="0"/>
              <w:right w:val="single" w:color="000000" w:sz="6" w:space="0"/>
            </w:tcBorders>
            <w:tcMar>
              <w:left w:w="149" w:type="dxa"/>
              <w:top w:w="0" w:type="dxa"/>
              <w:right w:w="149" w:type="dxa"/>
              <w:bottom w:w="0" w:type="dxa"/>
            </w:tcMar>
            <w:tcW w:w="1284" w:type="pct"/>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427" w:type="pct"/>
            <w:textDirection w:val="lrTb"/>
            <w:noWrap w:val="false"/>
          </w:tcPr>
          <w:p>
            <w:pPr>
              <w:pStyle w:val="1304"/>
              <w:jc w:val="center"/>
              <w:spacing w:before="0" w:beforeAutospacing="0" w:after="0" w:afterAutospacing="0"/>
              <w:rPr>
                <w:sz w:val="20"/>
                <w:szCs w:val="20"/>
              </w:rPr>
            </w:pPr>
            <w:r>
              <w:rPr>
                <w:sz w:val="20"/>
                <w:szCs w:val="20"/>
              </w:rPr>
              <w:t xml:space="preserve">2025</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643" w:type="pct"/>
            <w:textDirection w:val="lrTb"/>
            <w:noWrap w:val="false"/>
          </w:tcPr>
          <w:p>
            <w:pPr>
              <w:pStyle w:val="1304"/>
              <w:jc w:val="center"/>
              <w:spacing w:before="0" w:beforeAutospacing="0" w:after="0" w:afterAutospacing="0"/>
              <w:rPr>
                <w:sz w:val="20"/>
                <w:szCs w:val="20"/>
              </w:rPr>
            </w:pPr>
            <w:r>
              <w:rPr>
                <w:sz w:val="20"/>
                <w:szCs w:val="20"/>
              </w:rPr>
              <w:t xml:space="preserve">4327,22</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795" w:type="pct"/>
            <w:textDirection w:val="lrTb"/>
            <w:noWrap w:val="false"/>
          </w:tcPr>
          <w:p>
            <w:pPr>
              <w:pStyle w:val="1304"/>
              <w:jc w:val="center"/>
              <w:spacing w:before="0" w:beforeAutospacing="0" w:after="0" w:afterAutospacing="0"/>
              <w:rPr>
                <w:sz w:val="20"/>
                <w:szCs w:val="20"/>
              </w:rPr>
            </w:pPr>
            <w:r>
              <w:rPr>
                <w:sz w:val="20"/>
                <w:szCs w:val="20"/>
              </w:rPr>
              <w:t xml:space="preserve">4327,22</w:t>
            </w:r>
            <w:r>
              <w:rPr>
                <w:sz w:val="20"/>
                <w:szCs w:val="20"/>
              </w:rPr>
            </w:r>
            <w:r>
              <w:rPr>
                <w:sz w:val="20"/>
                <w:szCs w:val="20"/>
              </w:rPr>
            </w:r>
          </w:p>
        </w:tc>
      </w:tr>
      <w:tr>
        <w:tblPrEx/>
        <w:trPr/>
        <w:tc>
          <w:tcPr>
            <w:shd w:val="clear" w:color="auto" w:fill="auto"/>
            <w:tcBorders>
              <w:left w:val="single" w:color="000000" w:sz="6" w:space="0"/>
              <w:right w:val="single" w:color="000000" w:sz="6" w:space="0"/>
            </w:tcBorders>
            <w:tcMar>
              <w:left w:w="149" w:type="dxa"/>
              <w:top w:w="0" w:type="dxa"/>
              <w:right w:w="149" w:type="dxa"/>
              <w:bottom w:w="0" w:type="dxa"/>
            </w:tcMar>
            <w:tcW w:w="336" w:type="pct"/>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1515" w:type="pct"/>
            <w:vMerge w:val="continue"/>
            <w:textDirection w:val="lrTb"/>
            <w:noWrap w:val="false"/>
          </w:tcPr>
          <w:p>
            <w:pPr>
              <w:rPr>
                <w:sz w:val="20"/>
                <w:szCs w:val="20"/>
              </w:rPr>
            </w:pPr>
            <w:r>
              <w:rPr>
                <w:sz w:val="20"/>
                <w:szCs w:val="20"/>
              </w:rPr>
            </w:r>
            <w:r>
              <w:rPr>
                <w:sz w:val="20"/>
                <w:szCs w:val="20"/>
              </w:rPr>
            </w:r>
            <w:r>
              <w:rPr>
                <w:sz w:val="20"/>
                <w:szCs w:val="20"/>
              </w:rPr>
            </w:r>
          </w:p>
        </w:tc>
        <w:tc>
          <w:tcPr>
            <w:gridSpan w:val="4"/>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3149" w:type="pct"/>
            <w:textDirection w:val="lrTb"/>
            <w:noWrap w:val="false"/>
          </w:tcPr>
          <w:p>
            <w:pPr>
              <w:pStyle w:val="1304"/>
              <w:spacing w:before="0" w:beforeAutospacing="0" w:after="0" w:afterAutospacing="0"/>
              <w:rPr>
                <w:sz w:val="20"/>
                <w:szCs w:val="20"/>
              </w:rPr>
            </w:pPr>
            <w:r>
              <w:rPr>
                <w:sz w:val="20"/>
                <w:szCs w:val="20"/>
              </w:rPr>
              <w:t xml:space="preserve">Население &lt;**&gt;</w:t>
            </w:r>
            <w:r>
              <w:rPr>
                <w:sz w:val="20"/>
                <w:szCs w:val="20"/>
              </w:rPr>
            </w:r>
            <w:r>
              <w:rPr>
                <w:sz w:val="20"/>
                <w:szCs w:val="20"/>
              </w:rPr>
            </w:r>
          </w:p>
        </w:tc>
      </w:tr>
      <w:tr>
        <w:tblPrEx/>
        <w:trPr>
          <w:trHeight w:val="230"/>
        </w:trPr>
        <w:tc>
          <w:tcPr>
            <w:shd w:val="clear" w:color="auto" w:fill="auto"/>
            <w:tcBorders>
              <w:left w:val="single" w:color="000000" w:sz="6" w:space="0"/>
              <w:right w:val="single" w:color="000000" w:sz="6" w:space="0"/>
            </w:tcBorders>
            <w:tcMar>
              <w:left w:w="149" w:type="dxa"/>
              <w:top w:w="0" w:type="dxa"/>
              <w:right w:w="149" w:type="dxa"/>
              <w:bottom w:w="0" w:type="dxa"/>
            </w:tcMar>
            <w:tcW w:w="336" w:type="pct"/>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1515" w:type="pct"/>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top w:val="single" w:color="000000" w:sz="6" w:space="0"/>
              <w:left w:val="single" w:color="000000" w:sz="6" w:space="0"/>
              <w:right w:val="single" w:color="000000" w:sz="6" w:space="0"/>
            </w:tcBorders>
            <w:tcMar>
              <w:left w:w="149" w:type="dxa"/>
              <w:top w:w="0" w:type="dxa"/>
              <w:right w:w="149" w:type="dxa"/>
              <w:bottom w:w="0" w:type="dxa"/>
            </w:tcMar>
            <w:tcW w:w="1284" w:type="pct"/>
            <w:vMerge w:val="restart"/>
            <w:textDirection w:val="lrTb"/>
            <w:noWrap w:val="false"/>
          </w:tcPr>
          <w:p>
            <w:pPr>
              <w:pStyle w:val="1304"/>
              <w:spacing w:before="0" w:beforeAutospacing="0" w:after="0" w:afterAutospacing="0"/>
              <w:rPr>
                <w:sz w:val="20"/>
                <w:szCs w:val="20"/>
              </w:rPr>
            </w:pPr>
            <w:r>
              <w:rPr>
                <w:sz w:val="20"/>
                <w:szCs w:val="20"/>
              </w:rPr>
              <w:t xml:space="preserve">одноставочный, руб./Гкал &lt;*&gt;</w:t>
            </w:r>
            <w:r>
              <w:rPr>
                <w:sz w:val="20"/>
                <w:szCs w:val="20"/>
              </w:rPr>
              <w:br/>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427" w:type="pct"/>
            <w:textDirection w:val="lrTb"/>
            <w:noWrap w:val="false"/>
          </w:tcPr>
          <w:p>
            <w:pPr>
              <w:pStyle w:val="1304"/>
              <w:jc w:val="center"/>
              <w:spacing w:before="0" w:beforeAutospacing="0" w:after="0" w:afterAutospacing="0"/>
              <w:rPr>
                <w:sz w:val="20"/>
                <w:szCs w:val="20"/>
              </w:rPr>
            </w:pPr>
            <w:r>
              <w:rPr>
                <w:sz w:val="20"/>
                <w:szCs w:val="20"/>
              </w:rPr>
              <w:t xml:space="preserve">2021</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643" w:type="pct"/>
            <w:textDirection w:val="lrTb"/>
            <w:noWrap w:val="false"/>
          </w:tcPr>
          <w:p>
            <w:pPr>
              <w:pStyle w:val="1304"/>
              <w:jc w:val="center"/>
              <w:spacing w:before="0" w:beforeAutospacing="0" w:after="0" w:afterAutospacing="0"/>
              <w:rPr>
                <w:sz w:val="20"/>
                <w:szCs w:val="20"/>
              </w:rPr>
            </w:pPr>
            <w:r>
              <w:rPr>
                <w:sz w:val="20"/>
                <w:szCs w:val="20"/>
              </w:rPr>
              <w:t xml:space="preserve">-</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795" w:type="pct"/>
            <w:textDirection w:val="lrTb"/>
            <w:noWrap w:val="false"/>
          </w:tcPr>
          <w:p>
            <w:pPr>
              <w:pStyle w:val="1304"/>
              <w:jc w:val="center"/>
              <w:spacing w:before="0" w:beforeAutospacing="0" w:after="0" w:afterAutospacing="0"/>
              <w:rPr>
                <w:sz w:val="20"/>
                <w:szCs w:val="20"/>
              </w:rPr>
            </w:pPr>
            <w:r>
              <w:rPr>
                <w:sz w:val="20"/>
                <w:szCs w:val="20"/>
              </w:rPr>
              <w:t xml:space="preserve">-</w:t>
            </w:r>
            <w:r>
              <w:rPr>
                <w:sz w:val="20"/>
                <w:szCs w:val="20"/>
              </w:rPr>
            </w:r>
            <w:r>
              <w:rPr>
                <w:sz w:val="20"/>
                <w:szCs w:val="20"/>
              </w:rPr>
            </w:r>
          </w:p>
        </w:tc>
      </w:tr>
      <w:tr>
        <w:tblPrEx/>
        <w:trPr/>
        <w:tc>
          <w:tcPr>
            <w:shd w:val="clear" w:color="auto" w:fill="auto"/>
            <w:tcBorders>
              <w:left w:val="single" w:color="000000" w:sz="6" w:space="0"/>
              <w:right w:val="single" w:color="000000" w:sz="6" w:space="0"/>
            </w:tcBorders>
            <w:tcMar>
              <w:left w:w="149" w:type="dxa"/>
              <w:top w:w="0" w:type="dxa"/>
              <w:right w:w="149" w:type="dxa"/>
              <w:bottom w:w="0" w:type="dxa"/>
            </w:tcMar>
            <w:tcW w:w="336" w:type="pct"/>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1515" w:type="pct"/>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1284" w:type="pct"/>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427" w:type="pct"/>
            <w:textDirection w:val="lrTb"/>
            <w:noWrap w:val="false"/>
          </w:tcPr>
          <w:p>
            <w:pPr>
              <w:pStyle w:val="1304"/>
              <w:jc w:val="center"/>
              <w:spacing w:before="0" w:beforeAutospacing="0" w:after="0" w:afterAutospacing="0"/>
              <w:rPr>
                <w:sz w:val="20"/>
                <w:szCs w:val="20"/>
              </w:rPr>
            </w:pPr>
            <w:r>
              <w:rPr>
                <w:sz w:val="20"/>
                <w:szCs w:val="20"/>
              </w:rPr>
              <w:t xml:space="preserve">2022</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643" w:type="pct"/>
            <w:textDirection w:val="lrTb"/>
            <w:noWrap w:val="false"/>
          </w:tcPr>
          <w:p>
            <w:pPr>
              <w:pStyle w:val="1304"/>
              <w:jc w:val="center"/>
              <w:spacing w:before="0" w:beforeAutospacing="0" w:after="0" w:afterAutospacing="0"/>
              <w:rPr>
                <w:sz w:val="20"/>
                <w:szCs w:val="20"/>
              </w:rPr>
            </w:pPr>
            <w:r>
              <w:rPr>
                <w:sz w:val="20"/>
                <w:szCs w:val="20"/>
              </w:rPr>
              <w:t xml:space="preserve">-</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795" w:type="pct"/>
            <w:textDirection w:val="lrTb"/>
            <w:noWrap w:val="false"/>
          </w:tcPr>
          <w:p>
            <w:pPr>
              <w:pStyle w:val="1304"/>
              <w:jc w:val="center"/>
              <w:spacing w:before="0" w:beforeAutospacing="0" w:after="0" w:afterAutospacing="0"/>
              <w:rPr>
                <w:sz w:val="20"/>
                <w:szCs w:val="20"/>
              </w:rPr>
            </w:pPr>
            <w:r>
              <w:rPr>
                <w:sz w:val="20"/>
                <w:szCs w:val="20"/>
              </w:rPr>
              <w:t xml:space="preserve">-</w:t>
            </w:r>
            <w:r>
              <w:rPr>
                <w:sz w:val="20"/>
                <w:szCs w:val="20"/>
              </w:rPr>
            </w:r>
            <w:r>
              <w:rPr>
                <w:sz w:val="20"/>
                <w:szCs w:val="20"/>
              </w:rPr>
            </w:r>
          </w:p>
        </w:tc>
      </w:tr>
      <w:tr>
        <w:tblPrEx/>
        <w:trPr/>
        <w:tc>
          <w:tcPr>
            <w:shd w:val="clear" w:color="auto" w:fill="auto"/>
            <w:tcBorders>
              <w:left w:val="single" w:color="000000" w:sz="6" w:space="0"/>
              <w:right w:val="single" w:color="000000" w:sz="6" w:space="0"/>
            </w:tcBorders>
            <w:tcMar>
              <w:left w:w="149" w:type="dxa"/>
              <w:top w:w="0" w:type="dxa"/>
              <w:right w:w="149" w:type="dxa"/>
              <w:bottom w:w="0" w:type="dxa"/>
            </w:tcMar>
            <w:tcW w:w="336" w:type="pct"/>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1515" w:type="pct"/>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1284" w:type="pct"/>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427" w:type="pct"/>
            <w:textDirection w:val="lrTb"/>
            <w:noWrap w:val="false"/>
          </w:tcPr>
          <w:p>
            <w:pPr>
              <w:pStyle w:val="1304"/>
              <w:jc w:val="center"/>
              <w:spacing w:before="0" w:beforeAutospacing="0" w:after="0" w:afterAutospacing="0"/>
              <w:rPr>
                <w:sz w:val="20"/>
                <w:szCs w:val="20"/>
              </w:rPr>
            </w:pPr>
            <w:r>
              <w:rPr>
                <w:sz w:val="20"/>
                <w:szCs w:val="20"/>
              </w:rPr>
              <w:t xml:space="preserve">2023</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643" w:type="pct"/>
            <w:textDirection w:val="lrTb"/>
            <w:noWrap w:val="false"/>
          </w:tcPr>
          <w:p>
            <w:pPr>
              <w:pStyle w:val="1304"/>
              <w:jc w:val="center"/>
              <w:spacing w:before="0" w:beforeAutospacing="0" w:after="0" w:afterAutospacing="0"/>
              <w:rPr>
                <w:sz w:val="20"/>
                <w:szCs w:val="20"/>
              </w:rPr>
            </w:pPr>
            <w:r>
              <w:rPr>
                <w:sz w:val="20"/>
                <w:szCs w:val="20"/>
              </w:rPr>
              <w:t xml:space="preserve">-</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795" w:type="pct"/>
            <w:textDirection w:val="lrTb"/>
            <w:noWrap w:val="false"/>
          </w:tcPr>
          <w:p>
            <w:pPr>
              <w:pStyle w:val="1304"/>
              <w:jc w:val="center"/>
              <w:spacing w:before="0" w:beforeAutospacing="0" w:after="0" w:afterAutospacing="0"/>
              <w:rPr>
                <w:sz w:val="20"/>
                <w:szCs w:val="20"/>
              </w:rPr>
            </w:pPr>
            <w:r>
              <w:rPr>
                <w:sz w:val="20"/>
                <w:szCs w:val="20"/>
              </w:rPr>
              <w:t xml:space="preserve">-</w:t>
            </w:r>
            <w:r>
              <w:rPr>
                <w:sz w:val="20"/>
                <w:szCs w:val="20"/>
              </w:rPr>
            </w:r>
            <w:r>
              <w:rPr>
                <w:sz w:val="20"/>
                <w:szCs w:val="20"/>
              </w:rPr>
            </w:r>
          </w:p>
        </w:tc>
      </w:tr>
      <w:tr>
        <w:tblPrEx/>
        <w:trPr/>
        <w:tc>
          <w:tcPr>
            <w:shd w:val="clear" w:color="auto" w:fill="auto"/>
            <w:tcBorders>
              <w:left w:val="single" w:color="000000" w:sz="6" w:space="0"/>
              <w:right w:val="single" w:color="000000" w:sz="6" w:space="0"/>
            </w:tcBorders>
            <w:tcMar>
              <w:left w:w="149" w:type="dxa"/>
              <w:top w:w="0" w:type="dxa"/>
              <w:right w:w="149" w:type="dxa"/>
              <w:bottom w:w="0" w:type="dxa"/>
            </w:tcMar>
            <w:tcW w:w="336" w:type="pct"/>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1515" w:type="pct"/>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1284" w:type="pct"/>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427" w:type="pct"/>
            <w:textDirection w:val="lrTb"/>
            <w:noWrap w:val="false"/>
          </w:tcPr>
          <w:p>
            <w:pPr>
              <w:pStyle w:val="1304"/>
              <w:jc w:val="center"/>
              <w:spacing w:before="0" w:beforeAutospacing="0" w:after="0" w:afterAutospacing="0"/>
              <w:rPr>
                <w:sz w:val="20"/>
                <w:szCs w:val="20"/>
              </w:rPr>
            </w:pPr>
            <w:r>
              <w:rPr>
                <w:sz w:val="20"/>
                <w:szCs w:val="20"/>
              </w:rPr>
              <w:t xml:space="preserve">2024</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643" w:type="pct"/>
            <w:textDirection w:val="lrTb"/>
            <w:noWrap w:val="false"/>
          </w:tcPr>
          <w:p>
            <w:pPr>
              <w:pStyle w:val="1304"/>
              <w:jc w:val="center"/>
              <w:spacing w:before="0" w:beforeAutospacing="0" w:after="0" w:afterAutospacing="0"/>
              <w:rPr>
                <w:sz w:val="20"/>
                <w:szCs w:val="20"/>
              </w:rPr>
            </w:pPr>
            <w:r>
              <w:rPr>
                <w:sz w:val="20"/>
                <w:szCs w:val="20"/>
              </w:rPr>
              <w:t xml:space="preserve">-</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795" w:type="pct"/>
            <w:textDirection w:val="lrTb"/>
            <w:noWrap w:val="false"/>
          </w:tcPr>
          <w:p>
            <w:pPr>
              <w:pStyle w:val="1304"/>
              <w:jc w:val="center"/>
              <w:spacing w:before="0" w:beforeAutospacing="0" w:after="0" w:afterAutospacing="0"/>
              <w:rPr>
                <w:sz w:val="20"/>
                <w:szCs w:val="20"/>
              </w:rPr>
            </w:pPr>
            <w:r>
              <w:rPr>
                <w:sz w:val="20"/>
                <w:szCs w:val="20"/>
              </w:rPr>
              <w:t xml:space="preserve">-</w:t>
            </w:r>
            <w:r>
              <w:rPr>
                <w:sz w:val="20"/>
                <w:szCs w:val="20"/>
              </w:rPr>
            </w:r>
            <w:r>
              <w:rPr>
                <w:sz w:val="20"/>
                <w:szCs w:val="20"/>
              </w:rPr>
            </w:r>
          </w:p>
        </w:tc>
      </w:tr>
      <w:tr>
        <w:tblPrEx/>
        <w:trPr/>
        <w:tc>
          <w:tcPr>
            <w:shd w:val="clear" w:color="auto" w:fill="auto"/>
            <w:tcBorders>
              <w:left w:val="single" w:color="000000" w:sz="6" w:space="0"/>
              <w:right w:val="single" w:color="000000" w:sz="6" w:space="0"/>
            </w:tcBorders>
            <w:tcMar>
              <w:left w:w="149" w:type="dxa"/>
              <w:top w:w="0" w:type="dxa"/>
              <w:right w:w="149" w:type="dxa"/>
              <w:bottom w:w="0" w:type="dxa"/>
            </w:tcMar>
            <w:tcW w:w="336" w:type="pct"/>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1515" w:type="pct"/>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bottom w:val="none" w:color="000000" w:sz="4" w:space="0"/>
              <w:right w:val="single" w:color="000000" w:sz="6" w:space="0"/>
            </w:tcBorders>
            <w:tcMar>
              <w:left w:w="149" w:type="dxa"/>
              <w:top w:w="0" w:type="dxa"/>
              <w:right w:w="149" w:type="dxa"/>
              <w:bottom w:w="0" w:type="dxa"/>
            </w:tcMar>
            <w:tcW w:w="1284" w:type="pct"/>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427" w:type="pct"/>
            <w:textDirection w:val="lrTb"/>
            <w:noWrap w:val="false"/>
          </w:tcPr>
          <w:p>
            <w:pPr>
              <w:pStyle w:val="1304"/>
              <w:jc w:val="center"/>
              <w:spacing w:before="0" w:beforeAutospacing="0" w:after="0" w:afterAutospacing="0"/>
              <w:rPr>
                <w:sz w:val="20"/>
                <w:szCs w:val="20"/>
              </w:rPr>
            </w:pPr>
            <w:r>
              <w:rPr>
                <w:sz w:val="20"/>
                <w:szCs w:val="20"/>
              </w:rPr>
              <w:t xml:space="preserve">2025</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643" w:type="pct"/>
            <w:textDirection w:val="lrTb"/>
            <w:noWrap w:val="false"/>
          </w:tcPr>
          <w:p>
            <w:pPr>
              <w:pStyle w:val="1304"/>
              <w:jc w:val="center"/>
              <w:spacing w:before="0" w:beforeAutospacing="0" w:after="0" w:afterAutospacing="0"/>
              <w:rPr>
                <w:sz w:val="20"/>
                <w:szCs w:val="20"/>
              </w:rPr>
            </w:pPr>
            <w:r>
              <w:rPr>
                <w:sz w:val="20"/>
                <w:szCs w:val="20"/>
              </w:rPr>
              <w:t xml:space="preserve">-</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795" w:type="pct"/>
            <w:textDirection w:val="lrTb"/>
            <w:noWrap w:val="false"/>
          </w:tcPr>
          <w:p>
            <w:pPr>
              <w:pStyle w:val="1304"/>
              <w:jc w:val="center"/>
              <w:spacing w:before="0" w:beforeAutospacing="0" w:after="0" w:afterAutospacing="0"/>
              <w:rPr>
                <w:sz w:val="20"/>
                <w:szCs w:val="20"/>
              </w:rPr>
            </w:pPr>
            <w:r>
              <w:rPr>
                <w:sz w:val="20"/>
                <w:szCs w:val="20"/>
              </w:rPr>
              <w:t xml:space="preserve">-</w:t>
            </w:r>
            <w:r>
              <w:rPr>
                <w:sz w:val="20"/>
                <w:szCs w:val="20"/>
              </w:rPr>
            </w:r>
            <w:r>
              <w:rPr>
                <w:sz w:val="20"/>
                <w:szCs w:val="20"/>
              </w:rPr>
            </w:r>
          </w:p>
        </w:tc>
      </w:tr>
      <w:tr>
        <w:tblPrEx/>
        <w:trPr/>
        <w:tc>
          <w:tcPr>
            <w:shd w:val="clear" w:color="auto" w:fill="auto"/>
            <w:tcBorders>
              <w:left w:val="single" w:color="000000" w:sz="6" w:space="0"/>
              <w:right w:val="single" w:color="000000" w:sz="6" w:space="0"/>
            </w:tcBorders>
            <w:tcMar>
              <w:left w:w="149" w:type="dxa"/>
              <w:top w:w="0" w:type="dxa"/>
              <w:right w:w="149" w:type="dxa"/>
              <w:bottom w:w="0" w:type="dxa"/>
            </w:tcMar>
            <w:tcW w:w="336" w:type="pct"/>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1515" w:type="pct"/>
            <w:vMerge w:val="continue"/>
            <w:textDirection w:val="lrTb"/>
            <w:noWrap w:val="false"/>
          </w:tcPr>
          <w:p>
            <w:pPr>
              <w:rPr>
                <w:sz w:val="20"/>
                <w:szCs w:val="20"/>
              </w:rPr>
            </w:pPr>
            <w:r>
              <w:rPr>
                <w:sz w:val="20"/>
                <w:szCs w:val="20"/>
              </w:rPr>
            </w:r>
            <w:r>
              <w:rPr>
                <w:sz w:val="20"/>
                <w:szCs w:val="20"/>
              </w:rPr>
            </w:r>
            <w:r>
              <w:rPr>
                <w:sz w:val="20"/>
                <w:szCs w:val="20"/>
              </w:rPr>
            </w:r>
          </w:p>
        </w:tc>
        <w:tc>
          <w:tcPr>
            <w:gridSpan w:val="4"/>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3149" w:type="pct"/>
            <w:textDirection w:val="lrTb"/>
            <w:noWrap w:val="false"/>
          </w:tcPr>
          <w:p>
            <w:pPr>
              <w:pStyle w:val="1304"/>
              <w:spacing w:before="0" w:beforeAutospacing="0" w:after="0" w:afterAutospacing="0"/>
              <w:rPr>
                <w:sz w:val="20"/>
                <w:szCs w:val="20"/>
              </w:rPr>
            </w:pPr>
            <w:r>
              <w:rPr>
                <w:sz w:val="20"/>
                <w:szCs w:val="20"/>
              </w:rPr>
              <w:t xml:space="preserve">Юргамышский муниципальный округ: с. Гагарье, с. Горохово, с. </w:t>
            </w:r>
            <w:r>
              <w:rPr>
                <w:rStyle w:val="1307"/>
                <w:sz w:val="20"/>
                <w:szCs w:val="20"/>
              </w:rPr>
              <w:t xml:space="preserve">Скоблин</w:t>
            </w:r>
            <w:r>
              <w:rPr>
                <w:sz w:val="20"/>
                <w:szCs w:val="20"/>
              </w:rPr>
              <w:t xml:space="preserve">о, д. Фадюшино</w:t>
            </w:r>
            <w:r>
              <w:rPr>
                <w:sz w:val="20"/>
                <w:szCs w:val="20"/>
              </w:rPr>
            </w:r>
            <w:r>
              <w:rPr>
                <w:sz w:val="20"/>
                <w:szCs w:val="20"/>
              </w:rPr>
            </w:r>
          </w:p>
        </w:tc>
      </w:tr>
      <w:tr>
        <w:tblPrEx/>
        <w:trPr>
          <w:trHeight w:val="230"/>
        </w:trPr>
        <w:tc>
          <w:tcPr>
            <w:shd w:val="clear" w:color="auto" w:fill="auto"/>
            <w:tcBorders>
              <w:left w:val="single" w:color="000000" w:sz="6" w:space="0"/>
              <w:right w:val="single" w:color="000000" w:sz="6" w:space="0"/>
            </w:tcBorders>
            <w:tcMar>
              <w:left w:w="149" w:type="dxa"/>
              <w:top w:w="0" w:type="dxa"/>
              <w:right w:w="149" w:type="dxa"/>
              <w:bottom w:w="0" w:type="dxa"/>
            </w:tcMar>
            <w:tcW w:w="336" w:type="pct"/>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1515" w:type="pct"/>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top w:val="single" w:color="000000" w:sz="6" w:space="0"/>
              <w:left w:val="single" w:color="000000" w:sz="6" w:space="0"/>
              <w:right w:val="single" w:color="000000" w:sz="6" w:space="0"/>
            </w:tcBorders>
            <w:tcMar>
              <w:left w:w="149" w:type="dxa"/>
              <w:top w:w="0" w:type="dxa"/>
              <w:right w:w="149" w:type="dxa"/>
              <w:bottom w:w="0" w:type="dxa"/>
            </w:tcMar>
            <w:tcW w:w="1284" w:type="pct"/>
            <w:vMerge w:val="restart"/>
            <w:textDirection w:val="lrTb"/>
            <w:noWrap w:val="false"/>
          </w:tcPr>
          <w:p>
            <w:pPr>
              <w:pStyle w:val="1304"/>
              <w:spacing w:before="0" w:beforeAutospacing="0" w:after="0" w:afterAutospacing="0"/>
              <w:rPr>
                <w:sz w:val="20"/>
                <w:szCs w:val="20"/>
              </w:rPr>
            </w:pPr>
            <w:r>
              <w:rPr>
                <w:sz w:val="20"/>
                <w:szCs w:val="20"/>
              </w:rPr>
              <w:t xml:space="preserve">одноставочный, руб./Гкал &lt;*&gt;</w:t>
            </w:r>
            <w:r>
              <w:rPr>
                <w:sz w:val="20"/>
                <w:szCs w:val="20"/>
              </w:rPr>
              <w:br/>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427" w:type="pct"/>
            <w:textDirection w:val="lrTb"/>
            <w:noWrap w:val="false"/>
          </w:tcPr>
          <w:p>
            <w:pPr>
              <w:pStyle w:val="1304"/>
              <w:jc w:val="center"/>
              <w:spacing w:before="0" w:beforeAutospacing="0" w:after="0" w:afterAutospacing="0"/>
              <w:rPr>
                <w:sz w:val="20"/>
                <w:szCs w:val="20"/>
              </w:rPr>
            </w:pPr>
            <w:r>
              <w:rPr>
                <w:sz w:val="20"/>
                <w:szCs w:val="20"/>
              </w:rPr>
              <w:t xml:space="preserve">2021</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643" w:type="pct"/>
            <w:textDirection w:val="lrTb"/>
            <w:noWrap w:val="false"/>
          </w:tcPr>
          <w:p>
            <w:pPr>
              <w:pStyle w:val="1304"/>
              <w:jc w:val="center"/>
              <w:spacing w:before="0" w:beforeAutospacing="0" w:after="0" w:afterAutospacing="0"/>
              <w:rPr>
                <w:sz w:val="20"/>
                <w:szCs w:val="20"/>
              </w:rPr>
            </w:pPr>
            <w:r>
              <w:rPr>
                <w:sz w:val="20"/>
                <w:szCs w:val="20"/>
              </w:rPr>
              <w:t xml:space="preserve">-</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795" w:type="pct"/>
            <w:textDirection w:val="lrTb"/>
            <w:noWrap w:val="false"/>
          </w:tcPr>
          <w:p>
            <w:pPr>
              <w:pStyle w:val="1304"/>
              <w:jc w:val="center"/>
              <w:spacing w:before="0" w:beforeAutospacing="0" w:after="0" w:afterAutospacing="0"/>
              <w:rPr>
                <w:sz w:val="20"/>
                <w:szCs w:val="20"/>
              </w:rPr>
            </w:pPr>
            <w:r>
              <w:rPr>
                <w:sz w:val="20"/>
                <w:szCs w:val="20"/>
              </w:rPr>
              <w:t xml:space="preserve">3980,17 &lt;***&gt;</w:t>
            </w:r>
            <w:r>
              <w:rPr>
                <w:sz w:val="20"/>
                <w:szCs w:val="20"/>
              </w:rPr>
            </w:r>
            <w:r>
              <w:rPr>
                <w:sz w:val="20"/>
                <w:szCs w:val="20"/>
              </w:rPr>
            </w:r>
          </w:p>
        </w:tc>
      </w:tr>
      <w:tr>
        <w:tblPrEx/>
        <w:trPr/>
        <w:tc>
          <w:tcPr>
            <w:shd w:val="clear" w:color="auto" w:fill="auto"/>
            <w:tcBorders>
              <w:left w:val="single" w:color="000000" w:sz="6" w:space="0"/>
              <w:right w:val="single" w:color="000000" w:sz="6" w:space="0"/>
            </w:tcBorders>
            <w:tcMar>
              <w:left w:w="149" w:type="dxa"/>
              <w:top w:w="0" w:type="dxa"/>
              <w:right w:w="149" w:type="dxa"/>
              <w:bottom w:w="0" w:type="dxa"/>
            </w:tcMar>
            <w:tcW w:w="336" w:type="pct"/>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1515" w:type="pct"/>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1284" w:type="pct"/>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427" w:type="pct"/>
            <w:textDirection w:val="lrTb"/>
            <w:noWrap w:val="false"/>
          </w:tcPr>
          <w:p>
            <w:pPr>
              <w:pStyle w:val="1304"/>
              <w:jc w:val="center"/>
              <w:spacing w:before="0" w:beforeAutospacing="0" w:after="0" w:afterAutospacing="0"/>
              <w:rPr>
                <w:sz w:val="20"/>
                <w:szCs w:val="20"/>
              </w:rPr>
            </w:pPr>
            <w:r>
              <w:rPr>
                <w:sz w:val="20"/>
                <w:szCs w:val="20"/>
              </w:rPr>
              <w:t xml:space="preserve">2022</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643" w:type="pct"/>
            <w:textDirection w:val="lrTb"/>
            <w:noWrap w:val="false"/>
          </w:tcPr>
          <w:p>
            <w:pPr>
              <w:pStyle w:val="1304"/>
              <w:jc w:val="center"/>
              <w:spacing w:before="0" w:beforeAutospacing="0" w:after="0" w:afterAutospacing="0"/>
              <w:rPr>
                <w:sz w:val="20"/>
                <w:szCs w:val="20"/>
              </w:rPr>
            </w:pPr>
            <w:r>
              <w:rPr>
                <w:sz w:val="20"/>
                <w:szCs w:val="20"/>
              </w:rPr>
              <w:t xml:space="preserve">3980,17</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795" w:type="pct"/>
            <w:textDirection w:val="lrTb"/>
            <w:noWrap w:val="false"/>
          </w:tcPr>
          <w:p>
            <w:pPr>
              <w:pStyle w:val="1304"/>
              <w:jc w:val="center"/>
              <w:spacing w:before="0" w:beforeAutospacing="0" w:after="0" w:afterAutospacing="0"/>
              <w:rPr>
                <w:sz w:val="20"/>
                <w:szCs w:val="20"/>
              </w:rPr>
            </w:pPr>
            <w:r>
              <w:rPr>
                <w:sz w:val="20"/>
                <w:szCs w:val="20"/>
              </w:rPr>
              <w:t xml:space="preserve">4089,50&lt;****&gt;</w:t>
            </w:r>
            <w:r>
              <w:rPr>
                <w:sz w:val="20"/>
                <w:szCs w:val="20"/>
              </w:rPr>
            </w:r>
            <w:r>
              <w:rPr>
                <w:sz w:val="20"/>
                <w:szCs w:val="20"/>
              </w:rPr>
            </w:r>
          </w:p>
        </w:tc>
      </w:tr>
      <w:tr>
        <w:tblPrEx/>
        <w:trPr/>
        <w:tc>
          <w:tcPr>
            <w:shd w:val="clear" w:color="auto" w:fill="auto"/>
            <w:tcBorders>
              <w:left w:val="single" w:color="000000" w:sz="6" w:space="0"/>
              <w:right w:val="single" w:color="000000" w:sz="6" w:space="0"/>
            </w:tcBorders>
            <w:tcMar>
              <w:left w:w="149" w:type="dxa"/>
              <w:top w:w="0" w:type="dxa"/>
              <w:right w:w="149" w:type="dxa"/>
              <w:bottom w:w="0" w:type="dxa"/>
            </w:tcMar>
            <w:tcW w:w="336" w:type="pct"/>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1515" w:type="pct"/>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1284" w:type="pct"/>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427" w:type="pct"/>
            <w:textDirection w:val="lrTb"/>
            <w:noWrap w:val="false"/>
          </w:tcPr>
          <w:p>
            <w:pPr>
              <w:pStyle w:val="1304"/>
              <w:jc w:val="center"/>
              <w:spacing w:before="0" w:beforeAutospacing="0" w:after="0" w:afterAutospacing="0"/>
              <w:rPr>
                <w:sz w:val="20"/>
                <w:szCs w:val="20"/>
              </w:rPr>
            </w:pPr>
            <w:r>
              <w:rPr>
                <w:sz w:val="20"/>
                <w:szCs w:val="20"/>
              </w:rPr>
              <w:t xml:space="preserve">2023</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643" w:type="pct"/>
            <w:textDirection w:val="lrTb"/>
            <w:noWrap w:val="false"/>
          </w:tcPr>
          <w:p>
            <w:pPr>
              <w:pStyle w:val="1304"/>
              <w:jc w:val="center"/>
              <w:spacing w:before="0" w:beforeAutospacing="0" w:after="0" w:afterAutospacing="0"/>
              <w:rPr>
                <w:sz w:val="20"/>
                <w:szCs w:val="20"/>
              </w:rPr>
            </w:pPr>
            <w:r>
              <w:rPr>
                <w:sz w:val="20"/>
                <w:szCs w:val="20"/>
              </w:rPr>
              <w:t xml:space="preserve">4358,51&lt;5&gt;</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795" w:type="pct"/>
            <w:textDirection w:val="lrTb"/>
            <w:noWrap w:val="false"/>
          </w:tcPr>
          <w:p>
            <w:pPr>
              <w:pStyle w:val="1304"/>
              <w:jc w:val="center"/>
              <w:spacing w:before="0" w:beforeAutospacing="0" w:after="0" w:afterAutospacing="0"/>
              <w:rPr>
                <w:sz w:val="20"/>
                <w:szCs w:val="20"/>
              </w:rPr>
            </w:pPr>
            <w:r>
              <w:rPr>
                <w:sz w:val="20"/>
                <w:szCs w:val="20"/>
              </w:rPr>
              <w:t xml:space="preserve">4358,51</w:t>
            </w:r>
            <w:r>
              <w:rPr>
                <w:sz w:val="20"/>
                <w:szCs w:val="20"/>
              </w:rPr>
            </w:r>
            <w:r>
              <w:rPr>
                <w:sz w:val="20"/>
                <w:szCs w:val="20"/>
              </w:rPr>
            </w:r>
          </w:p>
        </w:tc>
      </w:tr>
      <w:tr>
        <w:tblPrEx/>
        <w:trPr/>
        <w:tc>
          <w:tcPr>
            <w:shd w:val="clear" w:color="auto" w:fill="auto"/>
            <w:tcBorders>
              <w:left w:val="single" w:color="000000" w:sz="6" w:space="0"/>
              <w:right w:val="single" w:color="000000" w:sz="6" w:space="0"/>
            </w:tcBorders>
            <w:tcMar>
              <w:left w:w="149" w:type="dxa"/>
              <w:top w:w="0" w:type="dxa"/>
              <w:right w:w="149" w:type="dxa"/>
              <w:bottom w:w="0" w:type="dxa"/>
            </w:tcMar>
            <w:tcW w:w="336" w:type="pct"/>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1515" w:type="pct"/>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1284" w:type="pct"/>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427" w:type="pct"/>
            <w:textDirection w:val="lrTb"/>
            <w:noWrap w:val="false"/>
          </w:tcPr>
          <w:p>
            <w:pPr>
              <w:pStyle w:val="1304"/>
              <w:jc w:val="center"/>
              <w:spacing w:before="0" w:beforeAutospacing="0" w:after="0" w:afterAutospacing="0"/>
              <w:rPr>
                <w:sz w:val="20"/>
                <w:szCs w:val="20"/>
              </w:rPr>
            </w:pPr>
            <w:r>
              <w:rPr>
                <w:sz w:val="20"/>
                <w:szCs w:val="20"/>
              </w:rPr>
              <w:t xml:space="preserve">2024</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643" w:type="pct"/>
            <w:textDirection w:val="lrTb"/>
            <w:noWrap w:val="false"/>
          </w:tcPr>
          <w:p>
            <w:pPr>
              <w:pStyle w:val="1304"/>
              <w:jc w:val="center"/>
              <w:spacing w:before="0" w:beforeAutospacing="0" w:after="0" w:afterAutospacing="0"/>
              <w:rPr>
                <w:sz w:val="20"/>
                <w:szCs w:val="20"/>
              </w:rPr>
            </w:pPr>
            <w:r>
              <w:rPr>
                <w:sz w:val="20"/>
                <w:szCs w:val="20"/>
              </w:rPr>
              <w:t xml:space="preserve">4358,51</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795" w:type="pct"/>
            <w:textDirection w:val="lrTb"/>
            <w:noWrap w:val="false"/>
          </w:tcPr>
          <w:p>
            <w:pPr>
              <w:pStyle w:val="1304"/>
              <w:jc w:val="center"/>
              <w:spacing w:before="0" w:beforeAutospacing="0" w:after="0" w:afterAutospacing="0"/>
              <w:rPr>
                <w:sz w:val="20"/>
                <w:szCs w:val="20"/>
              </w:rPr>
            </w:pPr>
            <w:r>
              <w:rPr>
                <w:sz w:val="20"/>
                <w:szCs w:val="20"/>
              </w:rPr>
              <w:t xml:space="preserve">4922,41</w:t>
            </w:r>
            <w:r>
              <w:rPr>
                <w:sz w:val="20"/>
                <w:szCs w:val="20"/>
              </w:rPr>
            </w:r>
            <w:r>
              <w:rPr>
                <w:sz w:val="20"/>
                <w:szCs w:val="20"/>
              </w:rPr>
            </w:r>
          </w:p>
        </w:tc>
      </w:tr>
      <w:tr>
        <w:tblPrEx/>
        <w:trPr/>
        <w:tc>
          <w:tcPr>
            <w:shd w:val="clear" w:color="auto" w:fill="auto"/>
            <w:tcBorders>
              <w:left w:val="single" w:color="000000" w:sz="6" w:space="0"/>
              <w:right w:val="single" w:color="000000" w:sz="6" w:space="0"/>
            </w:tcBorders>
            <w:tcMar>
              <w:left w:w="149" w:type="dxa"/>
              <w:top w:w="0" w:type="dxa"/>
              <w:right w:w="149" w:type="dxa"/>
              <w:bottom w:w="0" w:type="dxa"/>
            </w:tcMar>
            <w:tcW w:w="336" w:type="pct"/>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1515" w:type="pct"/>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bottom w:val="none" w:color="000000" w:sz="4" w:space="0"/>
              <w:right w:val="single" w:color="000000" w:sz="6" w:space="0"/>
            </w:tcBorders>
            <w:tcMar>
              <w:left w:w="149" w:type="dxa"/>
              <w:top w:w="0" w:type="dxa"/>
              <w:right w:w="149" w:type="dxa"/>
              <w:bottom w:w="0" w:type="dxa"/>
            </w:tcMar>
            <w:tcW w:w="1284" w:type="pct"/>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427" w:type="pct"/>
            <w:textDirection w:val="lrTb"/>
            <w:noWrap w:val="false"/>
          </w:tcPr>
          <w:p>
            <w:pPr>
              <w:pStyle w:val="1304"/>
              <w:jc w:val="center"/>
              <w:spacing w:before="0" w:beforeAutospacing="0" w:after="0" w:afterAutospacing="0"/>
              <w:rPr>
                <w:sz w:val="20"/>
                <w:szCs w:val="20"/>
              </w:rPr>
            </w:pPr>
            <w:r>
              <w:rPr>
                <w:sz w:val="20"/>
                <w:szCs w:val="20"/>
              </w:rPr>
              <w:t xml:space="preserve">2025</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643" w:type="pct"/>
            <w:textDirection w:val="lrTb"/>
            <w:noWrap w:val="false"/>
          </w:tcPr>
          <w:p>
            <w:pPr>
              <w:pStyle w:val="1304"/>
              <w:jc w:val="center"/>
              <w:spacing w:before="0" w:beforeAutospacing="0" w:after="0" w:afterAutospacing="0"/>
              <w:rPr>
                <w:sz w:val="20"/>
                <w:szCs w:val="20"/>
              </w:rPr>
            </w:pPr>
            <w:r>
              <w:rPr>
                <w:sz w:val="20"/>
                <w:szCs w:val="20"/>
              </w:rPr>
              <w:t xml:space="preserve">4523,27</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795" w:type="pct"/>
            <w:textDirection w:val="lrTb"/>
            <w:noWrap w:val="false"/>
          </w:tcPr>
          <w:p>
            <w:pPr>
              <w:pStyle w:val="1304"/>
              <w:jc w:val="center"/>
              <w:spacing w:before="0" w:beforeAutospacing="0" w:after="0" w:afterAutospacing="0"/>
              <w:rPr>
                <w:sz w:val="20"/>
                <w:szCs w:val="20"/>
              </w:rPr>
            </w:pPr>
            <w:r>
              <w:rPr>
                <w:sz w:val="20"/>
                <w:szCs w:val="20"/>
              </w:rPr>
              <w:t xml:space="preserve">4523,27</w:t>
            </w:r>
            <w:r>
              <w:rPr>
                <w:sz w:val="20"/>
                <w:szCs w:val="20"/>
              </w:rPr>
            </w:r>
            <w:r>
              <w:rPr>
                <w:sz w:val="20"/>
                <w:szCs w:val="20"/>
              </w:rPr>
            </w:r>
          </w:p>
        </w:tc>
      </w:tr>
      <w:tr>
        <w:tblPrEx/>
        <w:trPr/>
        <w:tc>
          <w:tcPr>
            <w:shd w:val="clear" w:color="auto" w:fill="auto"/>
            <w:tcBorders>
              <w:left w:val="single" w:color="000000" w:sz="6" w:space="0"/>
              <w:right w:val="single" w:color="000000" w:sz="6" w:space="0"/>
            </w:tcBorders>
            <w:tcMar>
              <w:left w:w="149" w:type="dxa"/>
              <w:top w:w="0" w:type="dxa"/>
              <w:right w:w="149" w:type="dxa"/>
              <w:bottom w:w="0" w:type="dxa"/>
            </w:tcMar>
            <w:tcW w:w="336" w:type="pct"/>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1515" w:type="pct"/>
            <w:vMerge w:val="continue"/>
            <w:textDirection w:val="lrTb"/>
            <w:noWrap w:val="false"/>
          </w:tcPr>
          <w:p>
            <w:pPr>
              <w:rPr>
                <w:sz w:val="20"/>
                <w:szCs w:val="20"/>
              </w:rPr>
            </w:pPr>
            <w:r>
              <w:rPr>
                <w:sz w:val="20"/>
                <w:szCs w:val="20"/>
              </w:rPr>
            </w:r>
            <w:r>
              <w:rPr>
                <w:sz w:val="20"/>
                <w:szCs w:val="20"/>
              </w:rPr>
            </w:r>
            <w:r>
              <w:rPr>
                <w:sz w:val="20"/>
                <w:szCs w:val="20"/>
              </w:rPr>
            </w:r>
          </w:p>
        </w:tc>
        <w:tc>
          <w:tcPr>
            <w:gridSpan w:val="4"/>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3149" w:type="pct"/>
            <w:textDirection w:val="lrTb"/>
            <w:noWrap w:val="false"/>
          </w:tcPr>
          <w:p>
            <w:pPr>
              <w:pStyle w:val="1304"/>
              <w:spacing w:before="0" w:beforeAutospacing="0" w:after="0" w:afterAutospacing="0"/>
              <w:rPr>
                <w:sz w:val="20"/>
                <w:szCs w:val="20"/>
              </w:rPr>
            </w:pPr>
            <w:r>
              <w:rPr>
                <w:sz w:val="20"/>
                <w:szCs w:val="20"/>
              </w:rPr>
              <w:t xml:space="preserve">Население &lt;**&gt;</w:t>
            </w:r>
            <w:r>
              <w:rPr>
                <w:sz w:val="20"/>
                <w:szCs w:val="20"/>
              </w:rPr>
            </w:r>
            <w:r>
              <w:rPr>
                <w:sz w:val="20"/>
                <w:szCs w:val="20"/>
              </w:rPr>
            </w:r>
          </w:p>
        </w:tc>
      </w:tr>
      <w:tr>
        <w:tblPrEx/>
        <w:trPr>
          <w:trHeight w:val="230"/>
        </w:trPr>
        <w:tc>
          <w:tcPr>
            <w:shd w:val="clear" w:color="auto" w:fill="auto"/>
            <w:tcBorders>
              <w:left w:val="single" w:color="000000" w:sz="6" w:space="0"/>
              <w:right w:val="single" w:color="000000" w:sz="6" w:space="0"/>
            </w:tcBorders>
            <w:tcMar>
              <w:left w:w="149" w:type="dxa"/>
              <w:top w:w="0" w:type="dxa"/>
              <w:right w:w="149" w:type="dxa"/>
              <w:bottom w:w="0" w:type="dxa"/>
            </w:tcMar>
            <w:tcW w:w="336" w:type="pct"/>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1515" w:type="pct"/>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top w:val="single" w:color="000000" w:sz="6" w:space="0"/>
              <w:left w:val="single" w:color="000000" w:sz="6" w:space="0"/>
              <w:right w:val="single" w:color="000000" w:sz="6" w:space="0"/>
            </w:tcBorders>
            <w:tcMar>
              <w:left w:w="149" w:type="dxa"/>
              <w:top w:w="0" w:type="dxa"/>
              <w:right w:w="149" w:type="dxa"/>
              <w:bottom w:w="0" w:type="dxa"/>
            </w:tcMar>
            <w:tcW w:w="1284" w:type="pct"/>
            <w:vMerge w:val="restart"/>
            <w:textDirection w:val="lrTb"/>
            <w:noWrap w:val="false"/>
          </w:tcPr>
          <w:p>
            <w:pPr>
              <w:pStyle w:val="1304"/>
              <w:spacing w:before="0" w:beforeAutospacing="0" w:after="0" w:afterAutospacing="0"/>
              <w:rPr>
                <w:sz w:val="20"/>
                <w:szCs w:val="20"/>
              </w:rPr>
            </w:pPr>
            <w:r>
              <w:rPr>
                <w:sz w:val="20"/>
                <w:szCs w:val="20"/>
              </w:rPr>
              <w:t xml:space="preserve">одноставочный, руб./Гкал &lt;*&gt;</w:t>
            </w:r>
            <w:r>
              <w:rPr>
                <w:sz w:val="20"/>
                <w:szCs w:val="20"/>
              </w:rPr>
              <w:br/>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427" w:type="pct"/>
            <w:textDirection w:val="lrTb"/>
            <w:noWrap w:val="false"/>
          </w:tcPr>
          <w:p>
            <w:pPr>
              <w:pStyle w:val="1304"/>
              <w:jc w:val="center"/>
              <w:spacing w:before="0" w:beforeAutospacing="0" w:after="0" w:afterAutospacing="0"/>
              <w:rPr>
                <w:sz w:val="20"/>
                <w:szCs w:val="20"/>
              </w:rPr>
            </w:pPr>
            <w:r>
              <w:rPr>
                <w:sz w:val="20"/>
                <w:szCs w:val="20"/>
              </w:rPr>
              <w:t xml:space="preserve">2021</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643" w:type="pct"/>
            <w:textDirection w:val="lrTb"/>
            <w:noWrap w:val="false"/>
          </w:tcPr>
          <w:p>
            <w:pPr>
              <w:pStyle w:val="1304"/>
              <w:jc w:val="center"/>
              <w:spacing w:before="0" w:beforeAutospacing="0" w:after="0" w:afterAutospacing="0"/>
              <w:rPr>
                <w:sz w:val="20"/>
                <w:szCs w:val="20"/>
              </w:rPr>
            </w:pPr>
            <w:r>
              <w:rPr>
                <w:sz w:val="20"/>
                <w:szCs w:val="20"/>
              </w:rPr>
              <w:t xml:space="preserve">-</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795" w:type="pct"/>
            <w:textDirection w:val="lrTb"/>
            <w:noWrap w:val="false"/>
          </w:tcPr>
          <w:p>
            <w:pPr>
              <w:pStyle w:val="1304"/>
              <w:jc w:val="center"/>
              <w:spacing w:before="0" w:beforeAutospacing="0" w:after="0" w:afterAutospacing="0"/>
              <w:rPr>
                <w:sz w:val="20"/>
                <w:szCs w:val="20"/>
              </w:rPr>
            </w:pPr>
            <w:r>
              <w:rPr>
                <w:sz w:val="20"/>
                <w:szCs w:val="20"/>
              </w:rPr>
              <w:t xml:space="preserve">-</w:t>
            </w:r>
            <w:r>
              <w:rPr>
                <w:sz w:val="20"/>
                <w:szCs w:val="20"/>
              </w:rPr>
            </w:r>
            <w:r>
              <w:rPr>
                <w:sz w:val="20"/>
                <w:szCs w:val="20"/>
              </w:rPr>
            </w:r>
          </w:p>
        </w:tc>
      </w:tr>
      <w:tr>
        <w:tblPrEx/>
        <w:trPr/>
        <w:tc>
          <w:tcPr>
            <w:shd w:val="clear" w:color="auto" w:fill="auto"/>
            <w:tcBorders>
              <w:left w:val="single" w:color="000000" w:sz="6" w:space="0"/>
              <w:right w:val="single" w:color="000000" w:sz="6" w:space="0"/>
            </w:tcBorders>
            <w:tcMar>
              <w:left w:w="149" w:type="dxa"/>
              <w:top w:w="0" w:type="dxa"/>
              <w:right w:w="149" w:type="dxa"/>
              <w:bottom w:w="0" w:type="dxa"/>
            </w:tcMar>
            <w:tcW w:w="336" w:type="pct"/>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1515" w:type="pct"/>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1284" w:type="pct"/>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427" w:type="pct"/>
            <w:textDirection w:val="lrTb"/>
            <w:noWrap w:val="false"/>
          </w:tcPr>
          <w:p>
            <w:pPr>
              <w:pStyle w:val="1304"/>
              <w:jc w:val="center"/>
              <w:spacing w:before="0" w:beforeAutospacing="0" w:after="0" w:afterAutospacing="0"/>
              <w:rPr>
                <w:sz w:val="20"/>
                <w:szCs w:val="20"/>
              </w:rPr>
            </w:pPr>
            <w:r>
              <w:rPr>
                <w:sz w:val="20"/>
                <w:szCs w:val="20"/>
              </w:rPr>
              <w:t xml:space="preserve">2022</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643" w:type="pct"/>
            <w:textDirection w:val="lrTb"/>
            <w:noWrap w:val="false"/>
          </w:tcPr>
          <w:p>
            <w:pPr>
              <w:pStyle w:val="1304"/>
              <w:jc w:val="center"/>
              <w:spacing w:before="0" w:beforeAutospacing="0" w:after="0" w:afterAutospacing="0"/>
              <w:rPr>
                <w:sz w:val="20"/>
                <w:szCs w:val="20"/>
              </w:rPr>
            </w:pPr>
            <w:r>
              <w:rPr>
                <w:sz w:val="20"/>
                <w:szCs w:val="20"/>
              </w:rPr>
              <w:t xml:space="preserve">-</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795" w:type="pct"/>
            <w:textDirection w:val="lrTb"/>
            <w:noWrap w:val="false"/>
          </w:tcPr>
          <w:p>
            <w:pPr>
              <w:pStyle w:val="1304"/>
              <w:jc w:val="center"/>
              <w:spacing w:before="0" w:beforeAutospacing="0" w:after="0" w:afterAutospacing="0"/>
              <w:rPr>
                <w:sz w:val="20"/>
                <w:szCs w:val="20"/>
              </w:rPr>
            </w:pPr>
            <w:r>
              <w:rPr>
                <w:sz w:val="20"/>
                <w:szCs w:val="20"/>
              </w:rPr>
              <w:t xml:space="preserve">-</w:t>
            </w:r>
            <w:r>
              <w:rPr>
                <w:sz w:val="20"/>
                <w:szCs w:val="20"/>
              </w:rPr>
            </w:r>
            <w:r>
              <w:rPr>
                <w:sz w:val="20"/>
                <w:szCs w:val="20"/>
              </w:rPr>
            </w:r>
          </w:p>
        </w:tc>
      </w:tr>
      <w:tr>
        <w:tblPrEx/>
        <w:trPr/>
        <w:tc>
          <w:tcPr>
            <w:shd w:val="clear" w:color="auto" w:fill="auto"/>
            <w:tcBorders>
              <w:left w:val="single" w:color="000000" w:sz="6" w:space="0"/>
              <w:right w:val="single" w:color="000000" w:sz="6" w:space="0"/>
            </w:tcBorders>
            <w:tcMar>
              <w:left w:w="149" w:type="dxa"/>
              <w:top w:w="0" w:type="dxa"/>
              <w:right w:w="149" w:type="dxa"/>
              <w:bottom w:w="0" w:type="dxa"/>
            </w:tcMar>
            <w:tcW w:w="336" w:type="pct"/>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1515" w:type="pct"/>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1284" w:type="pct"/>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427" w:type="pct"/>
            <w:textDirection w:val="lrTb"/>
            <w:noWrap w:val="false"/>
          </w:tcPr>
          <w:p>
            <w:pPr>
              <w:pStyle w:val="1304"/>
              <w:jc w:val="center"/>
              <w:spacing w:before="0" w:beforeAutospacing="0" w:after="0" w:afterAutospacing="0"/>
              <w:rPr>
                <w:sz w:val="20"/>
                <w:szCs w:val="20"/>
              </w:rPr>
            </w:pPr>
            <w:r>
              <w:rPr>
                <w:sz w:val="20"/>
                <w:szCs w:val="20"/>
              </w:rPr>
              <w:t xml:space="preserve">2023</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643" w:type="pct"/>
            <w:textDirection w:val="lrTb"/>
            <w:noWrap w:val="false"/>
          </w:tcPr>
          <w:p>
            <w:pPr>
              <w:pStyle w:val="1304"/>
              <w:jc w:val="center"/>
              <w:spacing w:before="0" w:beforeAutospacing="0" w:after="0" w:afterAutospacing="0"/>
              <w:rPr>
                <w:sz w:val="20"/>
                <w:szCs w:val="20"/>
              </w:rPr>
            </w:pPr>
            <w:r>
              <w:rPr>
                <w:sz w:val="20"/>
                <w:szCs w:val="20"/>
              </w:rPr>
              <w:t xml:space="preserve">-</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795" w:type="pct"/>
            <w:textDirection w:val="lrTb"/>
            <w:noWrap w:val="false"/>
          </w:tcPr>
          <w:p>
            <w:pPr>
              <w:pStyle w:val="1304"/>
              <w:jc w:val="center"/>
              <w:spacing w:before="0" w:beforeAutospacing="0" w:after="0" w:afterAutospacing="0"/>
              <w:rPr>
                <w:sz w:val="20"/>
                <w:szCs w:val="20"/>
              </w:rPr>
            </w:pPr>
            <w:r>
              <w:rPr>
                <w:sz w:val="20"/>
                <w:szCs w:val="20"/>
              </w:rPr>
              <w:t xml:space="preserve">-</w:t>
            </w:r>
            <w:r>
              <w:rPr>
                <w:sz w:val="20"/>
                <w:szCs w:val="20"/>
              </w:rPr>
            </w:r>
            <w:r>
              <w:rPr>
                <w:sz w:val="20"/>
                <w:szCs w:val="20"/>
              </w:rPr>
            </w:r>
          </w:p>
        </w:tc>
      </w:tr>
      <w:tr>
        <w:tblPrEx/>
        <w:trPr/>
        <w:tc>
          <w:tcPr>
            <w:shd w:val="clear" w:color="auto" w:fill="auto"/>
            <w:tcBorders>
              <w:left w:val="single" w:color="000000" w:sz="6" w:space="0"/>
              <w:right w:val="single" w:color="000000" w:sz="6" w:space="0"/>
            </w:tcBorders>
            <w:tcMar>
              <w:left w:w="149" w:type="dxa"/>
              <w:top w:w="0" w:type="dxa"/>
              <w:right w:w="149" w:type="dxa"/>
              <w:bottom w:w="0" w:type="dxa"/>
            </w:tcMar>
            <w:tcW w:w="336" w:type="pct"/>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1515" w:type="pct"/>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right w:val="single" w:color="000000" w:sz="6" w:space="0"/>
            </w:tcBorders>
            <w:tcMar>
              <w:left w:w="149" w:type="dxa"/>
              <w:top w:w="0" w:type="dxa"/>
              <w:right w:w="149" w:type="dxa"/>
              <w:bottom w:w="0" w:type="dxa"/>
            </w:tcMar>
            <w:tcW w:w="1284" w:type="pct"/>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427" w:type="pct"/>
            <w:textDirection w:val="lrTb"/>
            <w:noWrap w:val="false"/>
          </w:tcPr>
          <w:p>
            <w:pPr>
              <w:pStyle w:val="1304"/>
              <w:jc w:val="center"/>
              <w:spacing w:before="0" w:beforeAutospacing="0" w:after="0" w:afterAutospacing="0"/>
              <w:rPr>
                <w:sz w:val="20"/>
                <w:szCs w:val="20"/>
              </w:rPr>
            </w:pPr>
            <w:r>
              <w:rPr>
                <w:sz w:val="20"/>
                <w:szCs w:val="20"/>
              </w:rPr>
              <w:t xml:space="preserve">2024</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643" w:type="pct"/>
            <w:textDirection w:val="lrTb"/>
            <w:noWrap w:val="false"/>
          </w:tcPr>
          <w:p>
            <w:pPr>
              <w:pStyle w:val="1304"/>
              <w:jc w:val="center"/>
              <w:spacing w:before="0" w:beforeAutospacing="0" w:after="0" w:afterAutospacing="0"/>
              <w:rPr>
                <w:sz w:val="20"/>
                <w:szCs w:val="20"/>
              </w:rPr>
            </w:pPr>
            <w:r>
              <w:rPr>
                <w:sz w:val="20"/>
                <w:szCs w:val="20"/>
              </w:rPr>
              <w:t xml:space="preserve">-</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795" w:type="pct"/>
            <w:textDirection w:val="lrTb"/>
            <w:noWrap w:val="false"/>
          </w:tcPr>
          <w:p>
            <w:pPr>
              <w:pStyle w:val="1304"/>
              <w:jc w:val="center"/>
              <w:spacing w:before="0" w:beforeAutospacing="0" w:after="0" w:afterAutospacing="0"/>
              <w:rPr>
                <w:sz w:val="20"/>
                <w:szCs w:val="20"/>
              </w:rPr>
            </w:pPr>
            <w:r>
              <w:rPr>
                <w:sz w:val="20"/>
                <w:szCs w:val="20"/>
              </w:rPr>
              <w:t xml:space="preserve">-</w:t>
            </w:r>
            <w:r>
              <w:rPr>
                <w:sz w:val="20"/>
                <w:szCs w:val="20"/>
              </w:rPr>
            </w:r>
            <w:r>
              <w:rPr>
                <w:sz w:val="20"/>
                <w:szCs w:val="20"/>
              </w:rPr>
            </w:r>
          </w:p>
        </w:tc>
      </w:tr>
      <w:tr>
        <w:tblPrEx/>
        <w:trPr/>
        <w:tc>
          <w:tcPr>
            <w:shd w:val="clear" w:color="auto" w:fill="auto"/>
            <w:tcBorders>
              <w:left w:val="single" w:color="000000" w:sz="6" w:space="0"/>
              <w:bottom w:val="single" w:color="auto" w:sz="4" w:space="0"/>
              <w:right w:val="single" w:color="000000" w:sz="6" w:space="0"/>
            </w:tcBorders>
            <w:tcMar>
              <w:left w:w="149" w:type="dxa"/>
              <w:top w:w="0" w:type="dxa"/>
              <w:right w:w="149" w:type="dxa"/>
              <w:bottom w:w="0" w:type="dxa"/>
            </w:tcMar>
            <w:tcW w:w="336" w:type="pct"/>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bottom w:val="single" w:color="auto" w:sz="4" w:space="0"/>
              <w:right w:val="single" w:color="000000" w:sz="6" w:space="0"/>
            </w:tcBorders>
            <w:tcMar>
              <w:left w:w="149" w:type="dxa"/>
              <w:top w:w="0" w:type="dxa"/>
              <w:right w:w="149" w:type="dxa"/>
              <w:bottom w:w="0" w:type="dxa"/>
            </w:tcMar>
            <w:tcW w:w="1515" w:type="pct"/>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left w:val="single" w:color="000000" w:sz="6" w:space="0"/>
              <w:bottom w:val="single" w:color="auto" w:sz="4" w:space="0"/>
              <w:right w:val="single" w:color="000000" w:sz="6" w:space="0"/>
            </w:tcBorders>
            <w:tcMar>
              <w:left w:w="149" w:type="dxa"/>
              <w:top w:w="0" w:type="dxa"/>
              <w:right w:w="149" w:type="dxa"/>
              <w:bottom w:w="0" w:type="dxa"/>
            </w:tcMar>
            <w:tcW w:w="1284" w:type="pct"/>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427" w:type="pct"/>
            <w:textDirection w:val="lrTb"/>
            <w:noWrap w:val="false"/>
          </w:tcPr>
          <w:p>
            <w:pPr>
              <w:pStyle w:val="1304"/>
              <w:jc w:val="center"/>
              <w:spacing w:before="0" w:beforeAutospacing="0" w:after="0" w:afterAutospacing="0"/>
              <w:rPr>
                <w:sz w:val="20"/>
                <w:szCs w:val="20"/>
              </w:rPr>
            </w:pPr>
            <w:r>
              <w:rPr>
                <w:sz w:val="20"/>
                <w:szCs w:val="20"/>
              </w:rPr>
              <w:t xml:space="preserve">2025</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643" w:type="pct"/>
            <w:textDirection w:val="lrTb"/>
            <w:noWrap w:val="false"/>
          </w:tcPr>
          <w:p>
            <w:pPr>
              <w:pStyle w:val="1304"/>
              <w:jc w:val="center"/>
              <w:spacing w:before="0" w:beforeAutospacing="0" w:after="0" w:afterAutospacing="0"/>
              <w:rPr>
                <w:sz w:val="20"/>
                <w:szCs w:val="20"/>
              </w:rPr>
            </w:pPr>
            <w:r>
              <w:rPr>
                <w:sz w:val="20"/>
                <w:szCs w:val="20"/>
              </w:rPr>
              <w:t xml:space="preserve">-</w:t>
            </w:r>
            <w:r>
              <w:rPr>
                <w:sz w:val="20"/>
                <w:szCs w:val="20"/>
              </w:rPr>
            </w:r>
            <w:r>
              <w:rPr>
                <w:sz w:val="20"/>
                <w:szCs w:val="20"/>
              </w:rPr>
            </w:r>
          </w:p>
        </w:tc>
        <w:tc>
          <w:tcPr>
            <w:shd w:val="clear" w:color="auto" w:fill="auto"/>
            <w:tcBorders>
              <w:top w:val="single" w:color="000000" w:sz="6" w:space="0"/>
              <w:left w:val="single" w:color="000000" w:sz="6" w:space="0"/>
              <w:bottom w:val="single" w:color="000000" w:sz="6" w:space="0"/>
              <w:right w:val="single" w:color="000000" w:sz="6" w:space="0"/>
            </w:tcBorders>
            <w:tcMar>
              <w:left w:w="149" w:type="dxa"/>
              <w:top w:w="0" w:type="dxa"/>
              <w:right w:w="149" w:type="dxa"/>
              <w:bottom w:w="0" w:type="dxa"/>
            </w:tcMar>
            <w:tcW w:w="795" w:type="pct"/>
            <w:textDirection w:val="lrTb"/>
            <w:noWrap w:val="false"/>
          </w:tcPr>
          <w:p>
            <w:pPr>
              <w:pStyle w:val="1304"/>
              <w:jc w:val="center"/>
              <w:spacing w:before="0" w:beforeAutospacing="0" w:after="0" w:afterAutospacing="0"/>
              <w:rPr>
                <w:sz w:val="20"/>
                <w:szCs w:val="20"/>
              </w:rPr>
            </w:pPr>
            <w:r>
              <w:rPr>
                <w:sz w:val="20"/>
                <w:szCs w:val="20"/>
              </w:rPr>
              <w:t xml:space="preserve">-</w:t>
            </w:r>
            <w:r>
              <w:rPr>
                <w:sz w:val="20"/>
                <w:szCs w:val="20"/>
              </w:rPr>
            </w:r>
            <w:r>
              <w:rPr>
                <w:sz w:val="20"/>
                <w:szCs w:val="20"/>
              </w:rPr>
            </w:r>
          </w:p>
        </w:tc>
      </w:tr>
    </w:tbl>
    <w:p>
      <w:pPr>
        <w:rPr>
          <w:sz w:val="20"/>
          <w:szCs w:val="20"/>
        </w:rPr>
      </w:pPr>
      <w:r>
        <w:rPr>
          <w:sz w:val="20"/>
          <w:szCs w:val="20"/>
        </w:rPr>
        <w:t xml:space="preserve">Примечания:</w:t>
      </w:r>
      <w:r>
        <w:rPr>
          <w:sz w:val="20"/>
          <w:szCs w:val="20"/>
        </w:rPr>
      </w:r>
      <w:r>
        <w:rPr>
          <w:sz w:val="20"/>
          <w:szCs w:val="20"/>
        </w:rPr>
      </w:r>
    </w:p>
    <w:p>
      <w:pPr>
        <w:pStyle w:val="1304"/>
        <w:spacing w:before="0" w:beforeAutospacing="0" w:after="0" w:afterAutospacing="0"/>
        <w:shd w:val="clear" w:color="auto" w:fill="ffffff"/>
        <w:rPr>
          <w:sz w:val="20"/>
          <w:szCs w:val="20"/>
        </w:rPr>
      </w:pPr>
      <w:r>
        <w:rPr>
          <w:sz w:val="20"/>
          <w:szCs w:val="20"/>
        </w:rPr>
        <w:t xml:space="preserve">* Организация применяет упрощенную систему налогообложения и не является плательщиком НДС в соответствии со </w:t>
      </w:r>
      <w:hyperlink r:id="rId32" w:tooltip="https://docs.cntd.ru/document/901765862#BRK0PE" w:anchor="BRK0PE" w:history="1">
        <w:r>
          <w:rPr>
            <w:rStyle w:val="1267"/>
            <w:color w:val="auto"/>
            <w:sz w:val="20"/>
            <w:szCs w:val="20"/>
            <w:u w:val="none"/>
          </w:rPr>
          <w:t xml:space="preserve">ст. 346.11 главы 26.2 Налогового кодекса Российской Федерации</w:t>
        </w:r>
      </w:hyperlink>
      <w:r>
        <w:rPr>
          <w:sz w:val="20"/>
          <w:szCs w:val="20"/>
        </w:rPr>
        <w:t xml:space="preserve">.</w:t>
      </w:r>
      <w:r>
        <w:rPr>
          <w:sz w:val="20"/>
          <w:szCs w:val="20"/>
        </w:rPr>
        <w:br/>
        <w:t xml:space="preserve">** Выделяется в целях реализации </w:t>
      </w:r>
      <w:hyperlink r:id="rId33" w:tooltip="https://docs.cntd.ru/document/901765862#8Q00M5" w:anchor="8Q00M5" w:history="1">
        <w:r>
          <w:rPr>
            <w:rStyle w:val="1267"/>
            <w:color w:val="auto"/>
            <w:sz w:val="20"/>
            <w:szCs w:val="20"/>
            <w:u w:val="none"/>
          </w:rPr>
          <w:t xml:space="preserve">пункта 6 статьи 168 Налогового кодекса Российской Федерации (часть вторая)</w:t>
        </w:r>
      </w:hyperlink>
      <w:r>
        <w:rPr>
          <w:sz w:val="20"/>
          <w:szCs w:val="20"/>
        </w:rPr>
        <w:t xml:space="preserve">.</w:t>
      </w:r>
      <w:r>
        <w:rPr>
          <w:sz w:val="20"/>
          <w:szCs w:val="20"/>
        </w:rPr>
        <w:br/>
        <w:t xml:space="preserve">*** Тариф действует с 1 сентября 2021 года.</w:t>
      </w:r>
      <w:r>
        <w:rPr>
          <w:sz w:val="20"/>
          <w:szCs w:val="20"/>
        </w:rPr>
        <w:br/>
        <w:t xml:space="preserve">**** Тариф действует с 1 июля 2022 года по 30 ноября 2022 года.</w:t>
      </w:r>
      <w:r>
        <w:rPr>
          <w:sz w:val="20"/>
          <w:szCs w:val="20"/>
        </w:rPr>
        <w:br/>
        <w:t xml:space="preserve">***** Тариф действует с 1 декабря 2022 года.</w:t>
      </w:r>
      <w:r>
        <w:rPr>
          <w:sz w:val="20"/>
          <w:szCs w:val="20"/>
        </w:rPr>
      </w:r>
      <w:r>
        <w:rPr>
          <w:sz w:val="20"/>
          <w:szCs w:val="20"/>
        </w:rPr>
      </w:r>
    </w:p>
    <w:p>
      <w:pPr>
        <w:ind w:left="142" w:right="129"/>
        <w:jc w:val="center"/>
        <w:rPr>
          <w:sz w:val="24"/>
          <w:szCs w:val="24"/>
        </w:rPr>
      </w:pPr>
      <w:r>
        <w:rPr>
          <w:sz w:val="24"/>
          <w:szCs w:val="24"/>
        </w:rPr>
      </w:r>
      <w:r>
        <w:rPr>
          <w:sz w:val="24"/>
          <w:szCs w:val="24"/>
        </w:rPr>
      </w:r>
      <w:r>
        <w:rPr>
          <w:sz w:val="24"/>
          <w:szCs w:val="24"/>
        </w:rPr>
      </w:r>
    </w:p>
    <w:p>
      <w:pPr>
        <w:pStyle w:val="1248"/>
        <w:ind w:right="148" w:firstLine="733"/>
        <w:spacing w:before="141"/>
      </w:pPr>
      <w:r>
        <w:rPr>
          <w:lang w:eastAsia="ru-RU"/>
        </w:rPr>
        <w:t xml:space="preserve">1.11.2 </w:t>
      </w:r>
      <w:r>
        <w:t xml:space="preserve">Описание структуры цен (тарифов), установленных на момент разработки схемы теплоснабжения</w:t>
      </w:r>
      <w:bookmarkEnd w:id="282"/>
      <w:r/>
      <w:bookmarkEnd w:id="283"/>
      <w:r/>
      <w:r/>
    </w:p>
    <w:p>
      <w:pPr>
        <w:pStyle w:val="1247"/>
        <w:ind w:left="118" w:right="150" w:firstLine="707"/>
        <w:jc w:val="both"/>
        <w:spacing w:before="115"/>
      </w:pPr>
      <w:r>
        <w:t xml:space="preserve">Регулирование тарифов (цен) осно</w:t>
      </w:r>
      <w:r>
        <w:t xml:space="preserve">вывается на принципе обязательности раздельного учёта организациями, осуществляющими регулируемую деятельность, объёмов продукции (услуг), доходов и расходов по производству, передаче и сбыту энергии в соответствии с законодательством Российской Федерации.</w:t>
      </w:r>
      <w:r/>
    </w:p>
    <w:p>
      <w:pPr>
        <w:pStyle w:val="1247"/>
        <w:ind w:left="118" w:right="155" w:firstLine="707"/>
        <w:jc w:val="both"/>
      </w:pPr>
      <w:r>
        <w:t xml:space="preserve">Расходы, связанные с производством и реализацией продукции (услуг) по регулируемым видам деятельности, включают следующие группы расходов:</w:t>
      </w:r>
      <w:r/>
    </w:p>
    <w:p>
      <w:pPr>
        <w:pStyle w:val="1250"/>
        <w:numPr>
          <w:ilvl w:val="0"/>
          <w:numId w:val="9"/>
        </w:numPr>
        <w:ind w:left="966"/>
        <w:tabs>
          <w:tab w:val="left" w:pos="966" w:leader="none"/>
        </w:tabs>
        <w:rPr>
          <w:sz w:val="24"/>
        </w:rPr>
      </w:pPr>
      <w:r>
        <w:rPr>
          <w:sz w:val="24"/>
        </w:rPr>
        <w:t xml:space="preserve">на</w:t>
      </w:r>
      <w:r>
        <w:rPr>
          <w:spacing w:val="-4"/>
          <w:sz w:val="24"/>
        </w:rPr>
        <w:t xml:space="preserve"> </w:t>
      </w:r>
      <w:r>
        <w:rPr>
          <w:spacing w:val="-2"/>
          <w:sz w:val="24"/>
        </w:rPr>
        <w:t xml:space="preserve">топливо;</w:t>
      </w:r>
      <w:r>
        <w:rPr>
          <w:sz w:val="24"/>
        </w:rPr>
      </w:r>
      <w:r>
        <w:rPr>
          <w:sz w:val="24"/>
        </w:rPr>
      </w:r>
    </w:p>
    <w:p>
      <w:pPr>
        <w:pStyle w:val="1250"/>
        <w:numPr>
          <w:ilvl w:val="0"/>
          <w:numId w:val="9"/>
        </w:numPr>
        <w:ind w:left="966"/>
        <w:tabs>
          <w:tab w:val="left" w:pos="966" w:leader="none"/>
        </w:tabs>
        <w:rPr>
          <w:sz w:val="24"/>
        </w:rPr>
      </w:pPr>
      <w:r>
        <w:rPr>
          <w:sz w:val="24"/>
        </w:rPr>
        <w:t xml:space="preserve">на</w:t>
      </w:r>
      <w:r>
        <w:rPr>
          <w:spacing w:val="-14"/>
          <w:sz w:val="24"/>
        </w:rPr>
        <w:t xml:space="preserve"> </w:t>
      </w:r>
      <w:r>
        <w:rPr>
          <w:sz w:val="24"/>
        </w:rPr>
        <w:t xml:space="preserve">покупаемую</w:t>
      </w:r>
      <w:r>
        <w:rPr>
          <w:spacing w:val="-13"/>
          <w:sz w:val="24"/>
        </w:rPr>
        <w:t xml:space="preserve"> </w:t>
      </w:r>
      <w:r>
        <w:rPr>
          <w:sz w:val="24"/>
        </w:rPr>
        <w:t xml:space="preserve">электрическую</w:t>
      </w:r>
      <w:r>
        <w:rPr>
          <w:spacing w:val="-13"/>
          <w:sz w:val="24"/>
        </w:rPr>
        <w:t xml:space="preserve"> </w:t>
      </w:r>
      <w:r>
        <w:rPr>
          <w:sz w:val="24"/>
        </w:rPr>
        <w:t xml:space="preserve">и</w:t>
      </w:r>
      <w:r>
        <w:rPr>
          <w:spacing w:val="-13"/>
          <w:sz w:val="24"/>
        </w:rPr>
        <w:t xml:space="preserve"> </w:t>
      </w:r>
      <w:r>
        <w:rPr>
          <w:sz w:val="24"/>
        </w:rPr>
        <w:t xml:space="preserve">тепловую</w:t>
      </w:r>
      <w:r>
        <w:rPr>
          <w:spacing w:val="-12"/>
          <w:sz w:val="24"/>
        </w:rPr>
        <w:t xml:space="preserve"> </w:t>
      </w:r>
      <w:r>
        <w:rPr>
          <w:spacing w:val="-2"/>
          <w:sz w:val="24"/>
        </w:rPr>
        <w:t xml:space="preserve">энергию;</w:t>
      </w:r>
      <w:r>
        <w:rPr>
          <w:sz w:val="24"/>
        </w:rPr>
      </w:r>
      <w:r>
        <w:rPr>
          <w:sz w:val="24"/>
        </w:rPr>
      </w:r>
    </w:p>
    <w:p>
      <w:pPr>
        <w:pStyle w:val="1250"/>
        <w:numPr>
          <w:ilvl w:val="0"/>
          <w:numId w:val="9"/>
        </w:numPr>
        <w:ind w:right="157" w:firstLine="707"/>
        <w:tabs>
          <w:tab w:val="left" w:pos="1029" w:leader="none"/>
        </w:tabs>
        <w:rPr>
          <w:sz w:val="24"/>
        </w:rPr>
      </w:pPr>
      <w:r>
        <w:rPr>
          <w:sz w:val="24"/>
        </w:rPr>
        <w:t xml:space="preserve">на оплату услуг, оказываемых организациями, осуществляющими регулируемую </w:t>
      </w:r>
      <w:r>
        <w:rPr>
          <w:spacing w:val="-2"/>
          <w:sz w:val="24"/>
        </w:rPr>
        <w:t xml:space="preserve">деятельность;</w:t>
      </w:r>
      <w:r>
        <w:rPr>
          <w:sz w:val="24"/>
        </w:rPr>
      </w:r>
      <w:r>
        <w:rPr>
          <w:sz w:val="24"/>
        </w:rPr>
      </w:r>
    </w:p>
    <w:p>
      <w:pPr>
        <w:pStyle w:val="1250"/>
        <w:numPr>
          <w:ilvl w:val="0"/>
          <w:numId w:val="9"/>
        </w:numPr>
        <w:ind w:left="966"/>
        <w:jc w:val="left"/>
        <w:tabs>
          <w:tab w:val="left" w:pos="966" w:leader="none"/>
        </w:tabs>
        <w:rPr>
          <w:sz w:val="24"/>
        </w:rPr>
      </w:pPr>
      <w:r>
        <w:rPr>
          <w:sz w:val="24"/>
        </w:rPr>
        <w:t xml:space="preserve">на</w:t>
      </w:r>
      <w:r>
        <w:rPr>
          <w:spacing w:val="-6"/>
          <w:sz w:val="24"/>
        </w:rPr>
        <w:t xml:space="preserve"> </w:t>
      </w:r>
      <w:r>
        <w:rPr>
          <w:sz w:val="24"/>
        </w:rPr>
        <w:t xml:space="preserve">сырье</w:t>
      </w:r>
      <w:r>
        <w:rPr>
          <w:spacing w:val="-4"/>
          <w:sz w:val="24"/>
        </w:rPr>
        <w:t xml:space="preserve"> </w:t>
      </w:r>
      <w:r>
        <w:rPr>
          <w:sz w:val="24"/>
        </w:rPr>
        <w:t xml:space="preserve">и</w:t>
      </w:r>
      <w:r>
        <w:rPr>
          <w:spacing w:val="-4"/>
          <w:sz w:val="24"/>
        </w:rPr>
        <w:t xml:space="preserve"> </w:t>
      </w:r>
      <w:r>
        <w:rPr>
          <w:spacing w:val="-2"/>
          <w:sz w:val="24"/>
        </w:rPr>
        <w:t xml:space="preserve">материалы;</w:t>
      </w:r>
      <w:r>
        <w:rPr>
          <w:sz w:val="24"/>
        </w:rPr>
      </w:r>
      <w:r>
        <w:rPr>
          <w:sz w:val="24"/>
        </w:rPr>
      </w:r>
    </w:p>
    <w:p>
      <w:pPr>
        <w:pStyle w:val="1250"/>
        <w:numPr>
          <w:ilvl w:val="0"/>
          <w:numId w:val="9"/>
        </w:numPr>
        <w:ind w:left="966"/>
        <w:jc w:val="left"/>
        <w:tabs>
          <w:tab w:val="left" w:pos="966" w:leader="none"/>
        </w:tabs>
        <w:rPr>
          <w:sz w:val="24"/>
        </w:rPr>
      </w:pPr>
      <w:r>
        <w:rPr>
          <w:sz w:val="24"/>
        </w:rPr>
        <w:t xml:space="preserve">на</w:t>
      </w:r>
      <w:r>
        <w:rPr>
          <w:spacing w:val="-9"/>
          <w:sz w:val="24"/>
        </w:rPr>
        <w:t xml:space="preserve"> </w:t>
      </w:r>
      <w:r>
        <w:rPr>
          <w:sz w:val="24"/>
        </w:rPr>
        <w:t xml:space="preserve">ремонт</w:t>
      </w:r>
      <w:r>
        <w:rPr>
          <w:spacing w:val="-8"/>
          <w:sz w:val="24"/>
        </w:rPr>
        <w:t xml:space="preserve"> </w:t>
      </w:r>
      <w:r>
        <w:rPr>
          <w:sz w:val="24"/>
        </w:rPr>
        <w:t xml:space="preserve">основных</w:t>
      </w:r>
      <w:r>
        <w:rPr>
          <w:spacing w:val="-7"/>
          <w:sz w:val="24"/>
        </w:rPr>
        <w:t xml:space="preserve"> </w:t>
      </w:r>
      <w:r>
        <w:rPr>
          <w:spacing w:val="-2"/>
          <w:sz w:val="24"/>
        </w:rPr>
        <w:t xml:space="preserve">средств;</w:t>
      </w:r>
      <w:r>
        <w:rPr>
          <w:sz w:val="24"/>
        </w:rPr>
      </w:r>
      <w:r>
        <w:rPr>
          <w:sz w:val="24"/>
        </w:rPr>
      </w:r>
    </w:p>
    <w:p>
      <w:pPr>
        <w:pStyle w:val="1250"/>
        <w:numPr>
          <w:ilvl w:val="0"/>
          <w:numId w:val="9"/>
        </w:numPr>
        <w:ind w:left="966"/>
        <w:jc w:val="left"/>
        <w:tabs>
          <w:tab w:val="left" w:pos="966" w:leader="none"/>
        </w:tabs>
        <w:rPr>
          <w:sz w:val="24"/>
        </w:rPr>
      </w:pPr>
      <w:r>
        <w:rPr>
          <w:sz w:val="24"/>
        </w:rPr>
        <w:t xml:space="preserve">на</w:t>
      </w:r>
      <w:r>
        <w:rPr>
          <w:spacing w:val="-9"/>
          <w:sz w:val="24"/>
        </w:rPr>
        <w:t xml:space="preserve"> </w:t>
      </w:r>
      <w:r>
        <w:rPr>
          <w:sz w:val="24"/>
        </w:rPr>
        <w:t xml:space="preserve">оплату</w:t>
      </w:r>
      <w:r>
        <w:rPr>
          <w:spacing w:val="-12"/>
          <w:sz w:val="24"/>
        </w:rPr>
        <w:t xml:space="preserve"> </w:t>
      </w:r>
      <w:r>
        <w:rPr>
          <w:sz w:val="24"/>
        </w:rPr>
        <w:t xml:space="preserve">труда</w:t>
      </w:r>
      <w:r>
        <w:rPr>
          <w:spacing w:val="-9"/>
          <w:sz w:val="24"/>
        </w:rPr>
        <w:t xml:space="preserve"> </w:t>
      </w:r>
      <w:r>
        <w:rPr>
          <w:sz w:val="24"/>
        </w:rPr>
        <w:t xml:space="preserve">и</w:t>
      </w:r>
      <w:r>
        <w:rPr>
          <w:spacing w:val="-8"/>
          <w:sz w:val="24"/>
        </w:rPr>
        <w:t xml:space="preserve"> </w:t>
      </w:r>
      <w:r>
        <w:rPr>
          <w:sz w:val="24"/>
        </w:rPr>
        <w:t xml:space="preserve">отчисления</w:t>
      </w:r>
      <w:r>
        <w:rPr>
          <w:spacing w:val="-8"/>
          <w:sz w:val="24"/>
        </w:rPr>
        <w:t xml:space="preserve"> </w:t>
      </w:r>
      <w:r>
        <w:rPr>
          <w:sz w:val="24"/>
        </w:rPr>
        <w:t xml:space="preserve">на</w:t>
      </w:r>
      <w:r>
        <w:rPr>
          <w:spacing w:val="-9"/>
          <w:sz w:val="24"/>
        </w:rPr>
        <w:t xml:space="preserve"> </w:t>
      </w:r>
      <w:r>
        <w:rPr>
          <w:sz w:val="24"/>
        </w:rPr>
        <w:t xml:space="preserve">социальные</w:t>
      </w:r>
      <w:r>
        <w:rPr>
          <w:spacing w:val="-9"/>
          <w:sz w:val="24"/>
        </w:rPr>
        <w:t xml:space="preserve"> </w:t>
      </w:r>
      <w:r>
        <w:rPr>
          <w:spacing w:val="-2"/>
          <w:sz w:val="24"/>
        </w:rPr>
        <w:t xml:space="preserve">нужды;</w:t>
      </w:r>
      <w:r>
        <w:rPr>
          <w:sz w:val="24"/>
        </w:rPr>
      </w:r>
      <w:r>
        <w:rPr>
          <w:sz w:val="24"/>
        </w:rPr>
      </w:r>
    </w:p>
    <w:p>
      <w:pPr>
        <w:pStyle w:val="1250"/>
        <w:numPr>
          <w:ilvl w:val="0"/>
          <w:numId w:val="9"/>
        </w:numPr>
        <w:ind w:left="970" w:hanging="142"/>
        <w:jc w:val="left"/>
        <w:tabs>
          <w:tab w:val="left" w:pos="966" w:leader="none"/>
        </w:tabs>
        <w:rPr>
          <w:sz w:val="24"/>
        </w:rPr>
      </w:pPr>
      <w:r>
        <w:rPr>
          <w:sz w:val="24"/>
        </w:rPr>
        <w:t xml:space="preserve">на</w:t>
      </w:r>
      <w:r>
        <w:rPr>
          <w:spacing w:val="-13"/>
          <w:sz w:val="24"/>
        </w:rPr>
        <w:t xml:space="preserve"> </w:t>
      </w:r>
      <w:r>
        <w:rPr>
          <w:sz w:val="24"/>
        </w:rPr>
        <w:t xml:space="preserve">амортизацию</w:t>
      </w:r>
      <w:r>
        <w:rPr>
          <w:spacing w:val="-12"/>
          <w:sz w:val="24"/>
        </w:rPr>
        <w:t xml:space="preserve"> </w:t>
      </w:r>
      <w:r>
        <w:rPr>
          <w:sz w:val="24"/>
        </w:rPr>
        <w:t xml:space="preserve">основных</w:t>
      </w:r>
      <w:r>
        <w:rPr>
          <w:spacing w:val="-11"/>
          <w:sz w:val="24"/>
        </w:rPr>
        <w:t xml:space="preserve"> </w:t>
      </w:r>
      <w:r>
        <w:rPr>
          <w:sz w:val="24"/>
        </w:rPr>
        <w:t xml:space="preserve">средств</w:t>
      </w:r>
      <w:r>
        <w:rPr>
          <w:spacing w:val="-11"/>
          <w:sz w:val="24"/>
        </w:rPr>
        <w:t xml:space="preserve"> </w:t>
      </w:r>
      <w:r>
        <w:rPr>
          <w:sz w:val="24"/>
        </w:rPr>
        <w:t xml:space="preserve">и</w:t>
      </w:r>
      <w:r>
        <w:rPr>
          <w:spacing w:val="-11"/>
          <w:sz w:val="24"/>
        </w:rPr>
        <w:t xml:space="preserve"> </w:t>
      </w:r>
      <w:r>
        <w:rPr>
          <w:sz w:val="24"/>
        </w:rPr>
        <w:t xml:space="preserve">нематериальных</w:t>
      </w:r>
      <w:r>
        <w:rPr>
          <w:spacing w:val="-11"/>
          <w:sz w:val="24"/>
        </w:rPr>
        <w:t xml:space="preserve"> </w:t>
      </w:r>
      <w:r>
        <w:rPr>
          <w:spacing w:val="-2"/>
          <w:sz w:val="24"/>
        </w:rPr>
        <w:t xml:space="preserve">активов;</w:t>
      </w:r>
      <w:r>
        <w:rPr>
          <w:sz w:val="24"/>
        </w:rPr>
      </w:r>
      <w:r>
        <w:rPr>
          <w:sz w:val="24"/>
        </w:rPr>
      </w:r>
    </w:p>
    <w:p>
      <w:pPr>
        <w:pStyle w:val="1250"/>
        <w:numPr>
          <w:ilvl w:val="0"/>
          <w:numId w:val="9"/>
        </w:numPr>
        <w:ind w:left="970" w:hanging="142"/>
        <w:jc w:val="left"/>
        <w:tabs>
          <w:tab w:val="left" w:pos="966" w:leader="none"/>
        </w:tabs>
        <w:rPr>
          <w:sz w:val="24"/>
        </w:rPr>
      </w:pPr>
      <w:r>
        <w:rPr>
          <w:sz w:val="24"/>
        </w:rPr>
        <w:t xml:space="preserve">прочие</w:t>
      </w:r>
      <w:r>
        <w:rPr>
          <w:spacing w:val="-10"/>
          <w:sz w:val="24"/>
        </w:rPr>
        <w:t xml:space="preserve"> </w:t>
      </w:r>
      <w:r>
        <w:rPr>
          <w:spacing w:val="-2"/>
          <w:sz w:val="24"/>
        </w:rPr>
        <w:t xml:space="preserve">расходы.</w:t>
      </w:r>
      <w:r>
        <w:rPr>
          <w:sz w:val="24"/>
        </w:rPr>
      </w:r>
      <w:r>
        <w:rPr>
          <w:sz w:val="24"/>
        </w:rPr>
      </w:r>
    </w:p>
    <w:p>
      <w:pPr>
        <w:pStyle w:val="1247"/>
        <w:spacing w:before="1"/>
        <w:rPr>
          <w:sz w:val="20"/>
          <w:szCs w:val="20"/>
        </w:rPr>
      </w:pPr>
      <w:r>
        <w:rPr>
          <w:sz w:val="20"/>
          <w:szCs w:val="20"/>
        </w:rPr>
      </w:r>
      <w:r>
        <w:rPr>
          <w:sz w:val="20"/>
          <w:szCs w:val="20"/>
        </w:rPr>
      </w:r>
      <w:r>
        <w:rPr>
          <w:sz w:val="20"/>
          <w:szCs w:val="20"/>
        </w:rPr>
      </w:r>
    </w:p>
    <w:p>
      <w:pPr>
        <w:pStyle w:val="1248"/>
        <w:ind w:left="1493" w:hanging="642"/>
      </w:pPr>
      <w:r/>
      <w:bookmarkStart w:id="284" w:name="_bookmark164"/>
      <w:r/>
      <w:bookmarkStart w:id="285" w:name="_Toc130231956"/>
      <w:r/>
      <w:bookmarkStart w:id="286" w:name="_Toc165540736"/>
      <w:r/>
      <w:bookmarkEnd w:id="284"/>
      <w:r>
        <w:rPr>
          <w:lang w:eastAsia="ru-RU"/>
        </w:rPr>
        <w:t xml:space="preserve">1.11.3 </w:t>
      </w:r>
      <w:r>
        <w:t xml:space="preserve">Описание</w:t>
      </w:r>
      <w:r>
        <w:rPr>
          <w:spacing w:val="-6"/>
        </w:rPr>
        <w:t xml:space="preserve"> </w:t>
      </w:r>
      <w:r>
        <w:t xml:space="preserve">платы</w:t>
      </w:r>
      <w:r>
        <w:rPr>
          <w:spacing w:val="-2"/>
        </w:rPr>
        <w:t xml:space="preserve"> </w:t>
      </w:r>
      <w:r>
        <w:t xml:space="preserve">за</w:t>
      </w:r>
      <w:r>
        <w:rPr>
          <w:spacing w:val="-2"/>
        </w:rPr>
        <w:t xml:space="preserve"> </w:t>
      </w:r>
      <w:r>
        <w:t xml:space="preserve">подключение</w:t>
      </w:r>
      <w:r>
        <w:rPr>
          <w:spacing w:val="-3"/>
        </w:rPr>
        <w:t xml:space="preserve"> </w:t>
      </w:r>
      <w:r>
        <w:t xml:space="preserve">к</w:t>
      </w:r>
      <w:r>
        <w:rPr>
          <w:spacing w:val="-2"/>
        </w:rPr>
        <w:t xml:space="preserve"> </w:t>
      </w:r>
      <w:r>
        <w:t xml:space="preserve">системе</w:t>
      </w:r>
      <w:r>
        <w:rPr>
          <w:spacing w:val="-4"/>
        </w:rPr>
        <w:t xml:space="preserve"> </w:t>
      </w:r>
      <w:r>
        <w:rPr>
          <w:spacing w:val="-2"/>
        </w:rPr>
        <w:t xml:space="preserve">теплоснабжения</w:t>
      </w:r>
      <w:bookmarkEnd w:id="285"/>
      <w:r/>
      <w:bookmarkEnd w:id="286"/>
      <w:r/>
      <w:r/>
    </w:p>
    <w:p>
      <w:pPr>
        <w:pStyle w:val="1247"/>
        <w:ind w:left="119" w:right="142" w:firstLine="709"/>
        <w:jc w:val="both"/>
        <w:spacing w:before="115"/>
      </w:pPr>
      <w:r>
        <w:t xml:space="preserve">Для теплоснабжающих организаций в границах </w:t>
      </w:r>
      <w:r>
        <w:t xml:space="preserve">Юргамышского </w:t>
      </w:r>
      <w:r>
        <w:t xml:space="preserve">муниципального округа </w:t>
      </w:r>
      <w:r>
        <w:t xml:space="preserve">плата за подключение к</w:t>
      </w:r>
      <w:r>
        <w:t xml:space="preserve"> системам теплоснабжения на 2024-2025</w:t>
      </w:r>
      <w:r>
        <w:t xml:space="preserve"> гг. не утверждена.</w:t>
      </w:r>
      <w:r/>
    </w:p>
    <w:p>
      <w:pPr>
        <w:pStyle w:val="1247"/>
        <w:rPr>
          <w:sz w:val="20"/>
          <w:szCs w:val="20"/>
        </w:rPr>
      </w:pPr>
      <w:r>
        <w:rPr>
          <w:sz w:val="20"/>
          <w:szCs w:val="20"/>
        </w:rPr>
      </w:r>
      <w:r>
        <w:rPr>
          <w:sz w:val="20"/>
          <w:szCs w:val="20"/>
        </w:rPr>
      </w:r>
      <w:r>
        <w:rPr>
          <w:sz w:val="20"/>
          <w:szCs w:val="20"/>
        </w:rPr>
      </w:r>
    </w:p>
    <w:p>
      <w:pPr>
        <w:pStyle w:val="1248"/>
        <w:ind w:right="154" w:firstLine="733"/>
      </w:pPr>
      <w:r/>
      <w:bookmarkStart w:id="287" w:name="_bookmark165"/>
      <w:r/>
      <w:bookmarkStart w:id="288" w:name="_Toc130231957"/>
      <w:r/>
      <w:bookmarkStart w:id="289" w:name="_Toc165540737"/>
      <w:r/>
      <w:bookmarkEnd w:id="287"/>
      <w:r>
        <w:rPr>
          <w:lang w:eastAsia="ru-RU"/>
        </w:rPr>
        <w:t xml:space="preserve">1.11.4 </w:t>
      </w:r>
      <w:r>
        <w:t xml:space="preserve">Описание</w:t>
      </w:r>
      <w:r>
        <w:rPr>
          <w:spacing w:val="-2"/>
        </w:rPr>
        <w:t xml:space="preserve"> </w:t>
      </w:r>
      <w:r>
        <w:t xml:space="preserve">платы</w:t>
      </w:r>
      <w:r>
        <w:rPr>
          <w:spacing w:val="-1"/>
        </w:rPr>
        <w:t xml:space="preserve"> </w:t>
      </w:r>
      <w:r>
        <w:t xml:space="preserve">за</w:t>
      </w:r>
      <w:r>
        <w:rPr>
          <w:spacing w:val="-1"/>
        </w:rPr>
        <w:t xml:space="preserve"> </w:t>
      </w:r>
      <w:r>
        <w:t xml:space="preserve">услуги по</w:t>
      </w:r>
      <w:r>
        <w:rPr>
          <w:spacing w:val="-1"/>
        </w:rPr>
        <w:t xml:space="preserve"> </w:t>
      </w:r>
      <w:r>
        <w:t xml:space="preserve">поддержанию</w:t>
      </w:r>
      <w:r>
        <w:rPr>
          <w:spacing w:val="-2"/>
        </w:rPr>
        <w:t xml:space="preserve"> </w:t>
      </w:r>
      <w:r>
        <w:t xml:space="preserve">резервной тепловой мощности, в том числе для социально значимых категорий потребителей</w:t>
      </w:r>
      <w:bookmarkEnd w:id="288"/>
      <w:r/>
      <w:bookmarkEnd w:id="289"/>
      <w:r/>
      <w:r/>
    </w:p>
    <w:p>
      <w:pPr>
        <w:pStyle w:val="1247"/>
        <w:ind w:left="119" w:right="147" w:firstLine="709"/>
        <w:jc w:val="both"/>
        <w:spacing w:before="115"/>
      </w:pPr>
      <w:r>
        <w:t xml:space="preserve">Плата за услуги по подд</w:t>
      </w:r>
      <w:r>
        <w:t xml:space="preserve">ержанию резервной тепловой мощности подлежит регулированию для отдельных категорий социально значимых потребителей, определенных в Правилах организации теплоснабжения в Российской Федерации, утвержденных Постановлением Правительства РФ от 08.08.2012 № 808.</w:t>
      </w:r>
      <w:r/>
    </w:p>
    <w:p>
      <w:pPr>
        <w:pStyle w:val="1247"/>
        <w:ind w:left="119" w:right="147" w:firstLine="709"/>
        <w:jc w:val="both"/>
      </w:pPr>
      <w:r>
        <w:t xml:space="preserve">На момент актуализации схемы теплоснабжения плата за услуги по поддержанию резервной тепловой мощности для отдельных категорий социально значимых потребителей не установлена.</w:t>
      </w:r>
      <w:r/>
    </w:p>
    <w:p>
      <w:pPr>
        <w:pStyle w:val="1247"/>
        <w:tabs>
          <w:tab w:val="left" w:pos="1500" w:leader="none"/>
        </w:tabs>
        <w:rPr>
          <w:sz w:val="20"/>
          <w:szCs w:val="20"/>
        </w:rPr>
      </w:pPr>
      <w:r>
        <w:rPr>
          <w:sz w:val="27"/>
        </w:rPr>
        <w:tab/>
      </w:r>
      <w:r>
        <w:rPr>
          <w:sz w:val="20"/>
          <w:szCs w:val="20"/>
        </w:rPr>
      </w:r>
      <w:r>
        <w:rPr>
          <w:sz w:val="20"/>
          <w:szCs w:val="20"/>
        </w:rPr>
      </w:r>
    </w:p>
    <w:p>
      <w:pPr>
        <w:pStyle w:val="1248"/>
        <w:ind w:right="146" w:firstLine="733"/>
      </w:pPr>
      <w:r/>
      <w:bookmarkStart w:id="290" w:name="_bookmark166"/>
      <w:r/>
      <w:bookmarkStart w:id="291" w:name="_Toc130231958"/>
      <w:r/>
      <w:bookmarkStart w:id="292" w:name="_Toc165540738"/>
      <w:r/>
      <w:bookmarkEnd w:id="290"/>
      <w:r>
        <w:rPr>
          <w:lang w:eastAsia="ru-RU"/>
        </w:rPr>
        <w:t xml:space="preserve">1.11.5 </w:t>
      </w:r>
      <w:r>
        <w:t xml:space="preserve">Описание динамики предельных уровней цен на тепловую энергию (мощность), поставляемую потребителям, утверждаемых в ценовых зонах теплоснабжения с учётом последних 3 лет</w:t>
      </w:r>
      <w:bookmarkEnd w:id="291"/>
      <w:r/>
      <w:bookmarkEnd w:id="292"/>
      <w:r/>
      <w:r/>
    </w:p>
    <w:p>
      <w:pPr>
        <w:ind w:left="142" w:right="129" w:firstLine="709"/>
        <w:jc w:val="both"/>
        <w:spacing w:before="218"/>
        <w:rPr>
          <w:sz w:val="24"/>
          <w:szCs w:val="24"/>
        </w:rPr>
      </w:pPr>
      <w:r/>
      <w:bookmarkStart w:id="293" w:name="_bookmark167"/>
      <w:r/>
      <w:bookmarkEnd w:id="293"/>
      <w:r>
        <w:rPr>
          <w:sz w:val="24"/>
          <w:szCs w:val="24"/>
        </w:rPr>
        <w:t xml:space="preserve">Данные отражены в</w:t>
      </w:r>
      <w:r>
        <w:rPr>
          <w:sz w:val="24"/>
          <w:szCs w:val="24"/>
        </w:rPr>
        <w:t xml:space="preserve"> таблицах пункта 1.11.1.1.</w:t>
      </w:r>
      <w:r>
        <w:rPr>
          <w:sz w:val="24"/>
          <w:szCs w:val="24"/>
        </w:rPr>
      </w:r>
      <w:r>
        <w:rPr>
          <w:sz w:val="24"/>
          <w:szCs w:val="24"/>
        </w:rPr>
      </w:r>
    </w:p>
    <w:p>
      <w:pPr>
        <w:ind w:left="142" w:right="130" w:firstLine="709"/>
        <w:jc w:val="both"/>
        <w:rPr>
          <w:b/>
          <w:sz w:val="24"/>
          <w:szCs w:val="24"/>
        </w:rPr>
      </w:pPr>
      <w:r>
        <w:rPr>
          <w:b/>
          <w:sz w:val="24"/>
          <w:szCs w:val="24"/>
        </w:rPr>
      </w:r>
      <w:r>
        <w:rPr>
          <w:b/>
          <w:sz w:val="24"/>
          <w:szCs w:val="24"/>
        </w:rPr>
      </w:r>
      <w:r>
        <w:rPr>
          <w:b/>
          <w:sz w:val="24"/>
          <w:szCs w:val="24"/>
        </w:rPr>
      </w:r>
    </w:p>
    <w:p>
      <w:pPr>
        <w:pStyle w:val="1248"/>
        <w:ind w:right="153" w:firstLine="733"/>
        <w:spacing w:before="165"/>
      </w:pPr>
      <w:r/>
      <w:bookmarkStart w:id="294" w:name="_bookmark168"/>
      <w:r/>
      <w:bookmarkStart w:id="295" w:name="_Toc130231959"/>
      <w:r/>
      <w:bookmarkStart w:id="296" w:name="_Toc165540739"/>
      <w:r/>
      <w:bookmarkEnd w:id="294"/>
      <w:r>
        <w:rPr>
          <w:lang w:eastAsia="ru-RU"/>
        </w:rPr>
        <w:t xml:space="preserve">1.11.6 </w:t>
      </w:r>
      <w:r>
        <w:t xml:space="preserve">Описание</w:t>
      </w:r>
      <w:r>
        <w:rPr>
          <w:spacing w:val="-3"/>
        </w:rPr>
        <w:t xml:space="preserve"> </w:t>
      </w:r>
      <w:r>
        <w:t xml:space="preserve">средневзвешенного уровня</w:t>
      </w:r>
      <w:r>
        <w:rPr>
          <w:spacing w:val="-3"/>
        </w:rPr>
        <w:t xml:space="preserve"> </w:t>
      </w:r>
      <w:r>
        <w:t xml:space="preserve">сложившихся за</w:t>
      </w:r>
      <w:r>
        <w:rPr>
          <w:spacing w:val="-3"/>
        </w:rPr>
        <w:t xml:space="preserve"> </w:t>
      </w:r>
      <w:r>
        <w:t xml:space="preserve">последние</w:t>
      </w:r>
      <w:r>
        <w:rPr>
          <w:spacing w:val="-3"/>
        </w:rPr>
        <w:t xml:space="preserve"> </w:t>
      </w:r>
      <w:r>
        <w:t xml:space="preserve">3</w:t>
      </w:r>
      <w:r>
        <w:rPr>
          <w:spacing w:val="-2"/>
        </w:rPr>
        <w:t xml:space="preserve"> </w:t>
      </w:r>
      <w:r>
        <w:t xml:space="preserve">года</w:t>
      </w:r>
      <w:r>
        <w:rPr>
          <w:spacing w:val="-2"/>
        </w:rPr>
        <w:t xml:space="preserve"> </w:t>
      </w:r>
      <w:r>
        <w:t xml:space="preserve">цен на тепловую энергию (мощность), поставляемую единой теплоснабжающей организацией потребителям в ценовых зонах теплоснабжения</w:t>
      </w:r>
      <w:bookmarkEnd w:id="295"/>
      <w:r/>
      <w:bookmarkEnd w:id="296"/>
      <w:r/>
      <w:r/>
    </w:p>
    <w:p>
      <w:pPr>
        <w:pStyle w:val="1247"/>
        <w:ind w:left="118" w:right="149" w:firstLine="707"/>
        <w:jc w:val="both"/>
        <w:spacing w:before="115"/>
      </w:pPr>
      <w:r>
        <w:t xml:space="preserve">Средневзвешенный уровень цен на тепловую энергию за п</w:t>
      </w:r>
      <w:r>
        <w:t xml:space="preserve">оследние 3 года составил </w:t>
      </w:r>
      <w:r>
        <w:t xml:space="preserve">3597,94</w:t>
      </w:r>
      <w:r>
        <w:t xml:space="preserve"> руб./Гкал.</w:t>
      </w:r>
      <w:r/>
    </w:p>
    <w:p>
      <w:pPr>
        <w:pStyle w:val="1247"/>
        <w:ind w:left="119" w:right="147" w:firstLine="709"/>
        <w:jc w:val="both"/>
      </w:pPr>
      <w:r/>
      <w:r/>
    </w:p>
    <w:p>
      <w:pPr>
        <w:pStyle w:val="1248"/>
        <w:ind w:left="119" w:right="147" w:firstLine="731"/>
        <w:spacing w:before="200"/>
      </w:pPr>
      <w:r/>
      <w:bookmarkStart w:id="297" w:name="_bookmark169"/>
      <w:r/>
      <w:bookmarkStart w:id="298" w:name="_Toc130231960"/>
      <w:r/>
      <w:bookmarkStart w:id="299" w:name="_Toc165540740"/>
      <w:r/>
      <w:bookmarkEnd w:id="297"/>
      <w:r>
        <w:rPr>
          <w:lang w:eastAsia="ru-RU"/>
        </w:rPr>
        <w:t xml:space="preserve">1.11.7 </w:t>
      </w:r>
      <w:r>
        <w:t xml:space="preserve">Описание изменений в утверждённых ценах (тарифах), устанавливаемых органами</w:t>
      </w:r>
      <w:r>
        <w:rPr>
          <w:spacing w:val="-15"/>
        </w:rPr>
        <w:t xml:space="preserve"> </w:t>
      </w:r>
      <w:r>
        <w:t xml:space="preserve">исполнительной</w:t>
      </w:r>
      <w:r>
        <w:rPr>
          <w:spacing w:val="-15"/>
        </w:rPr>
        <w:t xml:space="preserve"> </w:t>
      </w:r>
      <w:r>
        <w:t xml:space="preserve">власти</w:t>
      </w:r>
      <w:r>
        <w:rPr>
          <w:spacing w:val="-15"/>
        </w:rPr>
        <w:t xml:space="preserve"> </w:t>
      </w:r>
      <w:r>
        <w:t xml:space="preserve">субъекта</w:t>
      </w:r>
      <w:r>
        <w:rPr>
          <w:spacing w:val="-15"/>
        </w:rPr>
        <w:t xml:space="preserve"> </w:t>
      </w:r>
      <w:r>
        <w:t xml:space="preserve">Российской</w:t>
      </w:r>
      <w:r>
        <w:rPr>
          <w:spacing w:val="-15"/>
        </w:rPr>
        <w:t xml:space="preserve"> </w:t>
      </w:r>
      <w:r>
        <w:t xml:space="preserve">Федерации,</w:t>
      </w:r>
      <w:r>
        <w:rPr>
          <w:spacing w:val="-15"/>
        </w:rPr>
        <w:t xml:space="preserve"> </w:t>
      </w:r>
      <w:r>
        <w:t xml:space="preserve">зафиксированных</w:t>
      </w:r>
      <w:r>
        <w:rPr>
          <w:spacing w:val="-15"/>
        </w:rPr>
        <w:t xml:space="preserve"> </w:t>
      </w:r>
      <w:r>
        <w:t xml:space="preserve">за период, предшествующий актуализации схемы теплоснабжения</w:t>
      </w:r>
      <w:bookmarkEnd w:id="298"/>
      <w:r/>
      <w:bookmarkEnd w:id="299"/>
      <w:r/>
      <w:r/>
    </w:p>
    <w:p>
      <w:pPr>
        <w:pStyle w:val="1247"/>
        <w:ind w:left="118" w:right="144" w:firstLine="707"/>
        <w:jc w:val="both"/>
        <w:spacing w:before="116"/>
      </w:pPr>
      <w:r>
        <w:t xml:space="preserve">Утверждён</w:t>
      </w:r>
      <w:r>
        <w:t xml:space="preserve">ные цены (тарифы) </w:t>
      </w:r>
      <w:r>
        <w:t xml:space="preserve">представлены в таблиц</w:t>
      </w:r>
      <w:r>
        <w:t xml:space="preserve">ах</w:t>
      </w:r>
      <w:r>
        <w:t xml:space="preserve"> пункта 1.11.1.</w:t>
      </w:r>
      <w:r>
        <w:t xml:space="preserve">1.</w:t>
      </w:r>
      <w:r/>
    </w:p>
    <w:p>
      <w:pPr>
        <w:pStyle w:val="1247"/>
        <w:spacing w:before="6"/>
        <w:tabs>
          <w:tab w:val="left" w:pos="4230" w:leader="none"/>
        </w:tabs>
        <w:rPr>
          <w:sz w:val="16"/>
        </w:rPr>
      </w:pPr>
      <w:r>
        <w:rPr>
          <w:sz w:val="16"/>
        </w:rPr>
        <w:tab/>
      </w:r>
      <w:r>
        <w:rPr>
          <w:sz w:val="16"/>
        </w:rPr>
      </w:r>
      <w:r>
        <w:rPr>
          <w:sz w:val="16"/>
        </w:rPr>
      </w:r>
    </w:p>
    <w:p>
      <w:pPr>
        <w:pStyle w:val="1248"/>
        <w:ind w:right="154" w:firstLine="733"/>
      </w:pPr>
      <w:r/>
      <w:bookmarkStart w:id="300" w:name="_bookmark170"/>
      <w:r/>
      <w:bookmarkStart w:id="301" w:name="_Toc130231961"/>
      <w:r/>
      <w:bookmarkStart w:id="302" w:name="_Toc165540741"/>
      <w:r/>
      <w:bookmarkEnd w:id="300"/>
      <w:r>
        <w:rPr>
          <w:lang w:eastAsia="ru-RU"/>
        </w:rPr>
        <w:t xml:space="preserve">1.12 </w:t>
      </w:r>
      <w:r>
        <w:t xml:space="preserve">Описание</w:t>
      </w:r>
      <w:r>
        <w:rPr>
          <w:spacing w:val="-15"/>
        </w:rPr>
        <w:t xml:space="preserve"> </w:t>
      </w:r>
      <w:r>
        <w:t xml:space="preserve">существующих</w:t>
      </w:r>
      <w:r>
        <w:rPr>
          <w:spacing w:val="-15"/>
        </w:rPr>
        <w:t xml:space="preserve"> </w:t>
      </w:r>
      <w:r>
        <w:t xml:space="preserve">технических</w:t>
      </w:r>
      <w:r>
        <w:rPr>
          <w:spacing w:val="-15"/>
        </w:rPr>
        <w:t xml:space="preserve"> </w:t>
      </w:r>
      <w:r>
        <w:t xml:space="preserve">и</w:t>
      </w:r>
      <w:r>
        <w:rPr>
          <w:spacing w:val="-15"/>
        </w:rPr>
        <w:t xml:space="preserve"> </w:t>
      </w:r>
      <w:r>
        <w:t xml:space="preserve">технологических</w:t>
      </w:r>
      <w:r>
        <w:rPr>
          <w:spacing w:val="-15"/>
        </w:rPr>
        <w:t xml:space="preserve"> </w:t>
      </w:r>
      <w:r>
        <w:t xml:space="preserve">проблем</w:t>
      </w:r>
      <w:r>
        <w:rPr>
          <w:spacing w:val="-15"/>
        </w:rPr>
        <w:t xml:space="preserve"> </w:t>
      </w:r>
      <w:r>
        <w:t xml:space="preserve">в</w:t>
      </w:r>
      <w:r>
        <w:rPr>
          <w:spacing w:val="-15"/>
        </w:rPr>
        <w:t xml:space="preserve"> </w:t>
      </w:r>
      <w:r>
        <w:t xml:space="preserve">системах теплоснабжения поселения</w:t>
      </w:r>
      <w:bookmarkEnd w:id="301"/>
      <w:r/>
      <w:bookmarkEnd w:id="302"/>
      <w:r/>
      <w:r/>
    </w:p>
    <w:p>
      <w:pPr>
        <w:pStyle w:val="1248"/>
        <w:ind w:left="119" w:right="153" w:firstLine="731"/>
        <w:spacing w:before="200"/>
      </w:pPr>
      <w:r/>
      <w:bookmarkStart w:id="303" w:name="_bookmark171"/>
      <w:r/>
      <w:bookmarkStart w:id="304" w:name="_Toc130231962"/>
      <w:r/>
      <w:bookmarkStart w:id="305" w:name="_Toc165540742"/>
      <w:r/>
      <w:bookmarkEnd w:id="303"/>
      <w:r>
        <w:rPr>
          <w:lang w:eastAsia="ru-RU"/>
        </w:rPr>
        <w:t xml:space="preserve">1.12.1 </w:t>
      </w:r>
      <w:r>
        <w:t xml:space="preserve">Описание существующих проблем организации качественного теплоснабжения</w:t>
      </w:r>
      <w:r>
        <w:rPr>
          <w:spacing w:val="-4"/>
        </w:rPr>
        <w:t xml:space="preserve"> </w:t>
      </w:r>
      <w:r>
        <w:t xml:space="preserve">(перечень</w:t>
      </w:r>
      <w:r>
        <w:rPr>
          <w:spacing w:val="-3"/>
        </w:rPr>
        <w:t xml:space="preserve"> </w:t>
      </w:r>
      <w:r>
        <w:t xml:space="preserve">причин,</w:t>
      </w:r>
      <w:r>
        <w:rPr>
          <w:spacing w:val="-3"/>
        </w:rPr>
        <w:t xml:space="preserve"> </w:t>
      </w:r>
      <w:r>
        <w:t xml:space="preserve">приводящих</w:t>
      </w:r>
      <w:r>
        <w:rPr>
          <w:spacing w:val="-3"/>
        </w:rPr>
        <w:t xml:space="preserve"> </w:t>
      </w:r>
      <w:r>
        <w:t xml:space="preserve">к</w:t>
      </w:r>
      <w:r>
        <w:rPr>
          <w:spacing w:val="-3"/>
        </w:rPr>
        <w:t xml:space="preserve"> </w:t>
      </w:r>
      <w:r>
        <w:t xml:space="preserve">снижению</w:t>
      </w:r>
      <w:r>
        <w:rPr>
          <w:spacing w:val="-4"/>
        </w:rPr>
        <w:t xml:space="preserve"> </w:t>
      </w:r>
      <w:r>
        <w:t xml:space="preserve">качества</w:t>
      </w:r>
      <w:r>
        <w:rPr>
          <w:spacing w:val="-3"/>
        </w:rPr>
        <w:t xml:space="preserve"> </w:t>
      </w:r>
      <w:r>
        <w:t xml:space="preserve">теплоснабжения, включая проблемы в работе теплопотребляющих установок потребителей)</w:t>
      </w:r>
      <w:bookmarkEnd w:id="304"/>
      <w:r/>
      <w:bookmarkEnd w:id="305"/>
      <w:r/>
      <w:r/>
    </w:p>
    <w:p>
      <w:pPr>
        <w:pStyle w:val="1247"/>
        <w:ind w:left="118" w:right="155" w:firstLine="707"/>
        <w:jc w:val="both"/>
        <w:spacing w:before="116"/>
      </w:pPr>
      <w:r/>
      <w:bookmarkStart w:id="306" w:name="_Toc130231963"/>
      <w:r/>
      <w:bookmarkStart w:id="307" w:name="_Toc165540743"/>
      <w:r>
        <w:t xml:space="preserve">Основные проблемы действующей системы теплоснабжения:</w:t>
      </w:r>
      <w:r/>
    </w:p>
    <w:p>
      <w:pPr>
        <w:pStyle w:val="1247"/>
        <w:ind w:left="119" w:right="153" w:firstLine="709"/>
        <w:jc w:val="both"/>
        <w:tabs>
          <w:tab w:val="left" w:pos="993" w:leader="none"/>
        </w:tabs>
      </w:pPr>
      <w:r>
        <w:t xml:space="preserve">–</w:t>
      </w:r>
      <w:r>
        <w:tab/>
        <w:t xml:space="preserve">высокая степень износа котельных и оборудования функциональных элементов системы;</w:t>
      </w:r>
      <w:r/>
    </w:p>
    <w:p>
      <w:pPr>
        <w:pStyle w:val="1247"/>
        <w:ind w:left="119" w:right="153" w:firstLine="709"/>
        <w:jc w:val="both"/>
        <w:tabs>
          <w:tab w:val="left" w:pos="993" w:leader="none"/>
        </w:tabs>
      </w:pPr>
      <w:r>
        <w:t xml:space="preserve">–</w:t>
      </w:r>
      <w:r>
        <w:tab/>
        <w:t xml:space="preserve">высокий износ некоторых участков теплотрасс;</w:t>
      </w:r>
      <w:r/>
    </w:p>
    <w:p>
      <w:pPr>
        <w:pStyle w:val="1247"/>
        <w:ind w:left="119" w:right="153" w:firstLine="709"/>
        <w:jc w:val="both"/>
        <w:tabs>
          <w:tab w:val="left" w:pos="993" w:leader="none"/>
        </w:tabs>
      </w:pPr>
      <w:r>
        <w:t xml:space="preserve">–</w:t>
      </w:r>
      <w:r>
        <w:tab/>
        <w:t xml:space="preserve">высокий износ теплоизоляции на части теплотрасс;</w:t>
      </w:r>
      <w:r/>
    </w:p>
    <w:p>
      <w:pPr>
        <w:pStyle w:val="1247"/>
        <w:ind w:left="119" w:right="153" w:firstLine="709"/>
        <w:jc w:val="both"/>
        <w:tabs>
          <w:tab w:val="left" w:pos="993" w:leader="none"/>
        </w:tabs>
      </w:pPr>
      <w:r>
        <w:t xml:space="preserve">–</w:t>
      </w:r>
      <w:r>
        <w:tab/>
        <w:t xml:space="preserve">низкая энергоэффективность оборудования котельных и тепловых сетей;</w:t>
      </w:r>
      <w:r/>
    </w:p>
    <w:p>
      <w:pPr>
        <w:pStyle w:val="1247"/>
        <w:ind w:left="119" w:right="153" w:firstLine="709"/>
        <w:jc w:val="both"/>
        <w:tabs>
          <w:tab w:val="left" w:pos="993" w:leader="none"/>
        </w:tabs>
      </w:pPr>
      <w:r>
        <w:t xml:space="preserve">–</w:t>
      </w:r>
      <w:r>
        <w:tab/>
        <w:t xml:space="preserve">отсутствие у некоторых потребителей узлов учета тепловой энергии и на источниках тепловой энергии;</w:t>
      </w:r>
      <w:r/>
    </w:p>
    <w:p>
      <w:pPr>
        <w:pStyle w:val="1247"/>
        <w:ind w:left="119" w:right="153" w:firstLine="709"/>
        <w:jc w:val="both"/>
        <w:tabs>
          <w:tab w:val="left" w:pos="993" w:leader="none"/>
        </w:tabs>
      </w:pPr>
      <w:r>
        <w:t xml:space="preserve">–</w:t>
      </w:r>
      <w:r>
        <w:tab/>
        <w:t xml:space="preserve">отсутствие на котельных резервного источника электроснабжения.</w:t>
      </w:r>
      <w:r/>
    </w:p>
    <w:p>
      <w:pPr>
        <w:pStyle w:val="1247"/>
        <w:ind w:left="119" w:right="153" w:firstLine="709"/>
        <w:jc w:val="both"/>
        <w:tabs>
          <w:tab w:val="left" w:pos="993" w:leader="none"/>
        </w:tabs>
      </w:pPr>
      <w:r>
        <w:t xml:space="preserve">В Юргамышском муниципальном округе существует устойчивая тенденция на </w:t>
      </w:r>
      <w:r>
        <w:t xml:space="preserve">повышение стоимос</w:t>
      </w:r>
      <w:r>
        <w:t xml:space="preserve">ти энергетических ресурсов, значительный потенциал энергосбережения в зданиях школ, больниц, детских садов, а также административных зданиях. При этом, предполагаемый потенциал энергосбережения составляет порядка 20 процентов. В настоящее время капитальный</w:t>
      </w:r>
      <w:r>
        <w:t xml:space="preserve"> ремонт и реконструкция муниципальных зданий осуществляется без учёта влияния данных работ по энергопотреблению. По-прежнему основу необходимости проведения этих работ определяют предписания надзорных органов. Сложившаяся система контроля за потреблением у</w:t>
      </w:r>
      <w:r>
        <w:t xml:space="preserve">слуг в муниципальных учреждениях не стимулирует их работников к обеспечению режима энергосбережения. Зачастую при выборе оборудования и приборов систем теплоснабжения превалирует только их стоимость. Персонал зданий в большинстве случаев не имеет должной к</w:t>
      </w:r>
      <w:r>
        <w:t xml:space="preserve">валификации, что становится при</w:t>
      </w:r>
      <w:r>
        <w:t xml:space="preserve">чиной сбоев в их работе, преждевременному выходу оборудования из строя.</w:t>
      </w:r>
      <w:r/>
    </w:p>
    <w:p>
      <w:pPr>
        <w:pStyle w:val="1247"/>
        <w:ind w:left="119" w:right="153" w:firstLine="709"/>
        <w:jc w:val="both"/>
        <w:tabs>
          <w:tab w:val="left" w:pos="993" w:leader="none"/>
        </w:tabs>
      </w:pPr>
      <w:r/>
      <w:r/>
    </w:p>
    <w:p>
      <w:pPr>
        <w:pStyle w:val="1247"/>
        <w:ind w:left="118" w:right="155" w:firstLine="707"/>
        <w:jc w:val="both"/>
        <w:spacing w:before="116"/>
        <w:rPr>
          <w:b/>
        </w:rPr>
      </w:pPr>
      <w:r>
        <w:rPr>
          <w:b/>
          <w:lang w:eastAsia="ru-RU"/>
        </w:rPr>
        <w:t xml:space="preserve">1.12.2 </w:t>
      </w:r>
      <w:r>
        <w:rPr>
          <w:b/>
        </w:rPr>
        <w:t xml:space="preserve">Описание</w:t>
      </w:r>
      <w:r>
        <w:rPr>
          <w:b/>
          <w:spacing w:val="-10"/>
        </w:rPr>
        <w:t xml:space="preserve"> </w:t>
      </w:r>
      <w:r>
        <w:rPr>
          <w:b/>
        </w:rPr>
        <w:t xml:space="preserve">существующих</w:t>
      </w:r>
      <w:r>
        <w:rPr>
          <w:b/>
          <w:spacing w:val="-9"/>
        </w:rPr>
        <w:t xml:space="preserve"> </w:t>
      </w:r>
      <w:r>
        <w:rPr>
          <w:b/>
        </w:rPr>
        <w:t xml:space="preserve">проблем</w:t>
      </w:r>
      <w:r>
        <w:rPr>
          <w:b/>
          <w:spacing w:val="-7"/>
        </w:rPr>
        <w:t xml:space="preserve"> </w:t>
      </w:r>
      <w:r>
        <w:rPr>
          <w:b/>
        </w:rPr>
        <w:t xml:space="preserve">организации</w:t>
      </w:r>
      <w:r>
        <w:rPr>
          <w:b/>
          <w:spacing w:val="-8"/>
        </w:rPr>
        <w:t xml:space="preserve"> </w:t>
      </w:r>
      <w:r>
        <w:rPr>
          <w:b/>
        </w:rPr>
        <w:t xml:space="preserve">надёжного</w:t>
      </w:r>
      <w:r>
        <w:rPr>
          <w:b/>
          <w:spacing w:val="-7"/>
        </w:rPr>
        <w:t xml:space="preserve"> </w:t>
      </w:r>
      <w:r>
        <w:rPr>
          <w:b/>
        </w:rPr>
        <w:t xml:space="preserve">теплоснабжения поселения (перечень причин, приводящих к снижению надёжности теплоснабжения, включая проблемы в работе теплопотребляющих установок потребителей)</w:t>
      </w:r>
      <w:bookmarkEnd w:id="306"/>
      <w:r/>
      <w:bookmarkEnd w:id="307"/>
      <w:r>
        <w:rPr>
          <w:b/>
        </w:rPr>
      </w:r>
      <w:r>
        <w:rPr>
          <w:b/>
        </w:rPr>
      </w:r>
    </w:p>
    <w:p>
      <w:pPr>
        <w:pStyle w:val="1247"/>
        <w:ind w:left="118" w:right="146" w:firstLine="707"/>
        <w:jc w:val="both"/>
        <w:spacing w:before="115"/>
      </w:pPr>
      <w:r>
        <w:t xml:space="preserve">Основной проблемой развития жилищно-коммунального хозяйства является высокая степень износа тепловых сетей. Кроме того основными причинами неэффективной работы системы</w:t>
      </w:r>
      <w:r>
        <w:t xml:space="preserve"> теплоснабжения является повышенные потери тепла в старых оконных блоках, дверях и стеновых конструкциях. Тепловые сети центральных котельных имеют плохую теплоизоляцию, что приводит к дополнительным (по сравнению с нормативными) потерями тепловой энергии.</w:t>
      </w:r>
      <w:r/>
    </w:p>
    <w:p>
      <w:pPr>
        <w:pStyle w:val="1247"/>
      </w:pPr>
      <w:r/>
      <w:r/>
    </w:p>
    <w:p>
      <w:pPr>
        <w:pStyle w:val="1248"/>
        <w:ind w:left="1493" w:hanging="642"/>
      </w:pPr>
      <w:r/>
      <w:bookmarkStart w:id="308" w:name="_bookmark173"/>
      <w:r/>
      <w:bookmarkStart w:id="309" w:name="_Toc130231964"/>
      <w:r/>
      <w:bookmarkStart w:id="310" w:name="_Toc165540744"/>
      <w:r/>
      <w:bookmarkEnd w:id="308"/>
      <w:r>
        <w:rPr>
          <w:lang w:eastAsia="ru-RU"/>
        </w:rPr>
        <w:t xml:space="preserve">1.12.3 </w:t>
      </w:r>
      <w:r>
        <w:t xml:space="preserve">Описание</w:t>
      </w:r>
      <w:r>
        <w:rPr>
          <w:spacing w:val="-6"/>
        </w:rPr>
        <w:t xml:space="preserve"> </w:t>
      </w:r>
      <w:r>
        <w:t xml:space="preserve">существующих</w:t>
      </w:r>
      <w:r>
        <w:rPr>
          <w:spacing w:val="-3"/>
        </w:rPr>
        <w:t xml:space="preserve"> </w:t>
      </w:r>
      <w:r>
        <w:t xml:space="preserve">проблем</w:t>
      </w:r>
      <w:r>
        <w:rPr>
          <w:spacing w:val="-4"/>
        </w:rPr>
        <w:t xml:space="preserve"> </w:t>
      </w:r>
      <w:r>
        <w:t xml:space="preserve">развития</w:t>
      </w:r>
      <w:r>
        <w:rPr>
          <w:spacing w:val="-3"/>
        </w:rPr>
        <w:t xml:space="preserve"> </w:t>
      </w:r>
      <w:r>
        <w:t xml:space="preserve">систем</w:t>
      </w:r>
      <w:r>
        <w:rPr>
          <w:spacing w:val="-3"/>
        </w:rPr>
        <w:t xml:space="preserve"> </w:t>
      </w:r>
      <w:r>
        <w:rPr>
          <w:spacing w:val="-2"/>
        </w:rPr>
        <w:t xml:space="preserve">теплоснабжения</w:t>
      </w:r>
      <w:bookmarkEnd w:id="309"/>
      <w:r/>
      <w:bookmarkEnd w:id="310"/>
      <w:r/>
      <w:r/>
    </w:p>
    <w:p>
      <w:pPr>
        <w:pStyle w:val="1247"/>
        <w:ind w:left="142" w:right="129" w:firstLine="684"/>
        <w:jc w:val="both"/>
        <w:spacing w:before="116"/>
      </w:pPr>
      <w:r>
        <w:t xml:space="preserve">Одной из существующих проблем развития централизованных систем теплоснабжения является высокие та</w:t>
      </w:r>
      <w:r>
        <w:t xml:space="preserve">рифы на тепловую энергию и, как следствие, малый спрос на заявки подключение потенциальных потребителей. С другой стороны рентабельность теплоснабжения в настоящее время не высока, что не позволяет развивать сети теплоснабжающей и теплосетевой организации.</w:t>
      </w:r>
      <w:r/>
    </w:p>
    <w:p>
      <w:pPr>
        <w:pStyle w:val="1247"/>
        <w:rPr>
          <w:sz w:val="27"/>
        </w:rPr>
      </w:pPr>
      <w:r>
        <w:rPr>
          <w:sz w:val="27"/>
        </w:rPr>
      </w:r>
      <w:r>
        <w:rPr>
          <w:sz w:val="27"/>
        </w:rPr>
      </w:r>
      <w:r>
        <w:rPr>
          <w:sz w:val="27"/>
        </w:rPr>
      </w:r>
    </w:p>
    <w:p>
      <w:pPr>
        <w:pStyle w:val="1248"/>
        <w:ind w:firstLine="733"/>
        <w:jc w:val="left"/>
      </w:pPr>
      <w:r/>
      <w:bookmarkStart w:id="311" w:name="_bookmark174"/>
      <w:r/>
      <w:bookmarkStart w:id="312" w:name="_Toc130231965"/>
      <w:r/>
      <w:bookmarkStart w:id="313" w:name="_Toc165540745"/>
      <w:r/>
      <w:bookmarkEnd w:id="311"/>
      <w:r>
        <w:rPr>
          <w:lang w:eastAsia="ru-RU"/>
        </w:rPr>
        <w:t xml:space="preserve">1.12.4 </w:t>
      </w:r>
      <w:r>
        <w:t xml:space="preserve">Описание</w:t>
      </w:r>
      <w:r>
        <w:rPr>
          <w:spacing w:val="34"/>
        </w:rPr>
        <w:t xml:space="preserve"> </w:t>
      </w:r>
      <w:r>
        <w:t xml:space="preserve">существующих</w:t>
      </w:r>
      <w:r>
        <w:rPr>
          <w:spacing w:val="35"/>
        </w:rPr>
        <w:t xml:space="preserve"> </w:t>
      </w:r>
      <w:r>
        <w:t xml:space="preserve">проблем</w:t>
      </w:r>
      <w:r>
        <w:rPr>
          <w:spacing w:val="35"/>
        </w:rPr>
        <w:t xml:space="preserve"> </w:t>
      </w:r>
      <w:r>
        <w:t xml:space="preserve">надёжного</w:t>
      </w:r>
      <w:r>
        <w:rPr>
          <w:spacing w:val="35"/>
        </w:rPr>
        <w:t xml:space="preserve"> </w:t>
      </w:r>
      <w:r>
        <w:t xml:space="preserve">и</w:t>
      </w:r>
      <w:r>
        <w:rPr>
          <w:spacing w:val="36"/>
        </w:rPr>
        <w:t xml:space="preserve"> </w:t>
      </w:r>
      <w:r>
        <w:t xml:space="preserve">эффективного</w:t>
      </w:r>
      <w:r>
        <w:rPr>
          <w:spacing w:val="35"/>
        </w:rPr>
        <w:t xml:space="preserve"> </w:t>
      </w:r>
      <w:r>
        <w:t xml:space="preserve">снабжения топливом действующих систем теплоснабжения</w:t>
      </w:r>
      <w:bookmarkEnd w:id="312"/>
      <w:r/>
      <w:bookmarkEnd w:id="313"/>
      <w:r/>
      <w:r/>
    </w:p>
    <w:p>
      <w:pPr>
        <w:pStyle w:val="1247"/>
        <w:ind w:left="118" w:right="129" w:firstLine="707"/>
        <w:jc w:val="both"/>
        <w:spacing w:before="116"/>
      </w:pPr>
      <w:r>
        <w:t xml:space="preserve">Проблем надежного и эффективного снабжения топливом действующих систем тепло-снабжения не существует.</w:t>
      </w:r>
      <w:r/>
    </w:p>
    <w:p>
      <w:r/>
      <w:r/>
    </w:p>
    <w:p>
      <w:pPr>
        <w:pStyle w:val="1248"/>
        <w:ind w:right="153" w:firstLine="733"/>
        <w:jc w:val="left"/>
        <w:spacing w:before="67"/>
        <w:tabs>
          <w:tab w:val="left" w:pos="2496" w:leader="none"/>
          <w:tab w:val="left" w:pos="5489" w:leader="none"/>
          <w:tab w:val="left" w:pos="7000" w:leader="none"/>
          <w:tab w:val="left" w:pos="8458" w:leader="none"/>
        </w:tabs>
      </w:pPr>
      <w:r/>
      <w:bookmarkStart w:id="314" w:name="_Toc130231966"/>
      <w:r/>
      <w:bookmarkStart w:id="315" w:name="_Toc165540746"/>
      <w:r>
        <w:rPr>
          <w:lang w:eastAsia="ru-RU"/>
        </w:rPr>
        <w:t xml:space="preserve">1.12.5 </w:t>
      </w:r>
      <w:r>
        <w:rPr>
          <w:spacing w:val="-2"/>
        </w:rPr>
        <w:t xml:space="preserve">Анализ</w:t>
      </w:r>
      <w:r>
        <w:tab/>
        <w:t xml:space="preserve">предписаний</w:t>
      </w:r>
      <w:r>
        <w:rPr>
          <w:spacing w:val="80"/>
        </w:rPr>
        <w:t xml:space="preserve"> </w:t>
      </w:r>
      <w:r>
        <w:t xml:space="preserve">надзорных</w:t>
      </w:r>
      <w:r>
        <w:tab/>
        <w:t xml:space="preserve">органов</w:t>
      </w:r>
      <w:r>
        <w:rPr>
          <w:spacing w:val="80"/>
        </w:rPr>
        <w:t xml:space="preserve"> </w:t>
      </w:r>
      <w:r>
        <w:t xml:space="preserve">об</w:t>
      </w:r>
      <w:r>
        <w:tab/>
      </w:r>
      <w:r>
        <w:rPr>
          <w:spacing w:val="-2"/>
        </w:rPr>
        <w:t xml:space="preserve">устранении</w:t>
      </w:r>
      <w:r>
        <w:tab/>
      </w:r>
      <w:r>
        <w:rPr>
          <w:spacing w:val="-2"/>
        </w:rPr>
        <w:t xml:space="preserve">нарушений, </w:t>
      </w:r>
      <w:r>
        <w:t xml:space="preserve">влияющих на безопасность и надёжность системы теплоснабжения</w:t>
      </w:r>
      <w:bookmarkEnd w:id="314"/>
      <w:r/>
      <w:bookmarkEnd w:id="315"/>
      <w:r/>
      <w:r/>
    </w:p>
    <w:p>
      <w:pPr>
        <w:pStyle w:val="1247"/>
        <w:ind w:left="118" w:right="150" w:firstLine="707"/>
        <w:spacing w:before="115"/>
        <w:tabs>
          <w:tab w:val="left" w:pos="2431" w:leader="none"/>
          <w:tab w:val="left" w:pos="3776" w:leader="none"/>
          <w:tab w:val="left" w:pos="4827" w:leader="none"/>
          <w:tab w:val="left" w:pos="5316" w:leader="none"/>
          <w:tab w:val="left" w:pos="6733" w:leader="none"/>
          <w:tab w:val="left" w:pos="8188" w:leader="none"/>
          <w:tab w:val="left" w:pos="9517" w:leader="none"/>
        </w:tabs>
      </w:pPr>
      <w:r>
        <w:rPr>
          <w:spacing w:val="-2"/>
        </w:rPr>
        <w:t xml:space="preserve">Предписания</w:t>
      </w:r>
      <w:r>
        <w:t xml:space="preserve"> </w:t>
      </w:r>
      <w:r>
        <w:rPr>
          <w:spacing w:val="-2"/>
        </w:rPr>
        <w:t xml:space="preserve">надзорных</w:t>
      </w:r>
      <w:r>
        <w:t xml:space="preserve"> </w:t>
      </w:r>
      <w:r>
        <w:rPr>
          <w:spacing w:val="-2"/>
        </w:rPr>
        <w:t xml:space="preserve">органов</w:t>
      </w:r>
      <w:r>
        <w:t xml:space="preserve"> </w:t>
      </w:r>
      <w:r>
        <w:rPr>
          <w:spacing w:val="-6"/>
        </w:rPr>
        <w:t xml:space="preserve">об</w:t>
      </w:r>
      <w:r>
        <w:t xml:space="preserve"> </w:t>
      </w:r>
      <w:r>
        <w:rPr>
          <w:spacing w:val="-2"/>
        </w:rPr>
        <w:t xml:space="preserve">устранении</w:t>
      </w:r>
      <w:r>
        <w:t xml:space="preserve"> </w:t>
      </w:r>
      <w:r>
        <w:rPr>
          <w:spacing w:val="-2"/>
        </w:rPr>
        <w:t xml:space="preserve">нарушений,</w:t>
      </w:r>
      <w:r>
        <w:t xml:space="preserve"> </w:t>
      </w:r>
      <w:r>
        <w:rPr>
          <w:spacing w:val="-2"/>
        </w:rPr>
        <w:t xml:space="preserve">влияющих</w:t>
      </w:r>
      <w:r>
        <w:t xml:space="preserve"> </w:t>
      </w:r>
      <w:r>
        <w:rPr>
          <w:spacing w:val="-6"/>
        </w:rPr>
        <w:t xml:space="preserve">на </w:t>
      </w:r>
      <w:r>
        <w:t xml:space="preserve">безопасность и надёжность систем теплоснабжения, отсутствуют.</w:t>
      </w:r>
      <w:r/>
    </w:p>
    <w:p>
      <w:pPr>
        <w:pStyle w:val="1247"/>
        <w:ind w:left="119" w:right="147" w:firstLine="709"/>
        <w:tabs>
          <w:tab w:val="left" w:pos="2431" w:leader="none"/>
          <w:tab w:val="left" w:pos="3776" w:leader="none"/>
          <w:tab w:val="left" w:pos="4827" w:leader="none"/>
          <w:tab w:val="left" w:pos="5316" w:leader="none"/>
          <w:tab w:val="left" w:pos="6733" w:leader="none"/>
          <w:tab w:val="left" w:pos="8188" w:leader="none"/>
          <w:tab w:val="left" w:pos="9517" w:leader="none"/>
        </w:tabs>
      </w:pPr>
      <w:r/>
      <w:r/>
    </w:p>
    <w:p>
      <w:pPr>
        <w:pStyle w:val="1248"/>
        <w:ind w:right="146" w:firstLine="733"/>
      </w:pPr>
      <w:r/>
      <w:bookmarkStart w:id="316" w:name="_bookmark176"/>
      <w:r/>
      <w:bookmarkStart w:id="317" w:name="_Toc130231967"/>
      <w:r/>
      <w:bookmarkStart w:id="318" w:name="_Toc165540747"/>
      <w:r/>
      <w:bookmarkEnd w:id="316"/>
      <w:r>
        <w:rPr>
          <w:lang w:eastAsia="ru-RU"/>
        </w:rPr>
        <w:t xml:space="preserve">1.12.6 </w:t>
      </w:r>
      <w:r>
        <w:t xml:space="preserve">Описание изменений технических и технологических проблем в системах теплоснабжения поселения, городского округа, города федерального значения, произошедших в период, предшествующий актуализации схемы теплоснабжения</w:t>
      </w:r>
      <w:bookmarkEnd w:id="317"/>
      <w:r/>
      <w:bookmarkEnd w:id="318"/>
      <w:r/>
      <w:r/>
    </w:p>
    <w:p>
      <w:pPr>
        <w:pStyle w:val="1247"/>
        <w:ind w:left="119" w:right="108" w:firstLine="709"/>
        <w:jc w:val="both"/>
        <w:spacing w:before="120"/>
      </w:pPr>
      <w:r>
        <w:t xml:space="preserve">Ранее схема теплоснабжения </w:t>
      </w:r>
      <w:r>
        <w:t xml:space="preserve">Юргамышского</w:t>
      </w:r>
      <w:r>
        <w:t xml:space="preserve"> муниципального округа не была разработана.</w:t>
      </w:r>
      <w:r/>
    </w:p>
    <w:p>
      <w:pPr>
        <w:sectPr>
          <w:footerReference w:type="default" r:id="rId11"/>
          <w:footnotePr/>
          <w:endnotePr/>
          <w:type w:val="nextPage"/>
          <w:pgSz w:w="11910" w:h="16840" w:orient="portrait"/>
          <w:pgMar w:top="1040" w:right="700" w:bottom="940" w:left="1300" w:header="0" w:footer="758" w:gutter="0"/>
          <w:cols w:num="1" w:sep="0" w:space="720" w:equalWidth="1"/>
          <w:docGrid w:linePitch="360"/>
        </w:sectPr>
      </w:pPr>
      <w:r/>
      <w:r/>
    </w:p>
    <w:p>
      <w:pPr>
        <w:pStyle w:val="1248"/>
        <w:ind w:right="129" w:firstLine="707"/>
        <w:jc w:val="left"/>
        <w:spacing w:before="71"/>
      </w:pPr>
      <w:r/>
      <w:bookmarkStart w:id="319" w:name="_bookmark175"/>
      <w:r/>
      <w:bookmarkStart w:id="320" w:name="_bookmark177"/>
      <w:r/>
      <w:bookmarkStart w:id="321" w:name="_Toc130231968"/>
      <w:r/>
      <w:bookmarkStart w:id="322" w:name="_Toc165540748"/>
      <w:r/>
      <w:bookmarkEnd w:id="319"/>
      <w:r/>
      <w:bookmarkEnd w:id="320"/>
      <w:r>
        <w:t xml:space="preserve">Глава</w:t>
      </w:r>
      <w:r>
        <w:rPr>
          <w:spacing w:val="-4"/>
        </w:rPr>
        <w:t xml:space="preserve"> </w:t>
      </w:r>
      <w:r>
        <w:t xml:space="preserve">2 Существующее и перспективное потребление тепловой энергии на цели </w:t>
      </w:r>
      <w:r>
        <w:rPr>
          <w:spacing w:val="-2"/>
        </w:rPr>
        <w:t xml:space="preserve">теплоснабжения</w:t>
      </w:r>
      <w:bookmarkEnd w:id="321"/>
      <w:r/>
      <w:bookmarkEnd w:id="322"/>
      <w:r/>
      <w:r/>
    </w:p>
    <w:p>
      <w:pPr>
        <w:pStyle w:val="1248"/>
        <w:ind w:left="1194" w:right="129" w:hanging="343"/>
        <w:jc w:val="left"/>
        <w:spacing w:before="120"/>
      </w:pPr>
      <w:r/>
      <w:bookmarkStart w:id="323" w:name="_bookmark178"/>
      <w:r/>
      <w:bookmarkStart w:id="324" w:name="_Toc130231969"/>
      <w:r/>
      <w:bookmarkStart w:id="325" w:name="_Toc165540749"/>
      <w:r/>
      <w:bookmarkEnd w:id="323"/>
      <w:r>
        <w:rPr>
          <w:lang w:eastAsia="ru-RU"/>
        </w:rPr>
        <w:t xml:space="preserve">2.1 </w:t>
      </w:r>
      <w:r>
        <w:t xml:space="preserve">Данные</w:t>
      </w:r>
      <w:r>
        <w:rPr>
          <w:spacing w:val="-6"/>
        </w:rPr>
        <w:t xml:space="preserve"> </w:t>
      </w:r>
      <w:r>
        <w:t xml:space="preserve">базового</w:t>
      </w:r>
      <w:r>
        <w:rPr>
          <w:spacing w:val="-1"/>
        </w:rPr>
        <w:t xml:space="preserve"> </w:t>
      </w:r>
      <w:r>
        <w:t xml:space="preserve">уровня</w:t>
      </w:r>
      <w:r>
        <w:rPr>
          <w:spacing w:val="-1"/>
        </w:rPr>
        <w:t xml:space="preserve"> </w:t>
      </w:r>
      <w:r>
        <w:t xml:space="preserve">потребления</w:t>
      </w:r>
      <w:r>
        <w:rPr>
          <w:spacing w:val="-4"/>
        </w:rPr>
        <w:t xml:space="preserve"> </w:t>
      </w:r>
      <w:r>
        <w:t xml:space="preserve">тепла</w:t>
      </w:r>
      <w:r>
        <w:rPr>
          <w:spacing w:val="-2"/>
        </w:rPr>
        <w:t xml:space="preserve"> </w:t>
      </w:r>
      <w:r>
        <w:t xml:space="preserve">на</w:t>
      </w:r>
      <w:r>
        <w:rPr>
          <w:spacing w:val="-2"/>
        </w:rPr>
        <w:t xml:space="preserve"> </w:t>
      </w:r>
      <w:r>
        <w:t xml:space="preserve">цели</w:t>
      </w:r>
      <w:r>
        <w:rPr>
          <w:spacing w:val="-3"/>
        </w:rPr>
        <w:t xml:space="preserve"> </w:t>
      </w:r>
      <w:r>
        <w:rPr>
          <w:spacing w:val="-2"/>
        </w:rPr>
        <w:t xml:space="preserve">теплоснабжения</w:t>
      </w:r>
      <w:bookmarkEnd w:id="324"/>
      <w:r/>
      <w:bookmarkEnd w:id="325"/>
      <w:r/>
      <w:r/>
    </w:p>
    <w:p>
      <w:pPr>
        <w:pStyle w:val="1247"/>
        <w:ind w:left="118" w:right="129" w:firstLine="707"/>
        <w:spacing w:before="116"/>
      </w:pPr>
      <w:r>
        <w:t xml:space="preserve">Данные базового уровня потребления тепла на цели теплоснабжения представлены в следующей таблице.</w:t>
      </w:r>
      <w:r/>
    </w:p>
    <w:p>
      <w:pPr>
        <w:ind w:right="129"/>
        <w:jc w:val="right"/>
        <w:rPr>
          <w:sz w:val="24"/>
          <w:szCs w:val="24"/>
        </w:rPr>
      </w:pPr>
      <w:r/>
      <w:bookmarkStart w:id="326" w:name="_bookmark179"/>
      <w:r/>
      <w:bookmarkEnd w:id="326"/>
      <w:r>
        <w:rPr>
          <w:sz w:val="24"/>
          <w:szCs w:val="24"/>
        </w:rPr>
        <w:t xml:space="preserve">Таблица </w:t>
      </w:r>
      <w:r>
        <w:rPr>
          <w:sz w:val="24"/>
          <w:szCs w:val="24"/>
        </w:rPr>
        <w:t xml:space="preserve">2.1.1</w:t>
      </w:r>
      <w:r>
        <w:rPr>
          <w:sz w:val="24"/>
          <w:szCs w:val="24"/>
        </w:rPr>
        <w:t xml:space="preserve"> </w:t>
      </w:r>
      <w:r>
        <w:rPr>
          <w:sz w:val="24"/>
          <w:szCs w:val="24"/>
        </w:rPr>
      </w:r>
      <w:r>
        <w:rPr>
          <w:sz w:val="24"/>
          <w:szCs w:val="24"/>
        </w:rPr>
      </w:r>
    </w:p>
    <w:p>
      <w:pPr>
        <w:ind w:right="129"/>
        <w:jc w:val="center"/>
        <w:rPr>
          <w:sz w:val="24"/>
          <w:szCs w:val="24"/>
        </w:rPr>
      </w:pPr>
      <w:r>
        <w:rPr>
          <w:sz w:val="24"/>
          <w:szCs w:val="24"/>
        </w:rPr>
        <w:t xml:space="preserve">Данные базового уровня потребления тепла по </w:t>
      </w:r>
      <w:r>
        <w:rPr>
          <w:sz w:val="24"/>
          <w:szCs w:val="24"/>
        </w:rPr>
        <w:t xml:space="preserve">централизованным </w:t>
      </w:r>
      <w:r>
        <w:rPr>
          <w:sz w:val="24"/>
          <w:szCs w:val="24"/>
        </w:rPr>
        <w:t xml:space="preserve">котельным</w:t>
      </w:r>
      <w:r>
        <w:rPr>
          <w:sz w:val="24"/>
          <w:szCs w:val="24"/>
        </w:rPr>
        <w:t xml:space="preserve"> </w:t>
      </w:r>
      <w:r>
        <w:rPr>
          <w:sz w:val="24"/>
          <w:szCs w:val="24"/>
        </w:rPr>
        <w:t xml:space="preserve">Юргамышского </w:t>
      </w:r>
      <w:r>
        <w:rPr>
          <w:sz w:val="24"/>
          <w:szCs w:val="24"/>
        </w:rPr>
        <w:t xml:space="preserve">муниципального округа</w:t>
      </w:r>
      <w:r>
        <w:rPr>
          <w:sz w:val="24"/>
          <w:szCs w:val="24"/>
        </w:rPr>
      </w:r>
      <w:r>
        <w:rPr>
          <w:sz w:val="24"/>
          <w:szCs w:val="24"/>
        </w:rPr>
      </w:r>
    </w:p>
    <w:p>
      <w:pPr>
        <w:pStyle w:val="1247"/>
        <w:spacing w:before="4"/>
        <w:rPr>
          <w:b/>
          <w:sz w:val="10"/>
        </w:rPr>
      </w:pPr>
      <w:r>
        <w:rPr>
          <w:b/>
          <w:sz w:val="10"/>
        </w:rPr>
      </w:r>
      <w:r>
        <w:rPr>
          <w:b/>
          <w:sz w:val="10"/>
        </w:rPr>
      </w:r>
      <w:r>
        <w:rPr>
          <w:b/>
          <w:sz w:val="10"/>
        </w:rPr>
      </w:r>
    </w:p>
    <w:tbl>
      <w:tblPr>
        <w:tblStyle w:val="1237"/>
        <w:tblW w:w="4871" w:type="pct"/>
        <w:tblInd w:w="131" w:type="dxa"/>
        <w:tblLook w:val="04A0" w:firstRow="1" w:lastRow="0" w:firstColumn="1" w:lastColumn="0" w:noHBand="0" w:noVBand="1"/>
      </w:tblPr>
      <w:tblGrid>
        <w:gridCol w:w="3413"/>
        <w:gridCol w:w="1247"/>
        <w:gridCol w:w="1247"/>
        <w:gridCol w:w="1246"/>
        <w:gridCol w:w="1246"/>
        <w:gridCol w:w="1246"/>
      </w:tblGrid>
      <w:tr>
        <w:tblPrEx/>
        <w:trPr>
          <w:trHeight w:val="458"/>
        </w:trPr>
        <w:tc>
          <w:tcPr>
            <w:tcBorders>
              <w:top w:val="single" w:color="auto" w:sz="4" w:space="0"/>
              <w:left w:val="single" w:color="auto" w:sz="4" w:space="0"/>
              <w:bottom w:val="single" w:color="auto" w:sz="4" w:space="0"/>
              <w:right w:val="single" w:color="auto" w:sz="4" w:space="0"/>
            </w:tcBorders>
            <w:tcW w:w="1769" w:type="pct"/>
            <w:vAlign w:val="center"/>
            <w:textDirection w:val="lrTb"/>
            <w:noWrap w:val="false"/>
          </w:tcPr>
          <w:p>
            <w:pPr>
              <w:pStyle w:val="1251"/>
              <w:spacing w:line="276" w:lineRule="auto"/>
              <w:rPr>
                <w:sz w:val="20"/>
                <w:szCs w:val="20"/>
              </w:rPr>
            </w:pPr>
            <w:r/>
            <w:bookmarkStart w:id="327" w:name="_bookmark180"/>
            <w:r/>
            <w:bookmarkStart w:id="328" w:name="_Toc130231970"/>
            <w:r/>
            <w:bookmarkEnd w:id="327"/>
            <w:r>
              <w:rPr>
                <w:sz w:val="20"/>
                <w:szCs w:val="20"/>
              </w:rPr>
              <w:t xml:space="preserve">Наименование и адрес теплового источника</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646" w:type="pct"/>
            <w:vAlign w:val="center"/>
            <w:textDirection w:val="lrTb"/>
            <w:noWrap w:val="false"/>
          </w:tcPr>
          <w:p>
            <w:pPr>
              <w:jc w:val="center"/>
              <w:spacing w:line="276" w:lineRule="auto"/>
              <w:widowControl/>
              <w:rPr>
                <w:rFonts w:eastAsia="Calibri"/>
                <w:sz w:val="20"/>
                <w:szCs w:val="20"/>
                <w:lang w:eastAsia="ru-RU"/>
              </w:rPr>
            </w:pPr>
            <w:r>
              <w:rPr>
                <w:rFonts w:eastAsia="Calibri"/>
                <w:sz w:val="20"/>
                <w:szCs w:val="20"/>
                <w:lang w:eastAsia="ru-RU"/>
              </w:rPr>
              <w:t xml:space="preserve">Выработано тепловой энергии, Гкал</w:t>
            </w:r>
            <w:r>
              <w:rPr>
                <w:rFonts w:eastAsia="Calibri"/>
                <w:sz w:val="20"/>
                <w:szCs w:val="20"/>
                <w:lang w:eastAsia="ru-RU"/>
              </w:rPr>
            </w:r>
            <w:r>
              <w:rPr>
                <w:rFonts w:eastAsia="Calibri"/>
                <w:sz w:val="20"/>
                <w:szCs w:val="20"/>
                <w:lang w:eastAsia="ru-RU"/>
              </w:rPr>
            </w:r>
          </w:p>
        </w:tc>
        <w:tc>
          <w:tcPr>
            <w:tcBorders>
              <w:top w:val="single" w:color="auto" w:sz="4" w:space="0"/>
              <w:left w:val="single" w:color="auto" w:sz="4" w:space="0"/>
              <w:bottom w:val="single" w:color="auto" w:sz="4" w:space="0"/>
              <w:right w:val="single" w:color="auto" w:sz="4" w:space="0"/>
            </w:tcBorders>
            <w:tcW w:w="646" w:type="pct"/>
            <w:vAlign w:val="center"/>
            <w:textDirection w:val="lrTb"/>
            <w:noWrap w:val="false"/>
          </w:tcPr>
          <w:p>
            <w:pPr>
              <w:jc w:val="center"/>
              <w:spacing w:line="276" w:lineRule="auto"/>
              <w:widowControl/>
              <w:rPr>
                <w:rFonts w:eastAsia="Calibri"/>
                <w:sz w:val="20"/>
                <w:szCs w:val="20"/>
              </w:rPr>
            </w:pPr>
            <w:r>
              <w:rPr>
                <w:rFonts w:eastAsia="Calibri"/>
                <w:sz w:val="20"/>
                <w:szCs w:val="20"/>
                <w:lang w:eastAsia="ru-RU"/>
              </w:rPr>
              <w:t xml:space="preserve">Расход на собственные нужды, Гкал</w:t>
            </w:r>
            <w:r>
              <w:rPr>
                <w:rFonts w:eastAsia="Calibri"/>
                <w:sz w:val="20"/>
                <w:szCs w:val="20"/>
              </w:rPr>
            </w:r>
            <w:r>
              <w:rPr>
                <w:rFonts w:eastAsia="Calibri"/>
                <w:sz w:val="20"/>
                <w:szCs w:val="20"/>
              </w:rPr>
            </w:r>
          </w:p>
        </w:tc>
        <w:tc>
          <w:tcPr>
            <w:tcBorders>
              <w:top w:val="single" w:color="auto" w:sz="4" w:space="0"/>
              <w:left w:val="single" w:color="auto" w:sz="4" w:space="0"/>
              <w:bottom w:val="single" w:color="auto" w:sz="4" w:space="0"/>
              <w:right w:val="single" w:color="auto" w:sz="4" w:space="0"/>
            </w:tcBorders>
            <w:tcW w:w="646" w:type="pct"/>
            <w:vAlign w:val="center"/>
            <w:textDirection w:val="lrTb"/>
            <w:noWrap w:val="false"/>
          </w:tcPr>
          <w:p>
            <w:pPr>
              <w:jc w:val="center"/>
              <w:spacing w:line="276" w:lineRule="auto"/>
              <w:widowControl/>
              <w:rPr>
                <w:rFonts w:eastAsia="Calibri"/>
                <w:sz w:val="20"/>
                <w:szCs w:val="20"/>
              </w:rPr>
            </w:pPr>
            <w:r>
              <w:rPr>
                <w:rFonts w:eastAsia="Calibri"/>
                <w:sz w:val="20"/>
                <w:szCs w:val="20"/>
                <w:lang w:eastAsia="ru-RU"/>
              </w:rPr>
              <w:t xml:space="preserve">Количество отпущенного тепла, Гкал</w:t>
            </w:r>
            <w:r>
              <w:rPr>
                <w:rFonts w:eastAsia="Calibri"/>
                <w:sz w:val="20"/>
                <w:szCs w:val="20"/>
              </w:rPr>
            </w:r>
            <w:r>
              <w:rPr>
                <w:rFonts w:eastAsia="Calibri"/>
                <w:sz w:val="20"/>
                <w:szCs w:val="20"/>
              </w:rPr>
            </w:r>
          </w:p>
        </w:tc>
        <w:tc>
          <w:tcPr>
            <w:tcBorders>
              <w:top w:val="single" w:color="auto" w:sz="4" w:space="0"/>
              <w:left w:val="single" w:color="auto" w:sz="4" w:space="0"/>
              <w:bottom w:val="single" w:color="auto" w:sz="4" w:space="0"/>
              <w:right w:val="single" w:color="auto" w:sz="4" w:space="0"/>
            </w:tcBorders>
            <w:tcW w:w="646" w:type="pct"/>
            <w:vAlign w:val="center"/>
            <w:textDirection w:val="lrTb"/>
            <w:noWrap w:val="false"/>
          </w:tcPr>
          <w:p>
            <w:pPr>
              <w:jc w:val="center"/>
              <w:spacing w:line="276" w:lineRule="auto"/>
              <w:widowControl/>
              <w:rPr>
                <w:rFonts w:eastAsia="Calibri"/>
                <w:sz w:val="20"/>
                <w:szCs w:val="20"/>
              </w:rPr>
            </w:pPr>
            <w:r>
              <w:rPr>
                <w:rFonts w:eastAsia="Calibri"/>
                <w:sz w:val="20"/>
                <w:szCs w:val="20"/>
              </w:rPr>
              <w:t xml:space="preserve">Потери в сетях, Гкал</w:t>
            </w:r>
            <w:r>
              <w:rPr>
                <w:rFonts w:eastAsia="Calibri"/>
                <w:sz w:val="20"/>
                <w:szCs w:val="20"/>
              </w:rPr>
            </w:r>
            <w:r>
              <w:rPr>
                <w:rFonts w:eastAsia="Calibri"/>
                <w:sz w:val="20"/>
                <w:szCs w:val="20"/>
              </w:rPr>
            </w:r>
          </w:p>
        </w:tc>
        <w:tc>
          <w:tcPr>
            <w:tcBorders>
              <w:top w:val="single" w:color="auto" w:sz="4" w:space="0"/>
              <w:left w:val="single" w:color="auto" w:sz="4" w:space="0"/>
              <w:bottom w:val="single" w:color="auto" w:sz="4" w:space="0"/>
              <w:right w:val="single" w:color="auto" w:sz="4" w:space="0"/>
            </w:tcBorders>
            <w:tcW w:w="646" w:type="pct"/>
            <w:vAlign w:val="center"/>
            <w:textDirection w:val="lrTb"/>
            <w:noWrap w:val="false"/>
          </w:tcPr>
          <w:p>
            <w:pPr>
              <w:jc w:val="center"/>
              <w:spacing w:line="276" w:lineRule="auto"/>
              <w:widowControl/>
              <w:rPr>
                <w:rFonts w:eastAsia="Calibri"/>
                <w:sz w:val="20"/>
                <w:szCs w:val="20"/>
              </w:rPr>
            </w:pPr>
            <w:r>
              <w:rPr>
                <w:rFonts w:eastAsia="Calibri"/>
                <w:sz w:val="20"/>
                <w:szCs w:val="20"/>
              </w:rPr>
              <w:t xml:space="preserve">Реализация, всего,</w:t>
            </w:r>
            <w:r>
              <w:rPr>
                <w:rFonts w:eastAsia="Calibri"/>
                <w:sz w:val="20"/>
                <w:szCs w:val="20"/>
              </w:rPr>
              <w:t xml:space="preserve"> </w:t>
            </w:r>
            <w:r>
              <w:rPr>
                <w:rFonts w:eastAsia="Calibri"/>
                <w:sz w:val="20"/>
                <w:szCs w:val="20"/>
              </w:rPr>
              <w:t xml:space="preserve">Гкал</w:t>
            </w:r>
            <w:r>
              <w:rPr>
                <w:rFonts w:eastAsia="Calibri"/>
                <w:sz w:val="20"/>
                <w:szCs w:val="20"/>
              </w:rPr>
            </w:r>
            <w:r>
              <w:rPr>
                <w:rFonts w:eastAsia="Calibri"/>
                <w:sz w:val="20"/>
                <w:szCs w:val="20"/>
              </w:rPr>
            </w:r>
          </w:p>
        </w:tc>
      </w:tr>
      <w:tr>
        <w:tblPrEx/>
        <w:trPr>
          <w:trHeight w:val="85"/>
        </w:trPr>
        <w:tc>
          <w:tcPr>
            <w:tcBorders>
              <w:top w:val="single" w:color="auto" w:sz="4" w:space="0"/>
              <w:left w:val="single" w:color="auto" w:sz="4" w:space="0"/>
              <w:bottom w:val="single" w:color="auto" w:sz="4" w:space="0"/>
              <w:right w:val="single" w:color="auto" w:sz="4" w:space="0"/>
            </w:tcBorders>
            <w:tcW w:w="1769" w:type="pct"/>
            <w:vAlign w:val="center"/>
            <w:textDirection w:val="lrTb"/>
            <w:noWrap w:val="false"/>
          </w:tcPr>
          <w:p>
            <w:pPr>
              <w:jc w:val="center"/>
              <w:rPr>
                <w:color w:val="000000"/>
                <w:sz w:val="20"/>
                <w:szCs w:val="20"/>
              </w:rPr>
            </w:pPr>
            <w:r>
              <w:rPr>
                <w:rFonts w:ascii="Liberation Serif" w:hAnsi="Liberation Serif" w:cs="Calibri"/>
                <w:color w:val="000000"/>
                <w:sz w:val="20"/>
                <w:szCs w:val="20"/>
              </w:rPr>
              <w:t xml:space="preserve">ООО «Новомировское домоуправление»</w:t>
            </w:r>
            <w:r>
              <w:rPr>
                <w:color w:val="000000"/>
                <w:sz w:val="20"/>
                <w:szCs w:val="20"/>
              </w:rPr>
            </w:r>
            <w:r>
              <w:rPr>
                <w:color w:val="000000"/>
                <w:sz w:val="20"/>
                <w:szCs w:val="20"/>
              </w:rPr>
            </w:r>
          </w:p>
        </w:tc>
        <w:tc>
          <w:tcPr>
            <w:tcBorders>
              <w:top w:val="single" w:color="auto" w:sz="4" w:space="0"/>
              <w:left w:val="single" w:color="auto" w:sz="4" w:space="0"/>
              <w:bottom w:val="single" w:color="auto" w:sz="4" w:space="0"/>
              <w:right w:val="single" w:color="auto" w:sz="4" w:space="0"/>
            </w:tcBorders>
            <w:tcW w:w="646" w:type="pct"/>
            <w:vAlign w:val="center"/>
            <w:textDirection w:val="lrTb"/>
            <w:noWrap w:val="false"/>
          </w:tcPr>
          <w:p>
            <w:pPr>
              <w:pStyle w:val="1251"/>
              <w:spacing w:line="276" w:lineRule="auto"/>
              <w:rPr>
                <w:sz w:val="20"/>
                <w:szCs w:val="20"/>
              </w:rPr>
            </w:pPr>
            <w:r>
              <w:rPr>
                <w:sz w:val="20"/>
                <w:szCs w:val="20"/>
              </w:rPr>
              <w:t xml:space="preserve">-</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646" w:type="pct"/>
            <w:vAlign w:val="center"/>
            <w:textDirection w:val="lrTb"/>
            <w:noWrap w:val="false"/>
          </w:tcPr>
          <w:p>
            <w:pPr>
              <w:pStyle w:val="1251"/>
              <w:spacing w:line="276" w:lineRule="auto"/>
              <w:rPr>
                <w:sz w:val="20"/>
                <w:szCs w:val="20"/>
              </w:rPr>
            </w:pPr>
            <w:r>
              <w:rPr>
                <w:sz w:val="20"/>
                <w:szCs w:val="20"/>
              </w:rPr>
              <w:t xml:space="preserve">-</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646" w:type="pct"/>
            <w:vAlign w:val="center"/>
            <w:textDirection w:val="lrTb"/>
            <w:noWrap w:val="false"/>
          </w:tcPr>
          <w:p>
            <w:pPr>
              <w:jc w:val="center"/>
              <w:rPr>
                <w:color w:val="000000"/>
                <w:sz w:val="20"/>
                <w:szCs w:val="20"/>
              </w:rPr>
            </w:pPr>
            <w:r>
              <w:rPr>
                <w:color w:val="000000"/>
                <w:sz w:val="20"/>
                <w:szCs w:val="20"/>
              </w:rPr>
              <w:t xml:space="preserve">-</w:t>
            </w:r>
            <w:r>
              <w:rPr>
                <w:color w:val="000000"/>
                <w:sz w:val="20"/>
                <w:szCs w:val="20"/>
              </w:rPr>
            </w:r>
            <w:r>
              <w:rPr>
                <w:color w:val="000000"/>
                <w:sz w:val="20"/>
                <w:szCs w:val="20"/>
              </w:rPr>
            </w:r>
          </w:p>
        </w:tc>
        <w:tc>
          <w:tcPr>
            <w:tcBorders>
              <w:top w:val="single" w:color="auto" w:sz="4" w:space="0"/>
              <w:left w:val="single" w:color="auto" w:sz="4" w:space="0"/>
              <w:bottom w:val="single" w:color="auto" w:sz="4" w:space="0"/>
              <w:right w:val="single" w:color="auto" w:sz="4" w:space="0"/>
            </w:tcBorders>
            <w:tcW w:w="646" w:type="pct"/>
            <w:vAlign w:val="center"/>
            <w:textDirection w:val="lrTb"/>
            <w:noWrap w:val="false"/>
          </w:tcPr>
          <w:p>
            <w:pPr>
              <w:jc w:val="center"/>
              <w:rPr>
                <w:color w:val="000000"/>
                <w:sz w:val="20"/>
                <w:szCs w:val="20"/>
              </w:rPr>
            </w:pPr>
            <w:r>
              <w:rPr>
                <w:color w:val="000000"/>
                <w:sz w:val="20"/>
                <w:szCs w:val="20"/>
              </w:rPr>
              <w:t xml:space="preserve">-</w:t>
            </w:r>
            <w:r>
              <w:rPr>
                <w:color w:val="000000"/>
                <w:sz w:val="20"/>
                <w:szCs w:val="20"/>
              </w:rPr>
            </w:r>
            <w:r>
              <w:rPr>
                <w:color w:val="000000"/>
                <w:sz w:val="20"/>
                <w:szCs w:val="20"/>
              </w:rPr>
            </w:r>
          </w:p>
        </w:tc>
        <w:tc>
          <w:tcPr>
            <w:tcBorders>
              <w:top w:val="single" w:color="auto" w:sz="4" w:space="0"/>
              <w:left w:val="single" w:color="auto" w:sz="4" w:space="0"/>
              <w:bottom w:val="single" w:color="auto" w:sz="4" w:space="0"/>
              <w:right w:val="single" w:color="auto" w:sz="4" w:space="0"/>
            </w:tcBorders>
            <w:tcW w:w="646" w:type="pct"/>
            <w:vAlign w:val="center"/>
            <w:textDirection w:val="lrTb"/>
            <w:noWrap w:val="false"/>
          </w:tcPr>
          <w:p>
            <w:pPr>
              <w:jc w:val="center"/>
              <w:rPr>
                <w:sz w:val="20"/>
                <w:szCs w:val="20"/>
              </w:rPr>
            </w:pPr>
            <w:r>
              <w:rPr>
                <w:sz w:val="20"/>
                <w:szCs w:val="20"/>
              </w:rPr>
              <w:t xml:space="preserve">8491,909</w:t>
            </w:r>
            <w:r>
              <w:rPr>
                <w:sz w:val="20"/>
                <w:szCs w:val="20"/>
              </w:rPr>
            </w:r>
            <w:r>
              <w:rPr>
                <w:sz w:val="20"/>
                <w:szCs w:val="20"/>
              </w:rPr>
            </w:r>
          </w:p>
        </w:tc>
      </w:tr>
      <w:tr>
        <w:tblPrEx/>
        <w:trPr>
          <w:trHeight w:val="236"/>
        </w:trPr>
        <w:tc>
          <w:tcPr>
            <w:tcBorders>
              <w:top w:val="single" w:color="auto" w:sz="4" w:space="0"/>
              <w:left w:val="single" w:color="auto" w:sz="4" w:space="0"/>
              <w:bottom w:val="single" w:color="auto" w:sz="4" w:space="0"/>
              <w:right w:val="single" w:color="auto" w:sz="4" w:space="0"/>
            </w:tcBorders>
            <w:tcW w:w="1769" w:type="pct"/>
            <w:vAlign w:val="center"/>
            <w:textDirection w:val="lrTb"/>
            <w:noWrap w:val="false"/>
          </w:tcPr>
          <w:p>
            <w:pPr>
              <w:jc w:val="center"/>
              <w:rPr>
                <w:sz w:val="20"/>
                <w:szCs w:val="20"/>
              </w:rPr>
            </w:pPr>
            <w:r>
              <w:rPr>
                <w:color w:val="000000"/>
                <w:sz w:val="20"/>
                <w:szCs w:val="20"/>
              </w:rPr>
              <w:t xml:space="preserve">Котельная </w:t>
            </w:r>
            <w:r>
              <w:rPr>
                <w:rFonts w:ascii="Liberation Serif" w:hAnsi="Liberation Serif" w:cs="Calibri"/>
                <w:color w:val="000000"/>
                <w:sz w:val="20"/>
                <w:szCs w:val="20"/>
              </w:rPr>
              <w:t xml:space="preserve">р.п.  Юргамыш, ул. Железнодорожная, территория тягловой подстанции ОАО «РЖД»</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646" w:type="pct"/>
            <w:vAlign w:val="center"/>
            <w:textDirection w:val="lrTb"/>
            <w:noWrap w:val="false"/>
          </w:tcPr>
          <w:p>
            <w:pPr>
              <w:pStyle w:val="1251"/>
              <w:spacing w:line="276" w:lineRule="auto"/>
              <w:rPr>
                <w:sz w:val="20"/>
                <w:szCs w:val="20"/>
              </w:rPr>
            </w:pPr>
            <w:r>
              <w:rPr>
                <w:bCs/>
                <w:sz w:val="20"/>
                <w:szCs w:val="20"/>
              </w:rPr>
              <w:t xml:space="preserve">1032,856</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646" w:type="pct"/>
            <w:vAlign w:val="center"/>
            <w:textDirection w:val="lrTb"/>
            <w:noWrap w:val="false"/>
          </w:tcPr>
          <w:p>
            <w:pPr>
              <w:pStyle w:val="1251"/>
              <w:spacing w:line="276" w:lineRule="auto"/>
              <w:rPr>
                <w:sz w:val="20"/>
                <w:szCs w:val="20"/>
              </w:rPr>
            </w:pPr>
            <w:r>
              <w:rPr>
                <w:bCs/>
                <w:sz w:val="20"/>
                <w:szCs w:val="20"/>
              </w:rPr>
              <w:t xml:space="preserve">24,789</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646" w:type="pct"/>
            <w:vAlign w:val="center"/>
            <w:textDirection w:val="lrTb"/>
            <w:noWrap w:val="false"/>
          </w:tcPr>
          <w:p>
            <w:pPr>
              <w:jc w:val="center"/>
              <w:rPr>
                <w:color w:val="000000"/>
                <w:sz w:val="20"/>
                <w:szCs w:val="20"/>
              </w:rPr>
            </w:pPr>
            <w:r>
              <w:rPr>
                <w:bCs/>
                <w:sz w:val="20"/>
                <w:szCs w:val="20"/>
              </w:rPr>
              <w:t xml:space="preserve">1008,068</w:t>
            </w:r>
            <w:r>
              <w:rPr>
                <w:color w:val="000000"/>
                <w:sz w:val="20"/>
                <w:szCs w:val="20"/>
              </w:rPr>
            </w:r>
            <w:r>
              <w:rPr>
                <w:color w:val="000000"/>
                <w:sz w:val="20"/>
                <w:szCs w:val="20"/>
              </w:rPr>
            </w:r>
          </w:p>
        </w:tc>
        <w:tc>
          <w:tcPr>
            <w:tcBorders>
              <w:top w:val="single" w:color="auto" w:sz="4" w:space="0"/>
              <w:left w:val="single" w:color="auto" w:sz="4" w:space="0"/>
              <w:bottom w:val="single" w:color="auto" w:sz="4" w:space="0"/>
              <w:right w:val="single" w:color="auto" w:sz="4" w:space="0"/>
            </w:tcBorders>
            <w:tcW w:w="646" w:type="pct"/>
            <w:vAlign w:val="center"/>
            <w:textDirection w:val="lrTb"/>
            <w:noWrap w:val="false"/>
          </w:tcPr>
          <w:p>
            <w:pPr>
              <w:jc w:val="center"/>
              <w:rPr>
                <w:color w:val="000000"/>
                <w:sz w:val="20"/>
                <w:szCs w:val="20"/>
              </w:rPr>
            </w:pPr>
            <w:r>
              <w:rPr>
                <w:bCs/>
                <w:sz w:val="20"/>
                <w:szCs w:val="20"/>
              </w:rPr>
              <w:t xml:space="preserve">357,956</w:t>
            </w:r>
            <w:r>
              <w:rPr>
                <w:color w:val="000000"/>
                <w:sz w:val="20"/>
                <w:szCs w:val="20"/>
              </w:rPr>
            </w:r>
            <w:r>
              <w:rPr>
                <w:color w:val="000000"/>
                <w:sz w:val="20"/>
                <w:szCs w:val="20"/>
              </w:rPr>
            </w:r>
          </w:p>
        </w:tc>
        <w:tc>
          <w:tcPr>
            <w:tcBorders>
              <w:top w:val="single" w:color="auto" w:sz="4" w:space="0"/>
              <w:left w:val="single" w:color="auto" w:sz="4" w:space="0"/>
              <w:bottom w:val="single" w:color="auto" w:sz="4" w:space="0"/>
              <w:right w:val="single" w:color="auto" w:sz="4" w:space="0"/>
            </w:tcBorders>
            <w:tcW w:w="646" w:type="pct"/>
            <w:vAlign w:val="center"/>
            <w:textDirection w:val="lrTb"/>
            <w:noWrap w:val="false"/>
          </w:tcPr>
          <w:p>
            <w:pPr>
              <w:jc w:val="center"/>
              <w:rPr>
                <w:sz w:val="20"/>
                <w:szCs w:val="20"/>
              </w:rPr>
            </w:pPr>
            <w:r>
              <w:rPr>
                <w:bCs/>
                <w:sz w:val="20"/>
                <w:szCs w:val="20"/>
              </w:rPr>
              <w:t xml:space="preserve">650,112</w:t>
            </w:r>
            <w:r>
              <w:rPr>
                <w:sz w:val="20"/>
                <w:szCs w:val="20"/>
              </w:rPr>
            </w:r>
            <w:r>
              <w:rPr>
                <w:sz w:val="20"/>
                <w:szCs w:val="20"/>
              </w:rPr>
            </w:r>
          </w:p>
        </w:tc>
      </w:tr>
      <w:tr>
        <w:tblPrEx/>
        <w:trPr>
          <w:trHeight w:val="236"/>
        </w:trPr>
        <w:tc>
          <w:tcPr>
            <w:tcBorders>
              <w:top w:val="single" w:color="auto" w:sz="4" w:space="0"/>
              <w:left w:val="single" w:color="auto" w:sz="4" w:space="0"/>
              <w:bottom w:val="single" w:color="auto" w:sz="4" w:space="0"/>
              <w:right w:val="single" w:color="auto" w:sz="4" w:space="0"/>
            </w:tcBorders>
            <w:tcW w:w="1769" w:type="pct"/>
            <w:vAlign w:val="center"/>
            <w:textDirection w:val="lrTb"/>
            <w:noWrap w:val="false"/>
          </w:tcPr>
          <w:p>
            <w:pPr>
              <w:jc w:val="center"/>
              <w:rPr>
                <w:sz w:val="20"/>
                <w:szCs w:val="20"/>
              </w:rPr>
            </w:pPr>
            <w:r>
              <w:rPr>
                <w:sz w:val="20"/>
                <w:szCs w:val="20"/>
              </w:rPr>
              <w:t xml:space="preserve">Котельная ФКУ ИК №7 УФСИН России по Курганской области,</w:t>
            </w:r>
            <w:r>
              <w:rPr>
                <w:rFonts w:ascii="Liberation Serif" w:hAnsi="Liberation Serif" w:cs="Calibri"/>
                <w:color w:val="000000"/>
                <w:sz w:val="20"/>
                <w:szCs w:val="20"/>
              </w:rPr>
              <w:t xml:space="preserve"> Курганская область, р.п. Юргамыш, ул. Труда, 147</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646" w:type="pct"/>
            <w:vAlign w:val="center"/>
            <w:textDirection w:val="lrTb"/>
            <w:noWrap w:val="false"/>
          </w:tcPr>
          <w:p>
            <w:pPr>
              <w:pStyle w:val="1251"/>
              <w:spacing w:line="276" w:lineRule="auto"/>
              <w:rPr>
                <w:sz w:val="20"/>
                <w:szCs w:val="20"/>
              </w:rPr>
            </w:pPr>
            <w:r>
              <w:rPr>
                <w:sz w:val="20"/>
                <w:szCs w:val="20"/>
              </w:rPr>
              <w:t xml:space="preserve">н/д</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646" w:type="pct"/>
            <w:vAlign w:val="center"/>
            <w:textDirection w:val="lrTb"/>
            <w:noWrap w:val="false"/>
          </w:tcPr>
          <w:p>
            <w:pPr>
              <w:pStyle w:val="1251"/>
              <w:spacing w:line="276" w:lineRule="auto"/>
              <w:rPr>
                <w:sz w:val="20"/>
                <w:szCs w:val="20"/>
              </w:rPr>
            </w:pPr>
            <w:r>
              <w:rPr>
                <w:sz w:val="20"/>
                <w:szCs w:val="20"/>
              </w:rPr>
              <w:t xml:space="preserve">н/д</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646" w:type="pct"/>
            <w:vAlign w:val="center"/>
            <w:textDirection w:val="lrTb"/>
            <w:noWrap w:val="false"/>
          </w:tcPr>
          <w:p>
            <w:pPr>
              <w:jc w:val="center"/>
              <w:rPr>
                <w:color w:val="000000"/>
                <w:sz w:val="20"/>
                <w:szCs w:val="20"/>
              </w:rPr>
            </w:pPr>
            <w:r>
              <w:rPr>
                <w:sz w:val="20"/>
                <w:szCs w:val="20"/>
              </w:rPr>
              <w:t xml:space="preserve">н/д</w:t>
            </w:r>
            <w:r>
              <w:rPr>
                <w:color w:val="000000"/>
                <w:sz w:val="20"/>
                <w:szCs w:val="20"/>
              </w:rPr>
            </w:r>
            <w:r>
              <w:rPr>
                <w:color w:val="000000"/>
                <w:sz w:val="20"/>
                <w:szCs w:val="20"/>
              </w:rPr>
            </w:r>
          </w:p>
        </w:tc>
        <w:tc>
          <w:tcPr>
            <w:tcBorders>
              <w:top w:val="single" w:color="auto" w:sz="4" w:space="0"/>
              <w:left w:val="single" w:color="auto" w:sz="4" w:space="0"/>
              <w:bottom w:val="single" w:color="auto" w:sz="4" w:space="0"/>
              <w:right w:val="single" w:color="auto" w:sz="4" w:space="0"/>
            </w:tcBorders>
            <w:tcW w:w="646" w:type="pct"/>
            <w:vAlign w:val="center"/>
            <w:textDirection w:val="lrTb"/>
            <w:noWrap w:val="false"/>
          </w:tcPr>
          <w:p>
            <w:pPr>
              <w:jc w:val="center"/>
              <w:rPr>
                <w:color w:val="000000"/>
                <w:sz w:val="20"/>
                <w:szCs w:val="20"/>
              </w:rPr>
            </w:pPr>
            <w:r>
              <w:rPr>
                <w:sz w:val="20"/>
                <w:szCs w:val="20"/>
              </w:rPr>
              <w:t xml:space="preserve">н/д</w:t>
            </w:r>
            <w:r>
              <w:rPr>
                <w:color w:val="000000"/>
                <w:sz w:val="20"/>
                <w:szCs w:val="20"/>
              </w:rPr>
            </w:r>
            <w:r>
              <w:rPr>
                <w:color w:val="000000"/>
                <w:sz w:val="20"/>
                <w:szCs w:val="20"/>
              </w:rPr>
            </w:r>
          </w:p>
        </w:tc>
        <w:tc>
          <w:tcPr>
            <w:tcBorders>
              <w:top w:val="single" w:color="auto" w:sz="4" w:space="0"/>
              <w:left w:val="single" w:color="auto" w:sz="4" w:space="0"/>
              <w:bottom w:val="single" w:color="auto" w:sz="4" w:space="0"/>
              <w:right w:val="single" w:color="auto" w:sz="4" w:space="0"/>
            </w:tcBorders>
            <w:tcW w:w="646" w:type="pct"/>
            <w:vAlign w:val="center"/>
            <w:textDirection w:val="lrTb"/>
            <w:noWrap w:val="false"/>
          </w:tcPr>
          <w:p>
            <w:pPr>
              <w:jc w:val="center"/>
              <w:rPr>
                <w:sz w:val="20"/>
                <w:szCs w:val="20"/>
              </w:rPr>
            </w:pPr>
            <w:r>
              <w:rPr>
                <w:sz w:val="20"/>
                <w:szCs w:val="20"/>
              </w:rPr>
              <w:t xml:space="preserve">н/д</w:t>
            </w:r>
            <w:r>
              <w:rPr>
                <w:sz w:val="20"/>
                <w:szCs w:val="20"/>
              </w:rPr>
            </w:r>
            <w:r>
              <w:rPr>
                <w:sz w:val="20"/>
                <w:szCs w:val="20"/>
              </w:rPr>
            </w:r>
          </w:p>
        </w:tc>
      </w:tr>
      <w:tr>
        <w:tblPrEx/>
        <w:trPr>
          <w:trHeight w:val="236"/>
        </w:trPr>
        <w:tc>
          <w:tcPr>
            <w:tcBorders>
              <w:top w:val="single" w:color="auto" w:sz="4" w:space="0"/>
              <w:left w:val="single" w:color="auto" w:sz="4" w:space="0"/>
              <w:bottom w:val="single" w:color="auto" w:sz="4" w:space="0"/>
              <w:right w:val="single" w:color="auto" w:sz="4" w:space="0"/>
            </w:tcBorders>
            <w:tcW w:w="1769" w:type="pct"/>
            <w:vAlign w:val="center"/>
            <w:textDirection w:val="lrTb"/>
            <w:noWrap w:val="false"/>
          </w:tcPr>
          <w:p>
            <w:pPr>
              <w:jc w:val="center"/>
              <w:rPr>
                <w:sz w:val="20"/>
                <w:szCs w:val="20"/>
              </w:rPr>
            </w:pPr>
            <w:r>
              <w:rPr>
                <w:sz w:val="20"/>
                <w:szCs w:val="20"/>
              </w:rPr>
              <w:t xml:space="preserve">Котельная </w:t>
            </w:r>
            <w:r>
              <w:rPr>
                <w:rFonts w:ascii="Liberation Serif" w:hAnsi="Liberation Serif" w:cs="Calibri"/>
                <w:color w:val="000000"/>
                <w:sz w:val="20"/>
                <w:szCs w:val="20"/>
              </w:rPr>
              <w:t xml:space="preserve">р.п. Юргамыш, ул. Ленина, 47а</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646" w:type="pct"/>
            <w:vAlign w:val="center"/>
            <w:textDirection w:val="lrTb"/>
            <w:noWrap w:val="false"/>
          </w:tcPr>
          <w:p>
            <w:pPr>
              <w:pStyle w:val="1251"/>
              <w:spacing w:line="276" w:lineRule="auto"/>
              <w:rPr>
                <w:sz w:val="20"/>
                <w:szCs w:val="20"/>
              </w:rPr>
            </w:pPr>
            <w:r>
              <w:rPr>
                <w:sz w:val="20"/>
                <w:szCs w:val="20"/>
              </w:rPr>
              <w:t xml:space="preserve">н/д</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646" w:type="pct"/>
            <w:vAlign w:val="center"/>
            <w:textDirection w:val="lrTb"/>
            <w:noWrap w:val="false"/>
          </w:tcPr>
          <w:p>
            <w:pPr>
              <w:pStyle w:val="1251"/>
              <w:spacing w:line="276" w:lineRule="auto"/>
              <w:rPr>
                <w:sz w:val="20"/>
                <w:szCs w:val="20"/>
              </w:rPr>
            </w:pPr>
            <w:r>
              <w:rPr>
                <w:sz w:val="20"/>
                <w:szCs w:val="20"/>
              </w:rPr>
              <w:t xml:space="preserve">н/д</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646" w:type="pct"/>
            <w:vAlign w:val="center"/>
            <w:textDirection w:val="lrTb"/>
            <w:noWrap w:val="false"/>
          </w:tcPr>
          <w:p>
            <w:pPr>
              <w:jc w:val="center"/>
              <w:rPr>
                <w:color w:val="000000"/>
                <w:sz w:val="20"/>
                <w:szCs w:val="20"/>
              </w:rPr>
            </w:pPr>
            <w:r>
              <w:rPr>
                <w:sz w:val="20"/>
                <w:szCs w:val="20"/>
              </w:rPr>
              <w:t xml:space="preserve">н/д</w:t>
            </w:r>
            <w:r>
              <w:rPr>
                <w:color w:val="000000"/>
                <w:sz w:val="20"/>
                <w:szCs w:val="20"/>
              </w:rPr>
            </w:r>
            <w:r>
              <w:rPr>
                <w:color w:val="000000"/>
                <w:sz w:val="20"/>
                <w:szCs w:val="20"/>
              </w:rPr>
            </w:r>
          </w:p>
        </w:tc>
        <w:tc>
          <w:tcPr>
            <w:tcBorders>
              <w:top w:val="single" w:color="auto" w:sz="4" w:space="0"/>
              <w:left w:val="single" w:color="auto" w:sz="4" w:space="0"/>
              <w:bottom w:val="single" w:color="auto" w:sz="4" w:space="0"/>
              <w:right w:val="single" w:color="auto" w:sz="4" w:space="0"/>
            </w:tcBorders>
            <w:tcW w:w="646" w:type="pct"/>
            <w:vAlign w:val="center"/>
            <w:textDirection w:val="lrTb"/>
            <w:noWrap w:val="false"/>
          </w:tcPr>
          <w:p>
            <w:pPr>
              <w:jc w:val="center"/>
              <w:rPr>
                <w:color w:val="000000"/>
                <w:sz w:val="20"/>
                <w:szCs w:val="20"/>
              </w:rPr>
            </w:pPr>
            <w:r>
              <w:rPr>
                <w:sz w:val="20"/>
                <w:szCs w:val="20"/>
              </w:rPr>
              <w:t xml:space="preserve">н/д</w:t>
            </w:r>
            <w:r>
              <w:rPr>
                <w:color w:val="000000"/>
                <w:sz w:val="20"/>
                <w:szCs w:val="20"/>
              </w:rPr>
            </w:r>
            <w:r>
              <w:rPr>
                <w:color w:val="000000"/>
                <w:sz w:val="20"/>
                <w:szCs w:val="20"/>
              </w:rPr>
            </w:r>
          </w:p>
        </w:tc>
        <w:tc>
          <w:tcPr>
            <w:tcBorders>
              <w:top w:val="single" w:color="auto" w:sz="4" w:space="0"/>
              <w:left w:val="single" w:color="auto" w:sz="4" w:space="0"/>
              <w:bottom w:val="single" w:color="auto" w:sz="4" w:space="0"/>
              <w:right w:val="single" w:color="auto" w:sz="4" w:space="0"/>
            </w:tcBorders>
            <w:tcW w:w="646" w:type="pct"/>
            <w:vAlign w:val="center"/>
            <w:textDirection w:val="lrTb"/>
            <w:noWrap w:val="false"/>
          </w:tcPr>
          <w:p>
            <w:pPr>
              <w:jc w:val="center"/>
              <w:rPr>
                <w:sz w:val="20"/>
                <w:szCs w:val="20"/>
              </w:rPr>
            </w:pPr>
            <w:r>
              <w:rPr>
                <w:sz w:val="20"/>
                <w:szCs w:val="20"/>
              </w:rPr>
              <w:t xml:space="preserve">5234,00</w:t>
            </w:r>
            <w:r>
              <w:rPr>
                <w:sz w:val="20"/>
                <w:szCs w:val="20"/>
              </w:rPr>
            </w:r>
            <w:r>
              <w:rPr>
                <w:sz w:val="20"/>
                <w:szCs w:val="20"/>
              </w:rPr>
            </w:r>
          </w:p>
        </w:tc>
      </w:tr>
    </w:tbl>
    <w:p>
      <w:pPr>
        <w:pStyle w:val="1248"/>
        <w:ind w:right="145" w:firstLine="733"/>
        <w:spacing w:before="1"/>
        <w:rPr>
          <w:lang w:eastAsia="ru-RU"/>
        </w:rPr>
      </w:pPr>
      <w:r>
        <w:rPr>
          <w:lang w:eastAsia="ru-RU"/>
        </w:rPr>
      </w:r>
      <w:r>
        <w:rPr>
          <w:lang w:eastAsia="ru-RU"/>
        </w:rPr>
      </w:r>
      <w:r>
        <w:rPr>
          <w:lang w:eastAsia="ru-RU"/>
        </w:rPr>
      </w:r>
    </w:p>
    <w:p>
      <w:pPr>
        <w:pStyle w:val="1248"/>
        <w:ind w:right="145" w:firstLine="733"/>
        <w:spacing w:before="1"/>
      </w:pPr>
      <w:r/>
      <w:bookmarkStart w:id="329" w:name="_Toc165540750"/>
      <w:r>
        <w:rPr>
          <w:lang w:eastAsia="ru-RU"/>
        </w:rPr>
        <w:t xml:space="preserve">2.2 </w:t>
      </w:r>
      <w:r>
        <w:t xml:space="preserve">Прогнозы приростов площади строительных фондов, сгруппированные по расчётным эл</w:t>
      </w:r>
      <w:r>
        <w:t xml:space="preserve">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bookmarkEnd w:id="328"/>
      <w:r/>
      <w:bookmarkEnd w:id="329"/>
      <w:r/>
      <w:r/>
    </w:p>
    <w:p>
      <w:pPr>
        <w:pStyle w:val="1248"/>
        <w:ind w:left="119" w:right="153" w:firstLine="731"/>
        <w:spacing w:before="120"/>
        <w:rPr>
          <w:b w:val="0"/>
          <w:lang w:eastAsia="ru-RU"/>
        </w:rPr>
      </w:pPr>
      <w:r/>
      <w:bookmarkStart w:id="330" w:name="_bookmark181"/>
      <w:r/>
      <w:bookmarkStart w:id="331" w:name="_bookmark182"/>
      <w:r/>
      <w:bookmarkStart w:id="332" w:name="_bookmark183"/>
      <w:r/>
      <w:bookmarkStart w:id="333" w:name="_Toc130231971"/>
      <w:r/>
      <w:bookmarkStart w:id="334" w:name="_Toc165540751"/>
      <w:r/>
      <w:bookmarkEnd w:id="330"/>
      <w:r/>
      <w:bookmarkEnd w:id="331"/>
      <w:r/>
      <w:bookmarkEnd w:id="332"/>
      <w:r>
        <w:rPr>
          <w:b w:val="0"/>
          <w:lang w:eastAsia="ru-RU"/>
        </w:rPr>
        <w:t xml:space="preserve">Проектом генерального плана Юргамышского</w:t>
      </w:r>
      <w:r>
        <w:rPr>
          <w:b w:val="0"/>
          <w:lang w:eastAsia="ru-RU"/>
        </w:rPr>
        <w:t xml:space="preserve"> муниципального округа </w:t>
      </w:r>
      <w:r>
        <w:rPr>
          <w:b w:val="0"/>
          <w:lang w:eastAsia="ru-RU"/>
        </w:rPr>
        <w:t xml:space="preserve">Курганской</w:t>
      </w:r>
      <w:r>
        <w:rPr>
          <w:b w:val="0"/>
          <w:lang w:eastAsia="ru-RU"/>
        </w:rPr>
        <w:t xml:space="preserve"> области модернизация системы теплоснабжения не предусматривает изменения схемы теплоснабжения </w:t>
      </w:r>
      <w:r>
        <w:rPr>
          <w:b w:val="0"/>
          <w:lang w:eastAsia="ru-RU"/>
        </w:rPr>
        <w:t xml:space="preserve">Юргамышского</w:t>
      </w:r>
      <w:r>
        <w:rPr>
          <w:b w:val="0"/>
          <w:lang w:eastAsia="ru-RU"/>
        </w:rPr>
        <w:t xml:space="preserve"> муниципального округа</w:t>
      </w:r>
      <w:r>
        <w:rPr>
          <w:b w:val="0"/>
          <w:lang w:eastAsia="ru-RU"/>
        </w:rPr>
        <w:t xml:space="preserve">. </w:t>
      </w:r>
      <w:r>
        <w:rPr>
          <w:b w:val="0"/>
          <w:lang w:eastAsia="ru-RU"/>
        </w:rPr>
        <w:t xml:space="preserve">Отопление и горячее водоснабжение существующей и перспективной индивидуальной жилой застройки предлагается осуществить от индивидуальных газовых теплогенераторов (котлов) и проточных водонаг</w:t>
      </w:r>
      <w:r>
        <w:rPr>
          <w:b w:val="0"/>
          <w:lang w:eastAsia="ru-RU"/>
        </w:rPr>
        <w:t xml:space="preserve">ревателей. Теплоснабжение существующих и новых объектов общественного назначения предлагается осуществить от автономных источников, в качестве которых возможно применение блочно-модульных автоматизированных котельных и автономных газовых теплогенераторов. </w:t>
      </w:r>
      <w:r>
        <w:rPr>
          <w:b w:val="0"/>
          <w:lang w:eastAsia="ru-RU"/>
        </w:rPr>
        <w:t xml:space="preserve">Выданные условия на технологическое присоединение по состоянию на 01.0</w:t>
      </w:r>
      <w:r>
        <w:rPr>
          <w:b w:val="0"/>
          <w:lang w:eastAsia="ru-RU"/>
        </w:rPr>
        <w:t xml:space="preserve">9</w:t>
      </w:r>
      <w:r>
        <w:rPr>
          <w:b w:val="0"/>
          <w:lang w:eastAsia="ru-RU"/>
        </w:rPr>
        <w:t xml:space="preserve">.2024</w:t>
      </w:r>
      <w:r>
        <w:rPr>
          <w:b w:val="0"/>
          <w:lang w:eastAsia="ru-RU"/>
        </w:rPr>
        <w:t xml:space="preserve"> г. отсутствуют. Выданные разрешения на строительство также отсутствуют.   </w:t>
      </w:r>
      <w:r>
        <w:rPr>
          <w:b w:val="0"/>
          <w:lang w:eastAsia="ru-RU"/>
        </w:rPr>
      </w:r>
      <w:r>
        <w:rPr>
          <w:b w:val="0"/>
          <w:lang w:eastAsia="ru-RU"/>
        </w:rPr>
      </w:r>
    </w:p>
    <w:p>
      <w:pPr>
        <w:pStyle w:val="1248"/>
        <w:ind w:right="151" w:firstLine="733"/>
        <w:spacing w:before="0"/>
        <w:rPr>
          <w:lang w:eastAsia="ru-RU"/>
        </w:rPr>
      </w:pPr>
      <w:r>
        <w:rPr>
          <w:lang w:eastAsia="ru-RU"/>
        </w:rPr>
      </w:r>
      <w:r>
        <w:rPr>
          <w:lang w:eastAsia="ru-RU"/>
        </w:rPr>
      </w:r>
      <w:r>
        <w:rPr>
          <w:lang w:eastAsia="ru-RU"/>
        </w:rPr>
      </w:r>
    </w:p>
    <w:p>
      <w:pPr>
        <w:pStyle w:val="1248"/>
        <w:ind w:right="151" w:firstLine="733"/>
        <w:spacing w:before="0"/>
      </w:pPr>
      <w:r>
        <w:rPr>
          <w:lang w:eastAsia="ru-RU"/>
        </w:rPr>
        <w:t xml:space="preserve">2.3 </w:t>
      </w:r>
      <w:r>
        <w:t xml:space="preserve">Прогнозы</w:t>
      </w:r>
      <w:r>
        <w:rPr>
          <w:spacing w:val="-4"/>
        </w:rPr>
        <w:t xml:space="preserve"> </w:t>
      </w:r>
      <w:r>
        <w:t xml:space="preserve">перспективных</w:t>
      </w:r>
      <w:r>
        <w:rPr>
          <w:spacing w:val="-4"/>
        </w:rPr>
        <w:t xml:space="preserve"> </w:t>
      </w:r>
      <w:r>
        <w:t xml:space="preserve">удельных</w:t>
      </w:r>
      <w:r>
        <w:rPr>
          <w:spacing w:val="-4"/>
        </w:rPr>
        <w:t xml:space="preserve"> </w:t>
      </w:r>
      <w:r>
        <w:t xml:space="preserve">расходов</w:t>
      </w:r>
      <w:r>
        <w:rPr>
          <w:spacing w:val="-4"/>
        </w:rPr>
        <w:t xml:space="preserve"> </w:t>
      </w:r>
      <w:r>
        <w:t xml:space="preserve">тепловой</w:t>
      </w:r>
      <w:r>
        <w:rPr>
          <w:spacing w:val="-4"/>
        </w:rPr>
        <w:t xml:space="preserve"> </w:t>
      </w:r>
      <w:r>
        <w:t xml:space="preserve">энергии</w:t>
      </w:r>
      <w:r>
        <w:rPr>
          <w:spacing w:val="-4"/>
        </w:rPr>
        <w:t xml:space="preserve"> </w:t>
      </w:r>
      <w:r>
        <w:t xml:space="preserve">на</w:t>
      </w:r>
      <w:r>
        <w:rPr>
          <w:spacing w:val="-4"/>
        </w:rPr>
        <w:t xml:space="preserve"> </w:t>
      </w:r>
      <w:r>
        <w:t xml:space="preserve">отопление, вентиляцию</w:t>
      </w:r>
      <w:r>
        <w:rPr>
          <w:spacing w:val="-9"/>
        </w:rPr>
        <w:t xml:space="preserve"> </w:t>
      </w:r>
      <w:r>
        <w:t xml:space="preserve">и</w:t>
      </w:r>
      <w:r>
        <w:rPr>
          <w:spacing w:val="-7"/>
        </w:rPr>
        <w:t xml:space="preserve"> </w:t>
      </w:r>
      <w:r>
        <w:t xml:space="preserve">горячее</w:t>
      </w:r>
      <w:r>
        <w:rPr>
          <w:spacing w:val="-9"/>
        </w:rPr>
        <w:t xml:space="preserve"> </w:t>
      </w:r>
      <w:r>
        <w:t xml:space="preserve">водоснабжение,</w:t>
      </w:r>
      <w:r>
        <w:rPr>
          <w:spacing w:val="-8"/>
        </w:rPr>
        <w:t xml:space="preserve"> </w:t>
      </w:r>
      <w:r>
        <w:t xml:space="preserve">согласованных</w:t>
      </w:r>
      <w:r>
        <w:rPr>
          <w:spacing w:val="-8"/>
        </w:rPr>
        <w:t xml:space="preserve"> </w:t>
      </w:r>
      <w:r>
        <w:t xml:space="preserve">с</w:t>
      </w:r>
      <w:r>
        <w:rPr>
          <w:spacing w:val="-9"/>
        </w:rPr>
        <w:t xml:space="preserve"> </w:t>
      </w:r>
      <w:r>
        <w:t xml:space="preserve">требованиями</w:t>
      </w:r>
      <w:r>
        <w:rPr>
          <w:spacing w:val="-7"/>
        </w:rPr>
        <w:t xml:space="preserve"> </w:t>
      </w:r>
      <w:r>
        <w:t xml:space="preserve">к</w:t>
      </w:r>
      <w:r>
        <w:rPr>
          <w:spacing w:val="-7"/>
        </w:rPr>
        <w:t xml:space="preserve"> </w:t>
      </w:r>
      <w:r>
        <w:t xml:space="preserve">энергетической эффективности объектов теплопотребления, устанавливаемых в соответствии с законодательством Российской Федерации</w:t>
      </w:r>
      <w:bookmarkEnd w:id="333"/>
      <w:r/>
      <w:bookmarkEnd w:id="334"/>
      <w:r/>
      <w:r/>
    </w:p>
    <w:p>
      <w:pPr>
        <w:spacing w:line="210" w:lineRule="exact"/>
        <w:rPr>
          <w:sz w:val="20"/>
        </w:rPr>
        <w:sectPr>
          <w:footnotePr/>
          <w:endnotePr/>
          <w:type w:val="nextPage"/>
          <w:pgSz w:w="11910" w:h="16840" w:orient="portrait"/>
          <w:pgMar w:top="1040" w:right="700" w:bottom="1057" w:left="1300" w:header="0" w:footer="758" w:gutter="0"/>
          <w:cols w:num="1" w:sep="0" w:space="720" w:equalWidth="1"/>
          <w:docGrid w:linePitch="360"/>
        </w:sectPr>
      </w:pPr>
      <w:r>
        <w:rPr>
          <w:sz w:val="20"/>
        </w:rPr>
      </w:r>
      <w:r>
        <w:rPr>
          <w:sz w:val="20"/>
        </w:rPr>
      </w:r>
      <w:r>
        <w:rPr>
          <w:sz w:val="20"/>
        </w:rPr>
      </w:r>
    </w:p>
    <w:p>
      <w:pPr>
        <w:pStyle w:val="1247"/>
        <w:ind w:left="142" w:right="130" w:firstLine="709"/>
        <w:jc w:val="both"/>
        <w:spacing w:before="120"/>
      </w:pPr>
      <w:r>
        <w:t xml:space="preserve">Для</w:t>
      </w:r>
      <w:r>
        <w:rPr>
          <w:spacing w:val="1"/>
        </w:rPr>
        <w:t xml:space="preserve"> </w:t>
      </w:r>
      <w:r>
        <w:t xml:space="preserve">формирования</w:t>
      </w:r>
      <w:r>
        <w:rPr>
          <w:spacing w:val="1"/>
        </w:rPr>
        <w:t xml:space="preserve"> </w:t>
      </w:r>
      <w:r>
        <w:t xml:space="preserve">прогноза</w:t>
      </w:r>
      <w:r>
        <w:rPr>
          <w:spacing w:val="1"/>
        </w:rPr>
        <w:t xml:space="preserve"> </w:t>
      </w:r>
      <w:r>
        <w:t xml:space="preserve">теплопотребления</w:t>
      </w:r>
      <w:r>
        <w:rPr>
          <w:spacing w:val="1"/>
        </w:rPr>
        <w:t xml:space="preserve"> </w:t>
      </w:r>
      <w:r>
        <w:t xml:space="preserve">на</w:t>
      </w:r>
      <w:r>
        <w:rPr>
          <w:spacing w:val="1"/>
        </w:rPr>
        <w:t xml:space="preserve"> </w:t>
      </w:r>
      <w:r>
        <w:t xml:space="preserve">расчетный</w:t>
      </w:r>
      <w:r>
        <w:rPr>
          <w:spacing w:val="1"/>
        </w:rPr>
        <w:t xml:space="preserve"> </w:t>
      </w:r>
      <w:r>
        <w:t xml:space="preserve">период</w:t>
      </w:r>
      <w:r>
        <w:rPr>
          <w:spacing w:val="1"/>
        </w:rPr>
        <w:t xml:space="preserve"> </w:t>
      </w:r>
      <w:r>
        <w:t xml:space="preserve">рекомендуется</w:t>
      </w:r>
      <w:r>
        <w:rPr>
          <w:spacing w:val="1"/>
        </w:rPr>
        <w:t xml:space="preserve"> </w:t>
      </w:r>
      <w:r>
        <w:t xml:space="preserve">принимать</w:t>
      </w:r>
      <w:r>
        <w:rPr>
          <w:spacing w:val="1"/>
        </w:rPr>
        <w:t xml:space="preserve"> </w:t>
      </w:r>
      <w:r>
        <w:t xml:space="preserve">нормативные</w:t>
      </w:r>
      <w:r>
        <w:rPr>
          <w:spacing w:val="1"/>
        </w:rPr>
        <w:t xml:space="preserve"> </w:t>
      </w:r>
      <w:r>
        <w:t xml:space="preserve">значения</w:t>
      </w:r>
      <w:r>
        <w:rPr>
          <w:spacing w:val="1"/>
        </w:rPr>
        <w:t xml:space="preserve"> </w:t>
      </w:r>
      <w:r>
        <w:t xml:space="preserve">удельного</w:t>
      </w:r>
      <w:r>
        <w:rPr>
          <w:spacing w:val="1"/>
        </w:rPr>
        <w:t xml:space="preserve"> </w:t>
      </w:r>
      <w:r>
        <w:t xml:space="preserve">теплопотребления</w:t>
      </w:r>
      <w:r>
        <w:rPr>
          <w:spacing w:val="1"/>
        </w:rPr>
        <w:t xml:space="preserve"> </w:t>
      </w:r>
      <w:r>
        <w:t xml:space="preserve">вновь</w:t>
      </w:r>
      <w:r>
        <w:rPr>
          <w:spacing w:val="1"/>
        </w:rPr>
        <w:t xml:space="preserve"> </w:t>
      </w:r>
      <w:r>
        <w:t xml:space="preserve">строящихся</w:t>
      </w:r>
      <w:r>
        <w:rPr>
          <w:spacing w:val="1"/>
        </w:rPr>
        <w:t xml:space="preserve"> </w:t>
      </w:r>
      <w:r>
        <w:t xml:space="preserve">и</w:t>
      </w:r>
      <w:r>
        <w:rPr>
          <w:spacing w:val="1"/>
        </w:rPr>
        <w:t xml:space="preserve"> </w:t>
      </w:r>
      <w:r>
        <w:t xml:space="preserve">реконструируемых</w:t>
      </w:r>
      <w:r>
        <w:rPr>
          <w:spacing w:val="1"/>
        </w:rPr>
        <w:t xml:space="preserve"> </w:t>
      </w:r>
      <w:r>
        <w:t xml:space="preserve">зданий</w:t>
      </w:r>
      <w:r>
        <w:rPr>
          <w:spacing w:val="1"/>
        </w:rPr>
        <w:t xml:space="preserve"> </w:t>
      </w:r>
      <w:r>
        <w:t xml:space="preserve">в</w:t>
      </w:r>
      <w:r>
        <w:rPr>
          <w:spacing w:val="1"/>
        </w:rPr>
        <w:t xml:space="preserve"> </w:t>
      </w:r>
      <w:r>
        <w:t xml:space="preserve">соответствии</w:t>
      </w:r>
      <w:r>
        <w:rPr>
          <w:spacing w:val="1"/>
        </w:rPr>
        <w:t xml:space="preserve"> </w:t>
      </w:r>
      <w:r>
        <w:t xml:space="preserve">с</w:t>
      </w:r>
      <w:r>
        <w:rPr>
          <w:spacing w:val="1"/>
        </w:rPr>
        <w:t xml:space="preserve"> </w:t>
      </w:r>
      <w:r>
        <w:t xml:space="preserve">СНиП</w:t>
      </w:r>
      <w:r>
        <w:rPr>
          <w:spacing w:val="1"/>
        </w:rPr>
        <w:t xml:space="preserve"> </w:t>
      </w:r>
      <w:r>
        <w:t xml:space="preserve">23-02-2003</w:t>
      </w:r>
      <w:r>
        <w:rPr>
          <w:spacing w:val="1"/>
        </w:rPr>
        <w:t xml:space="preserve"> </w:t>
      </w:r>
      <w:r>
        <w:t xml:space="preserve">«Тепловая</w:t>
      </w:r>
      <w:r>
        <w:rPr>
          <w:spacing w:val="1"/>
        </w:rPr>
        <w:t xml:space="preserve"> </w:t>
      </w:r>
      <w:r>
        <w:t xml:space="preserve">защита</w:t>
      </w:r>
      <w:r>
        <w:rPr>
          <w:spacing w:val="1"/>
        </w:rPr>
        <w:t xml:space="preserve"> </w:t>
      </w:r>
      <w:r>
        <w:t xml:space="preserve">зданий» и</w:t>
      </w:r>
      <w:r>
        <w:rPr>
          <w:spacing w:val="1"/>
        </w:rPr>
        <w:t xml:space="preserve"> </w:t>
      </w:r>
      <w:r>
        <w:t xml:space="preserve">на</w:t>
      </w:r>
      <w:r>
        <w:rPr>
          <w:spacing w:val="1"/>
        </w:rPr>
        <w:t xml:space="preserve"> </w:t>
      </w:r>
      <w:r>
        <w:t xml:space="preserve">основании</w:t>
      </w:r>
      <w:r>
        <w:rPr>
          <w:spacing w:val="1"/>
        </w:rPr>
        <w:t xml:space="preserve"> </w:t>
      </w:r>
      <w:r>
        <w:t xml:space="preserve">Приказа</w:t>
      </w:r>
      <w:r>
        <w:rPr>
          <w:spacing w:val="1"/>
        </w:rPr>
        <w:t xml:space="preserve"> </w:t>
      </w:r>
      <w:r>
        <w:t xml:space="preserve">Министерства</w:t>
      </w:r>
      <w:r>
        <w:rPr>
          <w:spacing w:val="1"/>
        </w:rPr>
        <w:t xml:space="preserve"> </w:t>
      </w:r>
      <w:r>
        <w:t xml:space="preserve">регионального</w:t>
      </w:r>
      <w:r>
        <w:rPr>
          <w:spacing w:val="1"/>
        </w:rPr>
        <w:t xml:space="preserve"> </w:t>
      </w:r>
      <w:r>
        <w:t xml:space="preserve">развития</w:t>
      </w:r>
      <w:r>
        <w:rPr>
          <w:spacing w:val="1"/>
        </w:rPr>
        <w:t xml:space="preserve"> </w:t>
      </w:r>
      <w:r>
        <w:t xml:space="preserve">РФ</w:t>
      </w:r>
      <w:r>
        <w:rPr>
          <w:spacing w:val="1"/>
        </w:rPr>
        <w:t xml:space="preserve"> </w:t>
      </w:r>
      <w:r>
        <w:t xml:space="preserve">от</w:t>
      </w:r>
      <w:r>
        <w:rPr>
          <w:spacing w:val="1"/>
        </w:rPr>
        <w:t xml:space="preserve"> </w:t>
      </w:r>
      <w:r>
        <w:t xml:space="preserve">28.05.2010г.</w:t>
      </w:r>
      <w:r>
        <w:rPr>
          <w:spacing w:val="61"/>
        </w:rPr>
        <w:t xml:space="preserve"> </w:t>
      </w:r>
      <w:r>
        <w:t xml:space="preserve">№262</w:t>
      </w:r>
      <w:r>
        <w:rPr>
          <w:spacing w:val="61"/>
        </w:rPr>
        <w:t xml:space="preserve"> </w:t>
      </w:r>
      <w:r>
        <w:t xml:space="preserve">«О</w:t>
      </w:r>
      <w:r>
        <w:rPr>
          <w:spacing w:val="1"/>
        </w:rPr>
        <w:t xml:space="preserve"> </w:t>
      </w:r>
      <w:r>
        <w:t xml:space="preserve">требованиях</w:t>
      </w:r>
      <w:r>
        <w:rPr>
          <w:spacing w:val="1"/>
        </w:rPr>
        <w:t xml:space="preserve"> </w:t>
      </w:r>
      <w:r>
        <w:t xml:space="preserve">энергетической</w:t>
      </w:r>
      <w:r>
        <w:rPr>
          <w:spacing w:val="-1"/>
        </w:rPr>
        <w:t xml:space="preserve"> </w:t>
      </w:r>
      <w:r>
        <w:t xml:space="preserve">эффективности</w:t>
      </w:r>
      <w:r>
        <w:rPr>
          <w:spacing w:val="-2"/>
        </w:rPr>
        <w:t xml:space="preserve"> </w:t>
      </w:r>
      <w:r>
        <w:t xml:space="preserve">зданий,</w:t>
      </w:r>
      <w:r>
        <w:rPr>
          <w:spacing w:val="-1"/>
        </w:rPr>
        <w:t xml:space="preserve"> </w:t>
      </w:r>
      <w:r>
        <w:t xml:space="preserve">строений</w:t>
      </w:r>
      <w:r>
        <w:rPr>
          <w:spacing w:val="-3"/>
        </w:rPr>
        <w:t xml:space="preserve"> </w:t>
      </w:r>
      <w:r>
        <w:t xml:space="preserve">и сооружений».</w:t>
      </w:r>
      <w:r/>
    </w:p>
    <w:p>
      <w:pPr>
        <w:ind w:left="142" w:right="129" w:firstLine="709"/>
        <w:jc w:val="center"/>
        <w:rPr>
          <w:sz w:val="24"/>
          <w:szCs w:val="24"/>
        </w:rPr>
      </w:pPr>
      <w:r>
        <w:rPr>
          <w:sz w:val="24"/>
          <w:szCs w:val="24"/>
        </w:rPr>
      </w:r>
      <w:r>
        <w:rPr>
          <w:sz w:val="24"/>
          <w:szCs w:val="24"/>
        </w:rPr>
      </w:r>
      <w:r>
        <w:rPr>
          <w:sz w:val="24"/>
          <w:szCs w:val="24"/>
        </w:rPr>
      </w:r>
    </w:p>
    <w:p>
      <w:pPr>
        <w:rPr>
          <w:b/>
          <w:bCs/>
          <w:sz w:val="24"/>
          <w:szCs w:val="24"/>
          <w:lang w:eastAsia="ru-RU"/>
        </w:rPr>
      </w:pPr>
      <w:r/>
      <w:bookmarkStart w:id="335" w:name="_bookmark185"/>
      <w:r/>
      <w:bookmarkStart w:id="336" w:name="_Toc130231972"/>
      <w:r/>
      <w:bookmarkStart w:id="337" w:name="_Toc165540752"/>
      <w:r/>
      <w:bookmarkEnd w:id="335"/>
      <w:r>
        <w:rPr>
          <w:lang w:eastAsia="ru-RU"/>
        </w:rPr>
        <w:br w:type="page" w:clear="all"/>
      </w:r>
      <w:r>
        <w:rPr>
          <w:b/>
          <w:bCs/>
          <w:sz w:val="24"/>
          <w:szCs w:val="24"/>
          <w:lang w:eastAsia="ru-RU"/>
        </w:rPr>
      </w:r>
      <w:r>
        <w:rPr>
          <w:b/>
          <w:bCs/>
          <w:sz w:val="24"/>
          <w:szCs w:val="24"/>
          <w:lang w:eastAsia="ru-RU"/>
        </w:rPr>
      </w:r>
    </w:p>
    <w:p>
      <w:pPr>
        <w:pStyle w:val="1248"/>
        <w:ind w:right="145" w:firstLine="733"/>
      </w:pPr>
      <w:r>
        <w:rPr>
          <w:lang w:eastAsia="ru-RU"/>
        </w:rPr>
        <w:t xml:space="preserve">2.4 </w:t>
      </w:r>
      <w:r>
        <w:t xml:space="preserve">Прогнозы приростов объёмов потребления тепловой энергии (мощности) и теплоносителя</w:t>
      </w:r>
      <w:r>
        <w:rPr>
          <w:spacing w:val="-5"/>
        </w:rPr>
        <w:t xml:space="preserve"> </w:t>
      </w:r>
      <w:r>
        <w:t xml:space="preserve">с</w:t>
      </w:r>
      <w:r>
        <w:rPr>
          <w:spacing w:val="-5"/>
        </w:rPr>
        <w:t xml:space="preserve"> </w:t>
      </w:r>
      <w:r>
        <w:t xml:space="preserve">разделением</w:t>
      </w:r>
      <w:r>
        <w:rPr>
          <w:spacing w:val="-5"/>
        </w:rPr>
        <w:t xml:space="preserve"> </w:t>
      </w:r>
      <w:r>
        <w:t xml:space="preserve">по</w:t>
      </w:r>
      <w:r>
        <w:rPr>
          <w:spacing w:val="-4"/>
        </w:rPr>
        <w:t xml:space="preserve"> </w:t>
      </w:r>
      <w:r>
        <w:t xml:space="preserve">видам</w:t>
      </w:r>
      <w:r>
        <w:rPr>
          <w:spacing w:val="-5"/>
        </w:rPr>
        <w:t xml:space="preserve"> </w:t>
      </w:r>
      <w:r>
        <w:t xml:space="preserve">теплопотребления</w:t>
      </w:r>
      <w:r>
        <w:rPr>
          <w:spacing w:val="-4"/>
        </w:rPr>
        <w:t xml:space="preserve"> </w:t>
      </w:r>
      <w:r>
        <w:t xml:space="preserve">в</w:t>
      </w:r>
      <w:r>
        <w:rPr>
          <w:spacing w:val="-5"/>
        </w:rPr>
        <w:t xml:space="preserve"> </w:t>
      </w:r>
      <w:r>
        <w:t xml:space="preserve">каждом</w:t>
      </w:r>
      <w:r>
        <w:rPr>
          <w:spacing w:val="-4"/>
        </w:rPr>
        <w:t xml:space="preserve"> </w:t>
      </w:r>
      <w:r>
        <w:t xml:space="preserve">расчётном</w:t>
      </w:r>
      <w:r>
        <w:rPr>
          <w:spacing w:val="-4"/>
        </w:rPr>
        <w:t xml:space="preserve"> </w:t>
      </w:r>
      <w:r>
        <w:t xml:space="preserve">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336"/>
      <w:r/>
      <w:bookmarkEnd w:id="337"/>
      <w:r/>
      <w:r/>
    </w:p>
    <w:p>
      <w:pPr>
        <w:pStyle w:val="1247"/>
        <w:ind w:left="118" w:right="148" w:firstLine="707"/>
        <w:jc w:val="both"/>
        <w:spacing w:before="115"/>
        <w:rPr>
          <w:spacing w:val="-2"/>
        </w:rPr>
      </w:pPr>
      <w:r>
        <w:t xml:space="preserve">Прогнозы приростов объёмов потребления тепловой энергии (мощности) и теплоносителя</w:t>
      </w:r>
      <w:r>
        <w:rPr>
          <w:spacing w:val="-1"/>
        </w:rPr>
        <w:t xml:space="preserve"> </w:t>
      </w:r>
      <w:r>
        <w:t xml:space="preserve">в</w:t>
      </w:r>
      <w:r>
        <w:rPr>
          <w:spacing w:val="-2"/>
        </w:rPr>
        <w:t xml:space="preserve"> </w:t>
      </w:r>
      <w:r>
        <w:t xml:space="preserve">зоне</w:t>
      </w:r>
      <w:r>
        <w:rPr>
          <w:spacing w:val="-2"/>
        </w:rPr>
        <w:t xml:space="preserve"> </w:t>
      </w:r>
      <w:r>
        <w:t xml:space="preserve">действия</w:t>
      </w:r>
      <w:r>
        <w:rPr>
          <w:spacing w:val="-1"/>
        </w:rPr>
        <w:t xml:space="preserve"> </w:t>
      </w:r>
      <w:r>
        <w:rPr>
          <w:spacing w:val="-1"/>
        </w:rPr>
        <w:t xml:space="preserve">централизованных </w:t>
      </w:r>
      <w:r>
        <w:t xml:space="preserve">котельных </w:t>
      </w:r>
      <w:r>
        <w:t xml:space="preserve">Юргамышского</w:t>
      </w:r>
      <w:r>
        <w:t xml:space="preserve"> муниципального округа</w:t>
      </w:r>
      <w:r>
        <w:t xml:space="preserve"> приведены</w:t>
      </w:r>
      <w:r>
        <w:rPr>
          <w:spacing w:val="-2"/>
        </w:rPr>
        <w:t xml:space="preserve"> </w:t>
      </w:r>
      <w:r>
        <w:t xml:space="preserve">в</w:t>
      </w:r>
      <w:r>
        <w:rPr>
          <w:spacing w:val="-2"/>
        </w:rPr>
        <w:t xml:space="preserve"> таблице</w:t>
      </w:r>
      <w:r>
        <w:rPr>
          <w:spacing w:val="-2"/>
        </w:rPr>
        <w:t xml:space="preserve"> 2.4.1</w:t>
      </w:r>
      <w:r>
        <w:rPr>
          <w:spacing w:val="-2"/>
        </w:rPr>
        <w:t xml:space="preserve">.</w:t>
      </w:r>
      <w:r>
        <w:rPr>
          <w:spacing w:val="-2"/>
        </w:rPr>
      </w:r>
      <w:r>
        <w:rPr>
          <w:spacing w:val="-2"/>
        </w:rPr>
      </w:r>
    </w:p>
    <w:p>
      <w:pPr>
        <w:pStyle w:val="1247"/>
        <w:ind w:left="119" w:right="147" w:firstLine="709"/>
        <w:jc w:val="both"/>
        <w:rPr>
          <w:spacing w:val="-2"/>
        </w:rPr>
      </w:pPr>
      <w:r>
        <w:rPr>
          <w:spacing w:val="-2"/>
        </w:rPr>
        <w:t xml:space="preserve">Учитыва</w:t>
      </w:r>
      <w:r>
        <w:rPr>
          <w:spacing w:val="-2"/>
        </w:rPr>
        <w:t xml:space="preserve">я отсутствие в муниципальном округе утвержденных параметров долгосрочного развития муниципального образования, а также, существующую тенденцию к сокращению численности населения, прогноз численности населения на 2039 год претерпит незначительные изменения.</w:t>
      </w:r>
      <w:r>
        <w:rPr>
          <w:spacing w:val="-2"/>
        </w:rPr>
      </w:r>
      <w:r>
        <w:rPr>
          <w:spacing w:val="-2"/>
        </w:rPr>
      </w:r>
    </w:p>
    <w:p>
      <w:pPr>
        <w:pStyle w:val="1247"/>
        <w:ind w:left="119" w:right="147" w:firstLine="709"/>
        <w:jc w:val="both"/>
        <w:rPr>
          <w:spacing w:val="-2"/>
        </w:rPr>
      </w:pPr>
      <w:r>
        <w:rPr>
          <w:spacing w:val="-2"/>
        </w:rPr>
        <w:t xml:space="preserve">Решение вопросов, связанных с теплоснабжением проектов, реализуемых на территории </w:t>
      </w:r>
      <w:r>
        <w:t xml:space="preserve">Юргамышского</w:t>
      </w:r>
      <w:r>
        <w:t xml:space="preserve"> муниципального округа</w:t>
      </w:r>
      <w:r>
        <w:rPr>
          <w:spacing w:val="-2"/>
        </w:rPr>
        <w:t xml:space="preserve">, в каждом конкретном случае будет согласовываться с планами развития муниципального образования и с возможностями организаций, вырабатывающих и отпускающих тепловую энергию.</w:t>
      </w:r>
      <w:r>
        <w:rPr>
          <w:spacing w:val="-2"/>
        </w:rPr>
      </w:r>
      <w:r>
        <w:rPr>
          <w:spacing w:val="-2"/>
        </w:rPr>
      </w:r>
    </w:p>
    <w:p>
      <w:pPr>
        <w:pStyle w:val="1247"/>
        <w:ind w:left="119" w:right="147" w:firstLine="709"/>
        <w:jc w:val="both"/>
        <w:rPr>
          <w:spacing w:val="-2"/>
        </w:rPr>
      </w:pPr>
      <w:r>
        <w:rPr>
          <w:spacing w:val="-2"/>
        </w:rPr>
        <w:t xml:space="preserve">При отсутствии свободных мощностей или технической возможности для присоединения дополнительной нагрузки, рекомендуется использование индивидуальных систем отопления для новых потребителей.</w:t>
      </w:r>
      <w:r>
        <w:rPr>
          <w:spacing w:val="-2"/>
        </w:rPr>
      </w:r>
      <w:r>
        <w:rPr>
          <w:spacing w:val="-2"/>
        </w:rPr>
      </w:r>
    </w:p>
    <w:p>
      <w:pPr>
        <w:pStyle w:val="1247"/>
        <w:ind w:left="118" w:right="148" w:firstLine="707"/>
        <w:jc w:val="right"/>
        <w:spacing w:before="115"/>
        <w:rPr>
          <w:spacing w:val="-2"/>
        </w:rPr>
      </w:pPr>
      <w:r>
        <w:rPr>
          <w:spacing w:val="-2"/>
        </w:rPr>
      </w:r>
      <w:r>
        <w:rPr>
          <w:spacing w:val="-2"/>
        </w:rPr>
      </w:r>
      <w:r>
        <w:rPr>
          <w:spacing w:val="-2"/>
        </w:rPr>
      </w:r>
    </w:p>
    <w:p>
      <w:pPr>
        <w:pStyle w:val="1247"/>
        <w:ind w:left="118" w:right="148" w:firstLine="707"/>
        <w:jc w:val="right"/>
        <w:spacing w:before="115"/>
        <w:rPr>
          <w:spacing w:val="-2"/>
        </w:rPr>
        <w:sectPr>
          <w:footnotePr/>
          <w:endnotePr/>
          <w:type w:val="continuous"/>
          <w:pgSz w:w="11910" w:h="16840" w:orient="portrait"/>
          <w:pgMar w:top="1100" w:right="700" w:bottom="940" w:left="1300" w:header="0" w:footer="758" w:gutter="0"/>
          <w:cols w:num="1" w:sep="0" w:space="720" w:equalWidth="1"/>
          <w:docGrid w:linePitch="360"/>
        </w:sectPr>
      </w:pPr>
      <w:r>
        <w:rPr>
          <w:spacing w:val="-2"/>
        </w:rPr>
      </w:r>
      <w:r>
        <w:rPr>
          <w:spacing w:val="-2"/>
        </w:rPr>
      </w:r>
      <w:r>
        <w:rPr>
          <w:spacing w:val="-2"/>
        </w:rPr>
      </w:r>
    </w:p>
    <w:p>
      <w:pPr>
        <w:pStyle w:val="1247"/>
        <w:ind w:left="118" w:right="148" w:firstLine="707"/>
        <w:jc w:val="right"/>
        <w:spacing w:before="115"/>
        <w:rPr>
          <w:spacing w:val="-2"/>
        </w:rPr>
      </w:pPr>
      <w:r>
        <w:rPr>
          <w:spacing w:val="-2"/>
        </w:rPr>
        <w:t xml:space="preserve">Таблица </w:t>
      </w:r>
      <w:r>
        <w:rPr>
          <w:spacing w:val="-2"/>
        </w:rPr>
        <w:t xml:space="preserve">2.</w:t>
      </w:r>
      <w:r>
        <w:rPr>
          <w:spacing w:val="-2"/>
        </w:rPr>
        <w:t xml:space="preserve">4.1</w:t>
      </w:r>
      <w:r>
        <w:rPr>
          <w:spacing w:val="-2"/>
        </w:rPr>
      </w:r>
      <w:r>
        <w:rPr>
          <w:spacing w:val="-2"/>
        </w:rPr>
      </w:r>
    </w:p>
    <w:p>
      <w:pPr>
        <w:pStyle w:val="1247"/>
        <w:ind w:left="119" w:right="147" w:firstLine="709"/>
        <w:jc w:val="center"/>
      </w:pPr>
      <w:r>
        <w:t xml:space="preserve">Прогнозы приростов объёмов потребления тепловой энергии (мощности) и теплоносителя в зон</w:t>
      </w:r>
      <w:r>
        <w:t xml:space="preserve">ах</w:t>
      </w:r>
      <w:r>
        <w:t xml:space="preserve"> действия котельных</w:t>
      </w:r>
      <w:r/>
    </w:p>
    <w:tbl>
      <w:tblPr>
        <w:tblStyle w:val="1237"/>
        <w:tblW w:w="0" w:type="auto"/>
        <w:tblInd w:w="27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1E0" w:firstRow="1" w:lastRow="1" w:firstColumn="1" w:lastColumn="1" w:noHBand="0" w:noVBand="0"/>
      </w:tblPr>
      <w:tblGrid>
        <w:gridCol w:w="6965"/>
        <w:gridCol w:w="1270"/>
        <w:gridCol w:w="1272"/>
        <w:gridCol w:w="1128"/>
        <w:gridCol w:w="1270"/>
        <w:gridCol w:w="1272"/>
        <w:gridCol w:w="1219"/>
      </w:tblGrid>
      <w:tr>
        <w:tblPrEx/>
        <w:trPr>
          <w:trHeight w:val="277"/>
        </w:trPr>
        <w:tc>
          <w:tcPr>
            <w:tcW w:w="6965" w:type="dxa"/>
            <w:vAlign w:val="center"/>
            <w:vMerge w:val="restart"/>
            <w:textDirection w:val="lrTb"/>
            <w:noWrap w:val="false"/>
          </w:tcPr>
          <w:p>
            <w:pPr>
              <w:pStyle w:val="1251"/>
              <w:ind w:left="11" w:right="4"/>
              <w:rPr>
                <w:sz w:val="20"/>
                <w:szCs w:val="20"/>
              </w:rPr>
            </w:pPr>
            <w:r/>
            <w:bookmarkStart w:id="338" w:name="_bookmark186"/>
            <w:r/>
            <w:bookmarkEnd w:id="338"/>
            <w:r>
              <w:rPr>
                <w:spacing w:val="-2"/>
                <w:sz w:val="20"/>
                <w:szCs w:val="20"/>
              </w:rPr>
              <w:t xml:space="preserve">Наименование</w:t>
            </w:r>
            <w:r>
              <w:rPr>
                <w:sz w:val="20"/>
                <w:szCs w:val="20"/>
              </w:rPr>
              <w:t xml:space="preserve"> </w:t>
            </w:r>
            <w:r>
              <w:rPr>
                <w:spacing w:val="-2"/>
                <w:sz w:val="20"/>
                <w:szCs w:val="20"/>
              </w:rPr>
              <w:t xml:space="preserve">показателя</w:t>
            </w:r>
            <w:r>
              <w:rPr>
                <w:sz w:val="20"/>
                <w:szCs w:val="20"/>
              </w:rPr>
            </w:r>
            <w:r>
              <w:rPr>
                <w:sz w:val="20"/>
                <w:szCs w:val="20"/>
              </w:rPr>
            </w:r>
          </w:p>
        </w:tc>
        <w:tc>
          <w:tcPr>
            <w:gridSpan w:val="6"/>
            <w:tcW w:w="7431" w:type="dxa"/>
            <w:vAlign w:val="center"/>
            <w:textDirection w:val="lrTb"/>
            <w:noWrap w:val="false"/>
          </w:tcPr>
          <w:p>
            <w:pPr>
              <w:pStyle w:val="1251"/>
              <w:ind w:left="11" w:right="4"/>
              <w:rPr>
                <w:sz w:val="20"/>
                <w:szCs w:val="20"/>
              </w:rPr>
            </w:pPr>
            <w:r>
              <w:rPr>
                <w:sz w:val="20"/>
                <w:szCs w:val="20"/>
              </w:rPr>
              <w:t xml:space="preserve">Значение</w:t>
            </w:r>
            <w:r>
              <w:rPr>
                <w:spacing w:val="-3"/>
                <w:sz w:val="20"/>
                <w:szCs w:val="20"/>
              </w:rPr>
              <w:t xml:space="preserve"> </w:t>
            </w:r>
            <w:r>
              <w:rPr>
                <w:sz w:val="20"/>
                <w:szCs w:val="20"/>
              </w:rPr>
              <w:t xml:space="preserve">показателя</w:t>
            </w:r>
            <w:r>
              <w:rPr>
                <w:sz w:val="20"/>
                <w:szCs w:val="20"/>
              </w:rPr>
            </w:r>
            <w:r>
              <w:rPr>
                <w:sz w:val="20"/>
                <w:szCs w:val="20"/>
              </w:rPr>
            </w:r>
          </w:p>
        </w:tc>
      </w:tr>
      <w:tr>
        <w:tblPrEx/>
        <w:trPr>
          <w:trHeight w:val="275"/>
        </w:trPr>
        <w:tc>
          <w:tcPr>
            <w:tcBorders>
              <w:top w:val="none" w:color="000000" w:sz="4" w:space="0"/>
            </w:tcBorders>
            <w:tcW w:w="6965" w:type="dxa"/>
            <w:vAlign w:val="center"/>
            <w:vMerge w:val="continue"/>
            <w:textDirection w:val="lrTb"/>
            <w:noWrap w:val="false"/>
          </w:tcPr>
          <w:p>
            <w:pPr>
              <w:ind w:left="11" w:right="4"/>
              <w:jc w:val="center"/>
              <w:rPr>
                <w:sz w:val="20"/>
                <w:szCs w:val="20"/>
              </w:rPr>
            </w:pPr>
            <w:r>
              <w:rPr>
                <w:sz w:val="20"/>
                <w:szCs w:val="20"/>
              </w:rPr>
            </w:r>
            <w:r>
              <w:rPr>
                <w:sz w:val="20"/>
                <w:szCs w:val="20"/>
              </w:rPr>
            </w:r>
            <w:r>
              <w:rPr>
                <w:sz w:val="20"/>
                <w:szCs w:val="20"/>
              </w:rPr>
            </w:r>
          </w:p>
        </w:tc>
        <w:tc>
          <w:tcPr>
            <w:tcW w:w="1270" w:type="dxa"/>
            <w:vAlign w:val="center"/>
            <w:textDirection w:val="lrTb"/>
            <w:noWrap w:val="false"/>
          </w:tcPr>
          <w:p>
            <w:pPr>
              <w:pStyle w:val="1251"/>
              <w:ind w:left="11" w:right="4"/>
              <w:rPr>
                <w:sz w:val="20"/>
                <w:szCs w:val="20"/>
              </w:rPr>
            </w:pPr>
            <w:r>
              <w:rPr>
                <w:sz w:val="20"/>
                <w:szCs w:val="20"/>
              </w:rPr>
              <w:t xml:space="preserve">2024</w:t>
            </w:r>
            <w:r>
              <w:rPr>
                <w:sz w:val="20"/>
                <w:szCs w:val="20"/>
              </w:rPr>
            </w:r>
            <w:r>
              <w:rPr>
                <w:sz w:val="20"/>
                <w:szCs w:val="20"/>
              </w:rPr>
            </w:r>
          </w:p>
        </w:tc>
        <w:tc>
          <w:tcPr>
            <w:tcW w:w="1272" w:type="dxa"/>
            <w:vAlign w:val="center"/>
            <w:textDirection w:val="lrTb"/>
            <w:noWrap w:val="false"/>
          </w:tcPr>
          <w:p>
            <w:pPr>
              <w:pStyle w:val="1251"/>
              <w:ind w:left="11" w:right="4"/>
              <w:rPr>
                <w:sz w:val="20"/>
                <w:szCs w:val="20"/>
              </w:rPr>
            </w:pPr>
            <w:r>
              <w:rPr>
                <w:sz w:val="20"/>
                <w:szCs w:val="20"/>
              </w:rPr>
              <w:t xml:space="preserve">2025</w:t>
            </w:r>
            <w:r>
              <w:rPr>
                <w:sz w:val="20"/>
                <w:szCs w:val="20"/>
              </w:rPr>
            </w:r>
            <w:r>
              <w:rPr>
                <w:sz w:val="20"/>
                <w:szCs w:val="20"/>
              </w:rPr>
            </w:r>
          </w:p>
        </w:tc>
        <w:tc>
          <w:tcPr>
            <w:tcW w:w="1128" w:type="dxa"/>
            <w:vAlign w:val="center"/>
            <w:textDirection w:val="lrTb"/>
            <w:noWrap w:val="false"/>
          </w:tcPr>
          <w:p>
            <w:pPr>
              <w:pStyle w:val="1251"/>
              <w:ind w:left="11" w:right="4"/>
              <w:rPr>
                <w:sz w:val="20"/>
                <w:szCs w:val="20"/>
              </w:rPr>
            </w:pPr>
            <w:r>
              <w:rPr>
                <w:sz w:val="20"/>
                <w:szCs w:val="20"/>
              </w:rPr>
              <w:t xml:space="preserve">2026</w:t>
            </w:r>
            <w:r>
              <w:rPr>
                <w:sz w:val="20"/>
                <w:szCs w:val="20"/>
              </w:rPr>
            </w:r>
            <w:r>
              <w:rPr>
                <w:sz w:val="20"/>
                <w:szCs w:val="20"/>
              </w:rPr>
            </w:r>
          </w:p>
        </w:tc>
        <w:tc>
          <w:tcPr>
            <w:tcW w:w="1270" w:type="dxa"/>
            <w:vAlign w:val="center"/>
            <w:textDirection w:val="lrTb"/>
            <w:noWrap w:val="false"/>
          </w:tcPr>
          <w:p>
            <w:pPr>
              <w:pStyle w:val="1251"/>
              <w:ind w:left="11" w:right="4"/>
              <w:rPr>
                <w:sz w:val="20"/>
                <w:szCs w:val="20"/>
              </w:rPr>
            </w:pPr>
            <w:r>
              <w:rPr>
                <w:sz w:val="20"/>
                <w:szCs w:val="20"/>
              </w:rPr>
              <w:t xml:space="preserve">2027</w:t>
            </w:r>
            <w:r>
              <w:rPr>
                <w:sz w:val="20"/>
                <w:szCs w:val="20"/>
              </w:rPr>
            </w:r>
            <w:r>
              <w:rPr>
                <w:sz w:val="20"/>
                <w:szCs w:val="20"/>
              </w:rPr>
            </w:r>
          </w:p>
        </w:tc>
        <w:tc>
          <w:tcPr>
            <w:tcW w:w="1272" w:type="dxa"/>
            <w:vAlign w:val="center"/>
            <w:textDirection w:val="lrTb"/>
            <w:noWrap w:val="false"/>
          </w:tcPr>
          <w:p>
            <w:pPr>
              <w:pStyle w:val="1251"/>
              <w:ind w:left="11" w:right="4"/>
              <w:rPr>
                <w:sz w:val="20"/>
                <w:szCs w:val="20"/>
              </w:rPr>
            </w:pPr>
            <w:r>
              <w:rPr>
                <w:sz w:val="20"/>
                <w:szCs w:val="20"/>
              </w:rPr>
              <w:t xml:space="preserve">2028</w:t>
            </w:r>
            <w:r>
              <w:rPr>
                <w:sz w:val="20"/>
                <w:szCs w:val="20"/>
              </w:rPr>
            </w:r>
            <w:r>
              <w:rPr>
                <w:sz w:val="20"/>
                <w:szCs w:val="20"/>
              </w:rPr>
            </w:r>
          </w:p>
        </w:tc>
        <w:tc>
          <w:tcPr>
            <w:tcW w:w="1219" w:type="dxa"/>
            <w:vAlign w:val="center"/>
            <w:textDirection w:val="lrTb"/>
            <w:noWrap w:val="false"/>
          </w:tcPr>
          <w:p>
            <w:pPr>
              <w:pStyle w:val="1251"/>
              <w:ind w:left="11" w:right="4"/>
              <w:rPr>
                <w:sz w:val="20"/>
                <w:szCs w:val="20"/>
              </w:rPr>
            </w:pPr>
            <w:r>
              <w:rPr>
                <w:sz w:val="20"/>
                <w:szCs w:val="20"/>
              </w:rPr>
              <w:t xml:space="preserve">2029-2039</w:t>
            </w:r>
            <w:r>
              <w:rPr>
                <w:sz w:val="20"/>
                <w:szCs w:val="20"/>
              </w:rPr>
            </w:r>
            <w:r>
              <w:rPr>
                <w:sz w:val="20"/>
                <w:szCs w:val="20"/>
              </w:rPr>
            </w:r>
          </w:p>
        </w:tc>
      </w:tr>
      <w:tr>
        <w:tblPrEx/>
        <w:trPr>
          <w:trHeight w:val="275"/>
        </w:trPr>
        <w:tc>
          <w:tcPr>
            <w:gridSpan w:val="7"/>
            <w:tcW w:w="14396" w:type="dxa"/>
            <w:vAlign w:val="center"/>
            <w:textDirection w:val="lrTb"/>
            <w:noWrap w:val="false"/>
          </w:tcPr>
          <w:p>
            <w:pPr>
              <w:pStyle w:val="1251"/>
              <w:ind w:left="11" w:right="4"/>
              <w:rPr>
                <w:sz w:val="20"/>
                <w:szCs w:val="20"/>
              </w:rPr>
            </w:pPr>
            <w:r>
              <w:rPr>
                <w:color w:val="000000"/>
                <w:sz w:val="20"/>
                <w:szCs w:val="20"/>
              </w:rPr>
              <w:t xml:space="preserve">Котельная </w:t>
            </w:r>
            <w:r>
              <w:rPr>
                <w:rFonts w:ascii="Liberation Serif" w:hAnsi="Liberation Serif" w:cs="Calibri"/>
                <w:color w:val="000000"/>
                <w:sz w:val="20"/>
                <w:szCs w:val="20"/>
              </w:rPr>
              <w:t xml:space="preserve">п. Новый Мир, ЛПДС «Юргамыш»</w:t>
            </w:r>
            <w:r>
              <w:rPr>
                <w:sz w:val="20"/>
                <w:szCs w:val="20"/>
              </w:rPr>
            </w:r>
            <w:r>
              <w:rPr>
                <w:sz w:val="20"/>
                <w:szCs w:val="20"/>
              </w:rPr>
            </w:r>
          </w:p>
        </w:tc>
      </w:tr>
      <w:tr>
        <w:tblPrEx/>
        <w:trPr>
          <w:trHeight w:val="85"/>
        </w:trPr>
        <w:tc>
          <w:tcPr>
            <w:tcW w:w="6965" w:type="dxa"/>
            <w:vAlign w:val="center"/>
            <w:textDirection w:val="lrTb"/>
            <w:noWrap w:val="false"/>
          </w:tcPr>
          <w:p>
            <w:pPr>
              <w:pStyle w:val="1251"/>
              <w:ind w:left="161" w:right="4"/>
              <w:jc w:val="left"/>
              <w:rPr>
                <w:sz w:val="20"/>
                <w:szCs w:val="20"/>
              </w:rPr>
            </w:pPr>
            <w:r>
              <w:rPr>
                <w:spacing w:val="-2"/>
                <w:sz w:val="20"/>
                <w:szCs w:val="20"/>
              </w:rPr>
              <w:t xml:space="preserve">Установленная</w:t>
            </w:r>
            <w:r>
              <w:rPr>
                <w:sz w:val="20"/>
                <w:szCs w:val="20"/>
              </w:rPr>
              <w:t xml:space="preserve"> мощность,</w:t>
            </w:r>
            <w:r>
              <w:rPr>
                <w:spacing w:val="-5"/>
                <w:sz w:val="20"/>
                <w:szCs w:val="20"/>
              </w:rPr>
              <w:t xml:space="preserve"> </w:t>
            </w:r>
            <w:r>
              <w:rPr>
                <w:spacing w:val="-2"/>
                <w:sz w:val="20"/>
                <w:szCs w:val="20"/>
              </w:rPr>
              <w:t xml:space="preserve">Гкал\час</w:t>
            </w:r>
            <w:r>
              <w:rPr>
                <w:sz w:val="20"/>
                <w:szCs w:val="20"/>
              </w:rPr>
            </w:r>
            <w:r>
              <w:rPr>
                <w:sz w:val="20"/>
                <w:szCs w:val="20"/>
              </w:rPr>
            </w:r>
          </w:p>
        </w:tc>
        <w:tc>
          <w:tcPr>
            <w:tcW w:w="1270" w:type="dxa"/>
            <w:vAlign w:val="center"/>
            <w:textDirection w:val="lrTb"/>
            <w:noWrap w:val="false"/>
          </w:tcPr>
          <w:p>
            <w:pPr>
              <w:pStyle w:val="1251"/>
              <w:ind w:left="11" w:right="4"/>
              <w:rPr>
                <w:sz w:val="20"/>
                <w:szCs w:val="20"/>
              </w:rPr>
            </w:pPr>
            <w:r>
              <w:rPr>
                <w:sz w:val="20"/>
                <w:szCs w:val="20"/>
              </w:rPr>
              <w:t xml:space="preserve">21,00</w:t>
            </w:r>
            <w:r>
              <w:rPr>
                <w:sz w:val="20"/>
                <w:szCs w:val="20"/>
              </w:rPr>
            </w:r>
            <w:r>
              <w:rPr>
                <w:sz w:val="20"/>
                <w:szCs w:val="20"/>
              </w:rPr>
            </w:r>
          </w:p>
        </w:tc>
        <w:tc>
          <w:tcPr>
            <w:tcW w:w="1272" w:type="dxa"/>
            <w:vAlign w:val="center"/>
            <w:textDirection w:val="lrTb"/>
            <w:noWrap w:val="false"/>
          </w:tcPr>
          <w:p>
            <w:pPr>
              <w:pStyle w:val="1251"/>
              <w:ind w:left="11" w:right="4"/>
              <w:rPr>
                <w:sz w:val="20"/>
                <w:szCs w:val="20"/>
              </w:rPr>
            </w:pPr>
            <w:r>
              <w:rPr>
                <w:sz w:val="20"/>
                <w:szCs w:val="20"/>
              </w:rPr>
              <w:t xml:space="preserve">21,00</w:t>
            </w:r>
            <w:r>
              <w:rPr>
                <w:sz w:val="20"/>
                <w:szCs w:val="20"/>
              </w:rPr>
            </w:r>
            <w:r>
              <w:rPr>
                <w:sz w:val="20"/>
                <w:szCs w:val="20"/>
              </w:rPr>
            </w:r>
          </w:p>
        </w:tc>
        <w:tc>
          <w:tcPr>
            <w:tcW w:w="1128" w:type="dxa"/>
            <w:vAlign w:val="center"/>
            <w:textDirection w:val="lrTb"/>
            <w:noWrap w:val="false"/>
          </w:tcPr>
          <w:p>
            <w:pPr>
              <w:pStyle w:val="1251"/>
              <w:ind w:left="11" w:right="4"/>
              <w:rPr>
                <w:sz w:val="20"/>
                <w:szCs w:val="20"/>
              </w:rPr>
            </w:pPr>
            <w:r>
              <w:rPr>
                <w:sz w:val="20"/>
                <w:szCs w:val="20"/>
              </w:rPr>
              <w:t xml:space="preserve">21,00</w:t>
            </w:r>
            <w:r>
              <w:rPr>
                <w:sz w:val="20"/>
                <w:szCs w:val="20"/>
              </w:rPr>
            </w:r>
            <w:r>
              <w:rPr>
                <w:sz w:val="20"/>
                <w:szCs w:val="20"/>
              </w:rPr>
            </w:r>
          </w:p>
        </w:tc>
        <w:tc>
          <w:tcPr>
            <w:tcW w:w="1270" w:type="dxa"/>
            <w:vAlign w:val="center"/>
            <w:textDirection w:val="lrTb"/>
            <w:noWrap w:val="false"/>
          </w:tcPr>
          <w:p>
            <w:pPr>
              <w:pStyle w:val="1251"/>
              <w:ind w:left="11" w:right="4"/>
              <w:rPr>
                <w:sz w:val="20"/>
                <w:szCs w:val="20"/>
              </w:rPr>
            </w:pPr>
            <w:r>
              <w:rPr>
                <w:sz w:val="20"/>
                <w:szCs w:val="20"/>
              </w:rPr>
              <w:t xml:space="preserve">21,00</w:t>
            </w:r>
            <w:r>
              <w:rPr>
                <w:sz w:val="20"/>
                <w:szCs w:val="20"/>
              </w:rPr>
            </w:r>
            <w:r>
              <w:rPr>
                <w:sz w:val="20"/>
                <w:szCs w:val="20"/>
              </w:rPr>
            </w:r>
          </w:p>
        </w:tc>
        <w:tc>
          <w:tcPr>
            <w:tcW w:w="1272" w:type="dxa"/>
            <w:vAlign w:val="center"/>
            <w:textDirection w:val="lrTb"/>
            <w:noWrap w:val="false"/>
          </w:tcPr>
          <w:p>
            <w:pPr>
              <w:pStyle w:val="1251"/>
              <w:ind w:left="11" w:right="4"/>
              <w:rPr>
                <w:sz w:val="20"/>
                <w:szCs w:val="20"/>
              </w:rPr>
            </w:pPr>
            <w:r>
              <w:rPr>
                <w:sz w:val="20"/>
                <w:szCs w:val="20"/>
              </w:rPr>
              <w:t xml:space="preserve">21,00</w:t>
            </w:r>
            <w:r>
              <w:rPr>
                <w:sz w:val="20"/>
                <w:szCs w:val="20"/>
              </w:rPr>
            </w:r>
            <w:r>
              <w:rPr>
                <w:sz w:val="20"/>
                <w:szCs w:val="20"/>
              </w:rPr>
            </w:r>
          </w:p>
        </w:tc>
        <w:tc>
          <w:tcPr>
            <w:tcW w:w="1219" w:type="dxa"/>
            <w:vAlign w:val="center"/>
            <w:textDirection w:val="lrTb"/>
            <w:noWrap w:val="false"/>
          </w:tcPr>
          <w:p>
            <w:pPr>
              <w:pStyle w:val="1251"/>
              <w:ind w:left="11" w:right="4"/>
              <w:rPr>
                <w:sz w:val="20"/>
                <w:szCs w:val="20"/>
              </w:rPr>
            </w:pPr>
            <w:r>
              <w:rPr>
                <w:sz w:val="20"/>
                <w:szCs w:val="20"/>
              </w:rPr>
              <w:t xml:space="preserve">21,00</w:t>
            </w:r>
            <w:r>
              <w:rPr>
                <w:sz w:val="20"/>
                <w:szCs w:val="20"/>
              </w:rPr>
            </w:r>
            <w:r>
              <w:rPr>
                <w:sz w:val="20"/>
                <w:szCs w:val="20"/>
              </w:rPr>
            </w:r>
          </w:p>
        </w:tc>
      </w:tr>
      <w:tr>
        <w:tblPrEx/>
        <w:trPr>
          <w:trHeight w:val="85"/>
        </w:trPr>
        <w:tc>
          <w:tcPr>
            <w:tcW w:w="6965" w:type="dxa"/>
            <w:vAlign w:val="center"/>
            <w:textDirection w:val="lrTb"/>
            <w:noWrap w:val="false"/>
          </w:tcPr>
          <w:p>
            <w:pPr>
              <w:pStyle w:val="1251"/>
              <w:ind w:left="161" w:right="4"/>
              <w:jc w:val="left"/>
              <w:rPr>
                <w:sz w:val="20"/>
                <w:szCs w:val="20"/>
              </w:rPr>
            </w:pPr>
            <w:r>
              <w:rPr>
                <w:spacing w:val="-2"/>
                <w:sz w:val="20"/>
                <w:szCs w:val="20"/>
              </w:rPr>
              <w:t xml:space="preserve">Присоединенная</w:t>
            </w:r>
            <w:r>
              <w:rPr>
                <w:sz w:val="20"/>
                <w:szCs w:val="20"/>
              </w:rPr>
              <w:t xml:space="preserve"> нагрузка на отопление,</w:t>
            </w:r>
            <w:r>
              <w:rPr>
                <w:spacing w:val="-8"/>
                <w:sz w:val="20"/>
                <w:szCs w:val="20"/>
              </w:rPr>
              <w:t xml:space="preserve"> </w:t>
            </w:r>
            <w:r>
              <w:rPr>
                <w:spacing w:val="-2"/>
                <w:sz w:val="20"/>
                <w:szCs w:val="20"/>
              </w:rPr>
              <w:t xml:space="preserve">Гкал\час</w:t>
            </w:r>
            <w:r>
              <w:rPr>
                <w:sz w:val="20"/>
                <w:szCs w:val="20"/>
              </w:rPr>
            </w:r>
            <w:r>
              <w:rPr>
                <w:sz w:val="20"/>
                <w:szCs w:val="20"/>
              </w:rPr>
            </w:r>
          </w:p>
        </w:tc>
        <w:tc>
          <w:tcPr>
            <w:tcW w:w="1270" w:type="dxa"/>
            <w:vAlign w:val="center"/>
            <w:textDirection w:val="lrTb"/>
            <w:noWrap w:val="false"/>
          </w:tcPr>
          <w:p>
            <w:pPr>
              <w:pStyle w:val="1251"/>
              <w:ind w:left="11" w:right="4"/>
              <w:rPr>
                <w:sz w:val="20"/>
                <w:szCs w:val="20"/>
              </w:rPr>
            </w:pPr>
            <w:r>
              <w:rPr>
                <w:sz w:val="20"/>
                <w:szCs w:val="20"/>
              </w:rPr>
              <w:t xml:space="preserve">7,798</w:t>
            </w:r>
            <w:r>
              <w:rPr>
                <w:sz w:val="20"/>
                <w:szCs w:val="20"/>
              </w:rPr>
            </w:r>
            <w:r>
              <w:rPr>
                <w:sz w:val="20"/>
                <w:szCs w:val="20"/>
              </w:rPr>
            </w:r>
          </w:p>
        </w:tc>
        <w:tc>
          <w:tcPr>
            <w:tcW w:w="1272" w:type="dxa"/>
            <w:vAlign w:val="center"/>
            <w:textDirection w:val="lrTb"/>
            <w:noWrap w:val="false"/>
          </w:tcPr>
          <w:p>
            <w:pPr>
              <w:pStyle w:val="1251"/>
              <w:ind w:left="11" w:right="4"/>
              <w:rPr>
                <w:sz w:val="20"/>
                <w:szCs w:val="20"/>
              </w:rPr>
            </w:pPr>
            <w:r>
              <w:rPr>
                <w:sz w:val="20"/>
                <w:szCs w:val="20"/>
              </w:rPr>
              <w:t xml:space="preserve">7,798</w:t>
            </w:r>
            <w:r>
              <w:rPr>
                <w:sz w:val="20"/>
                <w:szCs w:val="20"/>
              </w:rPr>
            </w:r>
            <w:r>
              <w:rPr>
                <w:sz w:val="20"/>
                <w:szCs w:val="20"/>
              </w:rPr>
            </w:r>
          </w:p>
        </w:tc>
        <w:tc>
          <w:tcPr>
            <w:tcW w:w="1128" w:type="dxa"/>
            <w:vAlign w:val="center"/>
            <w:textDirection w:val="lrTb"/>
            <w:noWrap w:val="false"/>
          </w:tcPr>
          <w:p>
            <w:pPr>
              <w:pStyle w:val="1251"/>
              <w:ind w:left="11" w:right="4"/>
              <w:rPr>
                <w:sz w:val="20"/>
                <w:szCs w:val="20"/>
              </w:rPr>
            </w:pPr>
            <w:r>
              <w:rPr>
                <w:sz w:val="20"/>
                <w:szCs w:val="20"/>
              </w:rPr>
              <w:t xml:space="preserve">7,798</w:t>
            </w:r>
            <w:r>
              <w:rPr>
                <w:sz w:val="20"/>
                <w:szCs w:val="20"/>
              </w:rPr>
            </w:r>
            <w:r>
              <w:rPr>
                <w:sz w:val="20"/>
                <w:szCs w:val="20"/>
              </w:rPr>
            </w:r>
          </w:p>
        </w:tc>
        <w:tc>
          <w:tcPr>
            <w:tcW w:w="1270" w:type="dxa"/>
            <w:vAlign w:val="center"/>
            <w:textDirection w:val="lrTb"/>
            <w:noWrap w:val="false"/>
          </w:tcPr>
          <w:p>
            <w:pPr>
              <w:pStyle w:val="1251"/>
              <w:ind w:left="11" w:right="4"/>
              <w:rPr>
                <w:sz w:val="20"/>
                <w:szCs w:val="20"/>
              </w:rPr>
            </w:pPr>
            <w:r>
              <w:rPr>
                <w:sz w:val="20"/>
                <w:szCs w:val="20"/>
              </w:rPr>
              <w:t xml:space="preserve">7,798</w:t>
            </w:r>
            <w:r>
              <w:rPr>
                <w:sz w:val="20"/>
                <w:szCs w:val="20"/>
              </w:rPr>
            </w:r>
            <w:r>
              <w:rPr>
                <w:sz w:val="20"/>
                <w:szCs w:val="20"/>
              </w:rPr>
            </w:r>
          </w:p>
        </w:tc>
        <w:tc>
          <w:tcPr>
            <w:tcW w:w="1272" w:type="dxa"/>
            <w:vAlign w:val="center"/>
            <w:textDirection w:val="lrTb"/>
            <w:noWrap w:val="false"/>
          </w:tcPr>
          <w:p>
            <w:pPr>
              <w:pStyle w:val="1251"/>
              <w:ind w:left="11" w:right="4"/>
              <w:rPr>
                <w:sz w:val="20"/>
                <w:szCs w:val="20"/>
              </w:rPr>
            </w:pPr>
            <w:r>
              <w:rPr>
                <w:sz w:val="20"/>
                <w:szCs w:val="20"/>
              </w:rPr>
              <w:t xml:space="preserve">7,798</w:t>
            </w:r>
            <w:r>
              <w:rPr>
                <w:sz w:val="20"/>
                <w:szCs w:val="20"/>
              </w:rPr>
            </w:r>
            <w:r>
              <w:rPr>
                <w:sz w:val="20"/>
                <w:szCs w:val="20"/>
              </w:rPr>
            </w:r>
          </w:p>
        </w:tc>
        <w:tc>
          <w:tcPr>
            <w:tcW w:w="1219" w:type="dxa"/>
            <w:vAlign w:val="center"/>
            <w:textDirection w:val="lrTb"/>
            <w:noWrap w:val="false"/>
          </w:tcPr>
          <w:p>
            <w:pPr>
              <w:pStyle w:val="1251"/>
              <w:ind w:left="11" w:right="4"/>
              <w:rPr>
                <w:sz w:val="20"/>
                <w:szCs w:val="20"/>
              </w:rPr>
            </w:pPr>
            <w:r>
              <w:rPr>
                <w:sz w:val="20"/>
                <w:szCs w:val="20"/>
              </w:rPr>
              <w:t xml:space="preserve">7,798</w:t>
            </w:r>
            <w:r>
              <w:rPr>
                <w:sz w:val="20"/>
                <w:szCs w:val="20"/>
              </w:rPr>
            </w:r>
            <w:r>
              <w:rPr>
                <w:sz w:val="20"/>
                <w:szCs w:val="20"/>
              </w:rPr>
            </w:r>
          </w:p>
        </w:tc>
      </w:tr>
      <w:tr>
        <w:tblPrEx/>
        <w:trPr>
          <w:trHeight w:val="85"/>
        </w:trPr>
        <w:tc>
          <w:tcPr>
            <w:tcW w:w="6965" w:type="dxa"/>
            <w:vAlign w:val="center"/>
            <w:textDirection w:val="lrTb"/>
            <w:noWrap w:val="false"/>
          </w:tcPr>
          <w:p>
            <w:pPr>
              <w:pStyle w:val="1251"/>
              <w:ind w:left="161" w:right="4"/>
              <w:jc w:val="left"/>
              <w:rPr>
                <w:spacing w:val="-2"/>
                <w:sz w:val="20"/>
                <w:szCs w:val="20"/>
              </w:rPr>
            </w:pPr>
            <w:r>
              <w:rPr>
                <w:spacing w:val="-2"/>
                <w:sz w:val="20"/>
                <w:szCs w:val="20"/>
              </w:rPr>
              <w:t xml:space="preserve">Присоединенная</w:t>
            </w:r>
            <w:r>
              <w:rPr>
                <w:sz w:val="20"/>
                <w:szCs w:val="20"/>
              </w:rPr>
              <w:t xml:space="preserve"> нагрузка на ГВС,</w:t>
            </w:r>
            <w:r>
              <w:rPr>
                <w:spacing w:val="-8"/>
                <w:sz w:val="20"/>
                <w:szCs w:val="20"/>
              </w:rPr>
              <w:t xml:space="preserve"> </w:t>
            </w:r>
            <w:r>
              <w:rPr>
                <w:spacing w:val="-2"/>
                <w:sz w:val="20"/>
                <w:szCs w:val="20"/>
              </w:rPr>
              <w:t xml:space="preserve">Гкал\час</w:t>
            </w:r>
            <w:r>
              <w:rPr>
                <w:spacing w:val="-2"/>
                <w:sz w:val="20"/>
                <w:szCs w:val="20"/>
              </w:rPr>
            </w:r>
            <w:r>
              <w:rPr>
                <w:spacing w:val="-2"/>
                <w:sz w:val="20"/>
                <w:szCs w:val="20"/>
              </w:rPr>
            </w:r>
          </w:p>
        </w:tc>
        <w:tc>
          <w:tcPr>
            <w:tcW w:w="1270" w:type="dxa"/>
            <w:vAlign w:val="center"/>
            <w:textDirection w:val="lrTb"/>
            <w:noWrap w:val="false"/>
          </w:tcPr>
          <w:p>
            <w:pPr>
              <w:pStyle w:val="1251"/>
              <w:ind w:left="11" w:right="4"/>
              <w:rPr>
                <w:spacing w:val="-4"/>
                <w:sz w:val="20"/>
                <w:szCs w:val="20"/>
              </w:rPr>
            </w:pPr>
            <w:r>
              <w:rPr>
                <w:spacing w:val="-4"/>
                <w:sz w:val="20"/>
                <w:szCs w:val="20"/>
              </w:rPr>
              <w:t xml:space="preserve">0,00</w:t>
            </w:r>
            <w:r>
              <w:rPr>
                <w:spacing w:val="-4"/>
                <w:sz w:val="20"/>
                <w:szCs w:val="20"/>
              </w:rPr>
            </w:r>
            <w:r>
              <w:rPr>
                <w:spacing w:val="-4"/>
                <w:sz w:val="20"/>
                <w:szCs w:val="20"/>
              </w:rPr>
            </w:r>
          </w:p>
        </w:tc>
        <w:tc>
          <w:tcPr>
            <w:tcW w:w="1272" w:type="dxa"/>
            <w:vAlign w:val="center"/>
            <w:textDirection w:val="lrTb"/>
            <w:noWrap w:val="false"/>
          </w:tcPr>
          <w:p>
            <w:pPr>
              <w:pStyle w:val="1251"/>
              <w:ind w:left="11" w:right="4"/>
              <w:rPr>
                <w:spacing w:val="-4"/>
                <w:sz w:val="20"/>
                <w:szCs w:val="20"/>
              </w:rPr>
            </w:pPr>
            <w:r>
              <w:rPr>
                <w:spacing w:val="-4"/>
                <w:sz w:val="20"/>
                <w:szCs w:val="20"/>
              </w:rPr>
              <w:t xml:space="preserve">0,00</w:t>
            </w:r>
            <w:r>
              <w:rPr>
                <w:spacing w:val="-4"/>
                <w:sz w:val="20"/>
                <w:szCs w:val="20"/>
              </w:rPr>
            </w:r>
            <w:r>
              <w:rPr>
                <w:spacing w:val="-4"/>
                <w:sz w:val="20"/>
                <w:szCs w:val="20"/>
              </w:rPr>
            </w:r>
          </w:p>
        </w:tc>
        <w:tc>
          <w:tcPr>
            <w:tcW w:w="1128" w:type="dxa"/>
            <w:vAlign w:val="center"/>
            <w:textDirection w:val="lrTb"/>
            <w:noWrap w:val="false"/>
          </w:tcPr>
          <w:p>
            <w:pPr>
              <w:pStyle w:val="1251"/>
              <w:ind w:left="11" w:right="4"/>
              <w:rPr>
                <w:spacing w:val="-4"/>
                <w:sz w:val="20"/>
                <w:szCs w:val="20"/>
              </w:rPr>
            </w:pPr>
            <w:r>
              <w:rPr>
                <w:spacing w:val="-4"/>
                <w:sz w:val="20"/>
                <w:szCs w:val="20"/>
              </w:rPr>
              <w:t xml:space="preserve">0,00</w:t>
            </w:r>
            <w:r>
              <w:rPr>
                <w:spacing w:val="-4"/>
                <w:sz w:val="20"/>
                <w:szCs w:val="20"/>
              </w:rPr>
            </w:r>
            <w:r>
              <w:rPr>
                <w:spacing w:val="-4"/>
                <w:sz w:val="20"/>
                <w:szCs w:val="20"/>
              </w:rPr>
            </w:r>
          </w:p>
        </w:tc>
        <w:tc>
          <w:tcPr>
            <w:tcW w:w="1270" w:type="dxa"/>
            <w:vAlign w:val="center"/>
            <w:textDirection w:val="lrTb"/>
            <w:noWrap w:val="false"/>
          </w:tcPr>
          <w:p>
            <w:pPr>
              <w:pStyle w:val="1251"/>
              <w:ind w:left="11" w:right="4"/>
              <w:rPr>
                <w:spacing w:val="-4"/>
                <w:sz w:val="20"/>
                <w:szCs w:val="20"/>
              </w:rPr>
            </w:pPr>
            <w:r>
              <w:rPr>
                <w:spacing w:val="-4"/>
                <w:sz w:val="20"/>
                <w:szCs w:val="20"/>
              </w:rPr>
              <w:t xml:space="preserve">0,00</w:t>
            </w:r>
            <w:r>
              <w:rPr>
                <w:spacing w:val="-4"/>
                <w:sz w:val="20"/>
                <w:szCs w:val="20"/>
              </w:rPr>
            </w:r>
            <w:r>
              <w:rPr>
                <w:spacing w:val="-4"/>
                <w:sz w:val="20"/>
                <w:szCs w:val="20"/>
              </w:rPr>
            </w:r>
          </w:p>
        </w:tc>
        <w:tc>
          <w:tcPr>
            <w:tcW w:w="1272" w:type="dxa"/>
            <w:vAlign w:val="center"/>
            <w:textDirection w:val="lrTb"/>
            <w:noWrap w:val="false"/>
          </w:tcPr>
          <w:p>
            <w:pPr>
              <w:pStyle w:val="1251"/>
              <w:ind w:left="11" w:right="4"/>
              <w:rPr>
                <w:spacing w:val="-4"/>
                <w:sz w:val="20"/>
                <w:szCs w:val="20"/>
              </w:rPr>
            </w:pPr>
            <w:r>
              <w:rPr>
                <w:spacing w:val="-4"/>
                <w:sz w:val="20"/>
                <w:szCs w:val="20"/>
              </w:rPr>
              <w:t xml:space="preserve">0,00</w:t>
            </w:r>
            <w:r>
              <w:rPr>
                <w:spacing w:val="-4"/>
                <w:sz w:val="20"/>
                <w:szCs w:val="20"/>
              </w:rPr>
            </w:r>
            <w:r>
              <w:rPr>
                <w:spacing w:val="-4"/>
                <w:sz w:val="20"/>
                <w:szCs w:val="20"/>
              </w:rPr>
            </w:r>
          </w:p>
        </w:tc>
        <w:tc>
          <w:tcPr>
            <w:tcW w:w="1219" w:type="dxa"/>
            <w:vAlign w:val="center"/>
            <w:textDirection w:val="lrTb"/>
            <w:noWrap w:val="false"/>
          </w:tcPr>
          <w:p>
            <w:pPr>
              <w:pStyle w:val="1251"/>
              <w:ind w:left="11" w:right="4"/>
              <w:rPr>
                <w:spacing w:val="-4"/>
                <w:sz w:val="20"/>
                <w:szCs w:val="20"/>
              </w:rPr>
            </w:pPr>
            <w:r>
              <w:rPr>
                <w:spacing w:val="-4"/>
                <w:sz w:val="20"/>
                <w:szCs w:val="20"/>
              </w:rPr>
              <w:t xml:space="preserve">0,00</w:t>
            </w:r>
            <w:r>
              <w:rPr>
                <w:spacing w:val="-4"/>
                <w:sz w:val="20"/>
                <w:szCs w:val="20"/>
              </w:rPr>
            </w:r>
            <w:r>
              <w:rPr>
                <w:spacing w:val="-4"/>
                <w:sz w:val="20"/>
                <w:szCs w:val="20"/>
              </w:rPr>
            </w:r>
          </w:p>
        </w:tc>
      </w:tr>
      <w:tr>
        <w:tblPrEx/>
        <w:trPr>
          <w:trHeight w:val="85"/>
        </w:trPr>
        <w:tc>
          <w:tcPr>
            <w:tcW w:w="6965" w:type="dxa"/>
            <w:vAlign w:val="center"/>
            <w:textDirection w:val="lrTb"/>
            <w:noWrap w:val="false"/>
          </w:tcPr>
          <w:p>
            <w:pPr>
              <w:pStyle w:val="1251"/>
              <w:ind w:left="161" w:right="4"/>
              <w:jc w:val="left"/>
              <w:rPr>
                <w:sz w:val="20"/>
                <w:szCs w:val="20"/>
              </w:rPr>
            </w:pPr>
            <w:r>
              <w:rPr>
                <w:spacing w:val="-2"/>
                <w:sz w:val="20"/>
                <w:szCs w:val="20"/>
              </w:rPr>
              <w:t xml:space="preserve">Использование установленной</w:t>
            </w:r>
            <w:r>
              <w:rPr>
                <w:sz w:val="20"/>
                <w:szCs w:val="20"/>
              </w:rPr>
              <w:t xml:space="preserve"> мощности,</w:t>
            </w:r>
            <w:r>
              <w:rPr>
                <w:spacing w:val="-4"/>
                <w:sz w:val="20"/>
                <w:szCs w:val="20"/>
              </w:rPr>
              <w:t xml:space="preserve"> </w:t>
            </w:r>
            <w:r>
              <w:rPr>
                <w:spacing w:val="-10"/>
                <w:sz w:val="20"/>
                <w:szCs w:val="20"/>
              </w:rPr>
              <w:t xml:space="preserve">%</w:t>
            </w:r>
            <w:r>
              <w:rPr>
                <w:sz w:val="20"/>
                <w:szCs w:val="20"/>
              </w:rPr>
            </w:r>
            <w:r>
              <w:rPr>
                <w:sz w:val="20"/>
                <w:szCs w:val="20"/>
              </w:rPr>
            </w:r>
          </w:p>
        </w:tc>
        <w:tc>
          <w:tcPr>
            <w:tcW w:w="1270" w:type="dxa"/>
            <w:vAlign w:val="center"/>
            <w:textDirection w:val="lrTb"/>
            <w:noWrap w:val="false"/>
          </w:tcPr>
          <w:p>
            <w:pPr>
              <w:pStyle w:val="1251"/>
              <w:ind w:left="11" w:right="4"/>
              <w:rPr>
                <w:sz w:val="20"/>
                <w:szCs w:val="20"/>
              </w:rPr>
            </w:pPr>
            <w:r>
              <w:rPr>
                <w:sz w:val="20"/>
                <w:szCs w:val="20"/>
              </w:rPr>
              <w:t xml:space="preserve">37,13</w:t>
            </w:r>
            <w:r>
              <w:rPr>
                <w:sz w:val="20"/>
                <w:szCs w:val="20"/>
              </w:rPr>
            </w:r>
            <w:r>
              <w:rPr>
                <w:sz w:val="20"/>
                <w:szCs w:val="20"/>
              </w:rPr>
            </w:r>
          </w:p>
        </w:tc>
        <w:tc>
          <w:tcPr>
            <w:tcW w:w="1272" w:type="dxa"/>
            <w:vAlign w:val="center"/>
            <w:textDirection w:val="lrTb"/>
            <w:noWrap w:val="false"/>
          </w:tcPr>
          <w:p>
            <w:pPr>
              <w:pStyle w:val="1251"/>
              <w:ind w:left="11" w:right="4"/>
              <w:rPr>
                <w:sz w:val="20"/>
                <w:szCs w:val="20"/>
              </w:rPr>
            </w:pPr>
            <w:r>
              <w:rPr>
                <w:sz w:val="20"/>
                <w:szCs w:val="20"/>
              </w:rPr>
              <w:t xml:space="preserve">37,13</w:t>
            </w:r>
            <w:r>
              <w:rPr>
                <w:sz w:val="20"/>
                <w:szCs w:val="20"/>
              </w:rPr>
            </w:r>
            <w:r>
              <w:rPr>
                <w:sz w:val="20"/>
                <w:szCs w:val="20"/>
              </w:rPr>
            </w:r>
          </w:p>
        </w:tc>
        <w:tc>
          <w:tcPr>
            <w:tcW w:w="1128" w:type="dxa"/>
            <w:vAlign w:val="center"/>
            <w:textDirection w:val="lrTb"/>
            <w:noWrap w:val="false"/>
          </w:tcPr>
          <w:p>
            <w:pPr>
              <w:pStyle w:val="1251"/>
              <w:ind w:left="11" w:right="4"/>
              <w:rPr>
                <w:sz w:val="20"/>
                <w:szCs w:val="20"/>
              </w:rPr>
            </w:pPr>
            <w:r>
              <w:rPr>
                <w:sz w:val="20"/>
                <w:szCs w:val="20"/>
              </w:rPr>
              <w:t xml:space="preserve">37,13</w:t>
            </w:r>
            <w:r>
              <w:rPr>
                <w:sz w:val="20"/>
                <w:szCs w:val="20"/>
              </w:rPr>
            </w:r>
            <w:r>
              <w:rPr>
                <w:sz w:val="20"/>
                <w:szCs w:val="20"/>
              </w:rPr>
            </w:r>
          </w:p>
        </w:tc>
        <w:tc>
          <w:tcPr>
            <w:tcW w:w="1270" w:type="dxa"/>
            <w:vAlign w:val="center"/>
            <w:textDirection w:val="lrTb"/>
            <w:noWrap w:val="false"/>
          </w:tcPr>
          <w:p>
            <w:pPr>
              <w:pStyle w:val="1251"/>
              <w:ind w:left="11" w:right="4"/>
              <w:rPr>
                <w:sz w:val="20"/>
                <w:szCs w:val="20"/>
              </w:rPr>
            </w:pPr>
            <w:r>
              <w:rPr>
                <w:sz w:val="20"/>
                <w:szCs w:val="20"/>
              </w:rPr>
              <w:t xml:space="preserve">37,13</w:t>
            </w:r>
            <w:r>
              <w:rPr>
                <w:sz w:val="20"/>
                <w:szCs w:val="20"/>
              </w:rPr>
            </w:r>
            <w:r>
              <w:rPr>
                <w:sz w:val="20"/>
                <w:szCs w:val="20"/>
              </w:rPr>
            </w:r>
          </w:p>
        </w:tc>
        <w:tc>
          <w:tcPr>
            <w:tcW w:w="1272" w:type="dxa"/>
            <w:vAlign w:val="center"/>
            <w:textDirection w:val="lrTb"/>
            <w:noWrap w:val="false"/>
          </w:tcPr>
          <w:p>
            <w:pPr>
              <w:pStyle w:val="1251"/>
              <w:ind w:left="11" w:right="4"/>
              <w:rPr>
                <w:sz w:val="20"/>
                <w:szCs w:val="20"/>
              </w:rPr>
            </w:pPr>
            <w:r>
              <w:rPr>
                <w:sz w:val="20"/>
                <w:szCs w:val="20"/>
              </w:rPr>
              <w:t xml:space="preserve">37,13</w:t>
            </w:r>
            <w:r>
              <w:rPr>
                <w:sz w:val="20"/>
                <w:szCs w:val="20"/>
              </w:rPr>
            </w:r>
            <w:r>
              <w:rPr>
                <w:sz w:val="20"/>
                <w:szCs w:val="20"/>
              </w:rPr>
            </w:r>
          </w:p>
        </w:tc>
        <w:tc>
          <w:tcPr>
            <w:tcW w:w="1219" w:type="dxa"/>
            <w:vAlign w:val="center"/>
            <w:textDirection w:val="lrTb"/>
            <w:noWrap w:val="false"/>
          </w:tcPr>
          <w:p>
            <w:pPr>
              <w:pStyle w:val="1251"/>
              <w:ind w:left="11" w:right="4"/>
              <w:rPr>
                <w:sz w:val="20"/>
                <w:szCs w:val="20"/>
              </w:rPr>
            </w:pPr>
            <w:r>
              <w:rPr>
                <w:sz w:val="20"/>
                <w:szCs w:val="20"/>
              </w:rPr>
              <w:t xml:space="preserve">37,13</w:t>
            </w:r>
            <w:r>
              <w:rPr>
                <w:sz w:val="20"/>
                <w:szCs w:val="20"/>
              </w:rPr>
            </w:r>
            <w:r>
              <w:rPr>
                <w:sz w:val="20"/>
                <w:szCs w:val="20"/>
              </w:rPr>
            </w:r>
          </w:p>
        </w:tc>
      </w:tr>
      <w:tr>
        <w:tblPrEx/>
        <w:trPr>
          <w:trHeight w:val="85"/>
        </w:trPr>
        <w:tc>
          <w:tcPr>
            <w:tcW w:w="6965" w:type="dxa"/>
            <w:vAlign w:val="center"/>
            <w:textDirection w:val="lrTb"/>
            <w:noWrap w:val="false"/>
          </w:tcPr>
          <w:p>
            <w:pPr>
              <w:pStyle w:val="1251"/>
              <w:ind w:left="161" w:right="4"/>
              <w:jc w:val="left"/>
              <w:rPr>
                <w:sz w:val="20"/>
                <w:szCs w:val="20"/>
              </w:rPr>
            </w:pPr>
            <w:r>
              <w:rPr>
                <w:sz w:val="20"/>
                <w:szCs w:val="20"/>
              </w:rPr>
              <w:t xml:space="preserve">Выработка</w:t>
            </w:r>
            <w:r>
              <w:rPr>
                <w:spacing w:val="-6"/>
                <w:sz w:val="20"/>
                <w:szCs w:val="20"/>
              </w:rPr>
              <w:t xml:space="preserve"> </w:t>
            </w:r>
            <w:r>
              <w:rPr>
                <w:spacing w:val="-2"/>
                <w:sz w:val="20"/>
                <w:szCs w:val="20"/>
              </w:rPr>
              <w:t xml:space="preserve">тепловой</w:t>
            </w:r>
            <w:r>
              <w:rPr>
                <w:sz w:val="20"/>
                <w:szCs w:val="20"/>
              </w:rPr>
              <w:t xml:space="preserve"> энергии,</w:t>
            </w:r>
            <w:r>
              <w:rPr>
                <w:spacing w:val="-3"/>
                <w:sz w:val="20"/>
                <w:szCs w:val="20"/>
              </w:rPr>
              <w:t xml:space="preserve"> </w:t>
            </w:r>
            <w:r>
              <w:rPr>
                <w:spacing w:val="-4"/>
                <w:sz w:val="20"/>
                <w:szCs w:val="20"/>
              </w:rPr>
              <w:t xml:space="preserve">Гкал</w:t>
            </w:r>
            <w:r>
              <w:rPr>
                <w:sz w:val="20"/>
                <w:szCs w:val="20"/>
              </w:rPr>
            </w:r>
            <w:r>
              <w:rPr>
                <w:sz w:val="20"/>
                <w:szCs w:val="20"/>
              </w:rPr>
            </w:r>
          </w:p>
        </w:tc>
        <w:tc>
          <w:tcPr>
            <w:tcW w:w="1270" w:type="dxa"/>
            <w:vAlign w:val="center"/>
            <w:textDirection w:val="lrTb"/>
            <w:noWrap w:val="false"/>
          </w:tcPr>
          <w:p>
            <w:pPr>
              <w:pStyle w:val="1251"/>
              <w:ind w:left="11" w:right="4"/>
              <w:rPr>
                <w:sz w:val="20"/>
                <w:szCs w:val="20"/>
              </w:rPr>
            </w:pPr>
            <w:r>
              <w:rPr>
                <w:sz w:val="20"/>
                <w:szCs w:val="20"/>
              </w:rPr>
              <w:t xml:space="preserve">23465</w:t>
            </w:r>
            <w:r>
              <w:rPr>
                <w:sz w:val="20"/>
                <w:szCs w:val="20"/>
              </w:rPr>
            </w:r>
            <w:r>
              <w:rPr>
                <w:sz w:val="20"/>
                <w:szCs w:val="20"/>
              </w:rPr>
            </w:r>
          </w:p>
        </w:tc>
        <w:tc>
          <w:tcPr>
            <w:tcW w:w="1272" w:type="dxa"/>
            <w:vAlign w:val="center"/>
            <w:textDirection w:val="lrTb"/>
            <w:noWrap w:val="false"/>
          </w:tcPr>
          <w:p>
            <w:pPr>
              <w:pStyle w:val="1251"/>
              <w:ind w:left="11" w:right="4"/>
              <w:rPr>
                <w:sz w:val="20"/>
                <w:szCs w:val="20"/>
              </w:rPr>
            </w:pPr>
            <w:r>
              <w:rPr>
                <w:sz w:val="20"/>
                <w:szCs w:val="20"/>
              </w:rPr>
              <w:t xml:space="preserve">23465</w:t>
            </w:r>
            <w:r>
              <w:rPr>
                <w:sz w:val="20"/>
                <w:szCs w:val="20"/>
              </w:rPr>
            </w:r>
            <w:r>
              <w:rPr>
                <w:sz w:val="20"/>
                <w:szCs w:val="20"/>
              </w:rPr>
            </w:r>
          </w:p>
        </w:tc>
        <w:tc>
          <w:tcPr>
            <w:tcW w:w="1128" w:type="dxa"/>
            <w:vAlign w:val="center"/>
            <w:textDirection w:val="lrTb"/>
            <w:noWrap w:val="false"/>
          </w:tcPr>
          <w:p>
            <w:pPr>
              <w:pStyle w:val="1251"/>
              <w:ind w:left="11" w:right="4"/>
              <w:rPr>
                <w:sz w:val="20"/>
                <w:szCs w:val="20"/>
              </w:rPr>
            </w:pPr>
            <w:r>
              <w:rPr>
                <w:sz w:val="20"/>
                <w:szCs w:val="20"/>
              </w:rPr>
              <w:t xml:space="preserve">23465</w:t>
            </w:r>
            <w:r>
              <w:rPr>
                <w:sz w:val="20"/>
                <w:szCs w:val="20"/>
              </w:rPr>
            </w:r>
            <w:r>
              <w:rPr>
                <w:sz w:val="20"/>
                <w:szCs w:val="20"/>
              </w:rPr>
            </w:r>
          </w:p>
        </w:tc>
        <w:tc>
          <w:tcPr>
            <w:tcW w:w="1270" w:type="dxa"/>
            <w:vAlign w:val="center"/>
            <w:textDirection w:val="lrTb"/>
            <w:noWrap w:val="false"/>
          </w:tcPr>
          <w:p>
            <w:pPr>
              <w:pStyle w:val="1251"/>
              <w:ind w:left="11" w:right="4"/>
              <w:rPr>
                <w:sz w:val="20"/>
                <w:szCs w:val="20"/>
              </w:rPr>
            </w:pPr>
            <w:r>
              <w:rPr>
                <w:sz w:val="20"/>
                <w:szCs w:val="20"/>
              </w:rPr>
              <w:t xml:space="preserve">23465</w:t>
            </w:r>
            <w:r>
              <w:rPr>
                <w:sz w:val="20"/>
                <w:szCs w:val="20"/>
              </w:rPr>
            </w:r>
            <w:r>
              <w:rPr>
                <w:sz w:val="20"/>
                <w:szCs w:val="20"/>
              </w:rPr>
            </w:r>
          </w:p>
        </w:tc>
        <w:tc>
          <w:tcPr>
            <w:tcW w:w="1272" w:type="dxa"/>
            <w:vAlign w:val="center"/>
            <w:textDirection w:val="lrTb"/>
            <w:noWrap w:val="false"/>
          </w:tcPr>
          <w:p>
            <w:pPr>
              <w:pStyle w:val="1251"/>
              <w:ind w:left="11" w:right="4"/>
              <w:rPr>
                <w:sz w:val="20"/>
                <w:szCs w:val="20"/>
              </w:rPr>
            </w:pPr>
            <w:r>
              <w:rPr>
                <w:sz w:val="20"/>
                <w:szCs w:val="20"/>
              </w:rPr>
              <w:t xml:space="preserve">23465</w:t>
            </w:r>
            <w:r>
              <w:rPr>
                <w:sz w:val="20"/>
                <w:szCs w:val="20"/>
              </w:rPr>
            </w:r>
            <w:r>
              <w:rPr>
                <w:sz w:val="20"/>
                <w:szCs w:val="20"/>
              </w:rPr>
            </w:r>
          </w:p>
        </w:tc>
        <w:tc>
          <w:tcPr>
            <w:tcW w:w="1219" w:type="dxa"/>
            <w:vAlign w:val="center"/>
            <w:textDirection w:val="lrTb"/>
            <w:noWrap w:val="false"/>
          </w:tcPr>
          <w:p>
            <w:pPr>
              <w:pStyle w:val="1251"/>
              <w:ind w:left="11" w:right="4"/>
              <w:rPr>
                <w:sz w:val="20"/>
                <w:szCs w:val="20"/>
              </w:rPr>
            </w:pPr>
            <w:r>
              <w:rPr>
                <w:sz w:val="20"/>
                <w:szCs w:val="20"/>
              </w:rPr>
              <w:t xml:space="preserve">23465</w:t>
            </w:r>
            <w:r>
              <w:rPr>
                <w:sz w:val="20"/>
                <w:szCs w:val="20"/>
              </w:rPr>
            </w:r>
            <w:r>
              <w:rPr>
                <w:sz w:val="20"/>
                <w:szCs w:val="20"/>
              </w:rPr>
            </w:r>
          </w:p>
        </w:tc>
      </w:tr>
      <w:tr>
        <w:tblPrEx/>
        <w:trPr>
          <w:trHeight w:val="85"/>
        </w:trPr>
        <w:tc>
          <w:tcPr>
            <w:tcW w:w="6965" w:type="dxa"/>
            <w:vAlign w:val="center"/>
            <w:textDirection w:val="lrTb"/>
            <w:noWrap w:val="false"/>
          </w:tcPr>
          <w:p>
            <w:pPr>
              <w:pStyle w:val="1251"/>
              <w:ind w:left="161" w:right="4"/>
              <w:jc w:val="left"/>
              <w:rPr>
                <w:sz w:val="20"/>
                <w:szCs w:val="20"/>
              </w:rPr>
            </w:pPr>
            <w:r>
              <w:rPr>
                <w:sz w:val="20"/>
                <w:szCs w:val="20"/>
              </w:rPr>
              <w:t xml:space="preserve">Собственные</w:t>
            </w:r>
            <w:r>
              <w:rPr>
                <w:spacing w:val="-6"/>
                <w:sz w:val="20"/>
                <w:szCs w:val="20"/>
              </w:rPr>
              <w:t xml:space="preserve"> </w:t>
            </w:r>
            <w:r>
              <w:rPr>
                <w:spacing w:val="-4"/>
                <w:sz w:val="20"/>
                <w:szCs w:val="20"/>
              </w:rPr>
              <w:t xml:space="preserve">нужды</w:t>
            </w:r>
            <w:r>
              <w:rPr>
                <w:sz w:val="20"/>
                <w:szCs w:val="20"/>
              </w:rPr>
              <w:t xml:space="preserve"> котельной,</w:t>
            </w:r>
            <w:r>
              <w:rPr>
                <w:spacing w:val="-6"/>
                <w:sz w:val="20"/>
                <w:szCs w:val="20"/>
              </w:rPr>
              <w:t xml:space="preserve"> </w:t>
            </w:r>
            <w:r>
              <w:rPr>
                <w:spacing w:val="-4"/>
                <w:sz w:val="20"/>
                <w:szCs w:val="20"/>
              </w:rPr>
              <w:t xml:space="preserve">Гкал</w:t>
            </w:r>
            <w:r>
              <w:rPr>
                <w:sz w:val="20"/>
                <w:szCs w:val="20"/>
              </w:rPr>
            </w:r>
            <w:r>
              <w:rPr>
                <w:sz w:val="20"/>
                <w:szCs w:val="20"/>
              </w:rPr>
            </w:r>
          </w:p>
        </w:tc>
        <w:tc>
          <w:tcPr>
            <w:tcW w:w="1270" w:type="dxa"/>
            <w:vAlign w:val="center"/>
            <w:textDirection w:val="lrTb"/>
            <w:noWrap w:val="false"/>
          </w:tcPr>
          <w:p>
            <w:pPr>
              <w:pStyle w:val="1251"/>
              <w:ind w:left="11" w:right="4"/>
              <w:rPr>
                <w:sz w:val="20"/>
                <w:szCs w:val="20"/>
              </w:rPr>
            </w:pPr>
            <w:r>
              <w:rPr>
                <w:sz w:val="20"/>
                <w:szCs w:val="20"/>
              </w:rPr>
              <w:t xml:space="preserve">17231</w:t>
            </w:r>
            <w:r>
              <w:rPr>
                <w:sz w:val="20"/>
                <w:szCs w:val="20"/>
              </w:rPr>
            </w:r>
            <w:r>
              <w:rPr>
                <w:sz w:val="20"/>
                <w:szCs w:val="20"/>
              </w:rPr>
            </w:r>
          </w:p>
        </w:tc>
        <w:tc>
          <w:tcPr>
            <w:tcW w:w="1272" w:type="dxa"/>
            <w:vAlign w:val="center"/>
            <w:textDirection w:val="lrTb"/>
            <w:noWrap w:val="false"/>
          </w:tcPr>
          <w:p>
            <w:pPr>
              <w:pStyle w:val="1251"/>
              <w:ind w:left="11" w:right="4"/>
              <w:rPr>
                <w:sz w:val="20"/>
                <w:szCs w:val="20"/>
              </w:rPr>
            </w:pPr>
            <w:r>
              <w:rPr>
                <w:sz w:val="20"/>
                <w:szCs w:val="20"/>
              </w:rPr>
              <w:t xml:space="preserve">17231</w:t>
            </w:r>
            <w:r>
              <w:rPr>
                <w:sz w:val="20"/>
                <w:szCs w:val="20"/>
              </w:rPr>
            </w:r>
            <w:r>
              <w:rPr>
                <w:sz w:val="20"/>
                <w:szCs w:val="20"/>
              </w:rPr>
            </w:r>
          </w:p>
        </w:tc>
        <w:tc>
          <w:tcPr>
            <w:tcW w:w="1128" w:type="dxa"/>
            <w:vAlign w:val="center"/>
            <w:textDirection w:val="lrTb"/>
            <w:noWrap w:val="false"/>
          </w:tcPr>
          <w:p>
            <w:pPr>
              <w:pStyle w:val="1251"/>
              <w:ind w:left="11" w:right="4"/>
              <w:rPr>
                <w:sz w:val="20"/>
                <w:szCs w:val="20"/>
              </w:rPr>
            </w:pPr>
            <w:r>
              <w:rPr>
                <w:sz w:val="20"/>
                <w:szCs w:val="20"/>
              </w:rPr>
              <w:t xml:space="preserve">17231</w:t>
            </w:r>
            <w:r>
              <w:rPr>
                <w:sz w:val="20"/>
                <w:szCs w:val="20"/>
              </w:rPr>
            </w:r>
            <w:r>
              <w:rPr>
                <w:sz w:val="20"/>
                <w:szCs w:val="20"/>
              </w:rPr>
            </w:r>
          </w:p>
        </w:tc>
        <w:tc>
          <w:tcPr>
            <w:tcW w:w="1270" w:type="dxa"/>
            <w:vAlign w:val="center"/>
            <w:textDirection w:val="lrTb"/>
            <w:noWrap w:val="false"/>
          </w:tcPr>
          <w:p>
            <w:pPr>
              <w:pStyle w:val="1251"/>
              <w:ind w:left="11" w:right="4"/>
              <w:rPr>
                <w:sz w:val="20"/>
                <w:szCs w:val="20"/>
              </w:rPr>
            </w:pPr>
            <w:r>
              <w:rPr>
                <w:sz w:val="20"/>
                <w:szCs w:val="20"/>
              </w:rPr>
              <w:t xml:space="preserve">17231</w:t>
            </w:r>
            <w:r>
              <w:rPr>
                <w:sz w:val="20"/>
                <w:szCs w:val="20"/>
              </w:rPr>
            </w:r>
            <w:r>
              <w:rPr>
                <w:sz w:val="20"/>
                <w:szCs w:val="20"/>
              </w:rPr>
            </w:r>
          </w:p>
        </w:tc>
        <w:tc>
          <w:tcPr>
            <w:tcW w:w="1272" w:type="dxa"/>
            <w:vAlign w:val="center"/>
            <w:textDirection w:val="lrTb"/>
            <w:noWrap w:val="false"/>
          </w:tcPr>
          <w:p>
            <w:pPr>
              <w:pStyle w:val="1251"/>
              <w:ind w:left="11" w:right="4"/>
              <w:rPr>
                <w:sz w:val="20"/>
                <w:szCs w:val="20"/>
              </w:rPr>
            </w:pPr>
            <w:r>
              <w:rPr>
                <w:sz w:val="20"/>
                <w:szCs w:val="20"/>
              </w:rPr>
              <w:t xml:space="preserve">17231</w:t>
            </w:r>
            <w:r>
              <w:rPr>
                <w:sz w:val="20"/>
                <w:szCs w:val="20"/>
              </w:rPr>
            </w:r>
            <w:r>
              <w:rPr>
                <w:sz w:val="20"/>
                <w:szCs w:val="20"/>
              </w:rPr>
            </w:r>
          </w:p>
        </w:tc>
        <w:tc>
          <w:tcPr>
            <w:tcW w:w="1219" w:type="dxa"/>
            <w:vAlign w:val="center"/>
            <w:textDirection w:val="lrTb"/>
            <w:noWrap w:val="false"/>
          </w:tcPr>
          <w:p>
            <w:pPr>
              <w:pStyle w:val="1251"/>
              <w:ind w:left="11" w:right="4"/>
              <w:rPr>
                <w:sz w:val="20"/>
                <w:szCs w:val="20"/>
              </w:rPr>
            </w:pPr>
            <w:r>
              <w:rPr>
                <w:sz w:val="20"/>
                <w:szCs w:val="20"/>
              </w:rPr>
              <w:t xml:space="preserve">17231</w:t>
            </w:r>
            <w:r>
              <w:rPr>
                <w:sz w:val="20"/>
                <w:szCs w:val="20"/>
              </w:rPr>
            </w:r>
            <w:r>
              <w:rPr>
                <w:sz w:val="20"/>
                <w:szCs w:val="20"/>
              </w:rPr>
            </w:r>
          </w:p>
        </w:tc>
      </w:tr>
      <w:tr>
        <w:tblPrEx/>
        <w:trPr>
          <w:trHeight w:val="85"/>
        </w:trPr>
        <w:tc>
          <w:tcPr>
            <w:tcW w:w="6965" w:type="dxa"/>
            <w:vAlign w:val="center"/>
            <w:textDirection w:val="lrTb"/>
            <w:noWrap w:val="false"/>
          </w:tcPr>
          <w:p>
            <w:pPr>
              <w:pStyle w:val="1251"/>
              <w:ind w:left="161" w:right="4"/>
              <w:jc w:val="left"/>
              <w:rPr>
                <w:sz w:val="20"/>
                <w:szCs w:val="20"/>
              </w:rPr>
            </w:pPr>
            <w:r>
              <w:rPr>
                <w:sz w:val="20"/>
                <w:szCs w:val="20"/>
              </w:rPr>
              <w:t xml:space="preserve">Потери</w:t>
            </w:r>
            <w:r>
              <w:rPr>
                <w:spacing w:val="-2"/>
                <w:sz w:val="20"/>
                <w:szCs w:val="20"/>
              </w:rPr>
              <w:t xml:space="preserve"> </w:t>
            </w:r>
            <w:r>
              <w:rPr>
                <w:sz w:val="20"/>
                <w:szCs w:val="20"/>
              </w:rPr>
              <w:t xml:space="preserve">в</w:t>
            </w:r>
            <w:r>
              <w:rPr>
                <w:spacing w:val="-2"/>
                <w:sz w:val="20"/>
                <w:szCs w:val="20"/>
              </w:rPr>
              <w:t xml:space="preserve"> тепловых</w:t>
            </w:r>
            <w:r>
              <w:rPr>
                <w:sz w:val="20"/>
                <w:szCs w:val="20"/>
              </w:rPr>
              <w:t xml:space="preserve"> сетях,</w:t>
            </w:r>
            <w:r>
              <w:rPr>
                <w:spacing w:val="-3"/>
                <w:sz w:val="20"/>
                <w:szCs w:val="20"/>
              </w:rPr>
              <w:t xml:space="preserve"> </w:t>
            </w:r>
            <w:r>
              <w:rPr>
                <w:spacing w:val="-4"/>
                <w:sz w:val="20"/>
                <w:szCs w:val="20"/>
              </w:rPr>
              <w:t xml:space="preserve">Гкал</w:t>
            </w:r>
            <w:r>
              <w:rPr>
                <w:sz w:val="20"/>
                <w:szCs w:val="20"/>
              </w:rPr>
            </w:r>
            <w:r>
              <w:rPr>
                <w:sz w:val="20"/>
                <w:szCs w:val="20"/>
              </w:rPr>
            </w:r>
          </w:p>
        </w:tc>
        <w:tc>
          <w:tcPr>
            <w:tcW w:w="1270" w:type="dxa"/>
            <w:vAlign w:val="center"/>
            <w:textDirection w:val="lrTb"/>
            <w:noWrap w:val="false"/>
          </w:tcPr>
          <w:p>
            <w:pPr>
              <w:pStyle w:val="1251"/>
              <w:ind w:left="11" w:right="4"/>
              <w:rPr>
                <w:sz w:val="20"/>
                <w:szCs w:val="20"/>
              </w:rPr>
            </w:pPr>
            <w:r>
              <w:rPr>
                <w:sz w:val="20"/>
                <w:szCs w:val="20"/>
              </w:rPr>
              <w:t xml:space="preserve">2145</w:t>
            </w:r>
            <w:r>
              <w:rPr>
                <w:sz w:val="20"/>
                <w:szCs w:val="20"/>
              </w:rPr>
            </w:r>
            <w:r>
              <w:rPr>
                <w:sz w:val="20"/>
                <w:szCs w:val="20"/>
              </w:rPr>
            </w:r>
          </w:p>
        </w:tc>
        <w:tc>
          <w:tcPr>
            <w:tcW w:w="1272" w:type="dxa"/>
            <w:vAlign w:val="center"/>
            <w:textDirection w:val="lrTb"/>
            <w:noWrap w:val="false"/>
          </w:tcPr>
          <w:p>
            <w:pPr>
              <w:pStyle w:val="1251"/>
              <w:ind w:left="11" w:right="4"/>
              <w:rPr>
                <w:sz w:val="20"/>
                <w:szCs w:val="20"/>
              </w:rPr>
            </w:pPr>
            <w:r>
              <w:rPr>
                <w:sz w:val="20"/>
                <w:szCs w:val="20"/>
              </w:rPr>
              <w:t xml:space="preserve">2145</w:t>
            </w:r>
            <w:r>
              <w:rPr>
                <w:sz w:val="20"/>
                <w:szCs w:val="20"/>
              </w:rPr>
            </w:r>
            <w:r>
              <w:rPr>
                <w:sz w:val="20"/>
                <w:szCs w:val="20"/>
              </w:rPr>
            </w:r>
          </w:p>
        </w:tc>
        <w:tc>
          <w:tcPr>
            <w:tcW w:w="1128" w:type="dxa"/>
            <w:vAlign w:val="center"/>
            <w:textDirection w:val="lrTb"/>
            <w:noWrap w:val="false"/>
          </w:tcPr>
          <w:p>
            <w:pPr>
              <w:pStyle w:val="1251"/>
              <w:ind w:left="11" w:right="4"/>
              <w:rPr>
                <w:sz w:val="20"/>
                <w:szCs w:val="20"/>
              </w:rPr>
            </w:pPr>
            <w:r>
              <w:rPr>
                <w:sz w:val="20"/>
                <w:szCs w:val="20"/>
              </w:rPr>
              <w:t xml:space="preserve">2145</w:t>
            </w:r>
            <w:r>
              <w:rPr>
                <w:sz w:val="20"/>
                <w:szCs w:val="20"/>
              </w:rPr>
            </w:r>
            <w:r>
              <w:rPr>
                <w:sz w:val="20"/>
                <w:szCs w:val="20"/>
              </w:rPr>
            </w:r>
          </w:p>
        </w:tc>
        <w:tc>
          <w:tcPr>
            <w:tcW w:w="1270" w:type="dxa"/>
            <w:vAlign w:val="center"/>
            <w:textDirection w:val="lrTb"/>
            <w:noWrap w:val="false"/>
          </w:tcPr>
          <w:p>
            <w:pPr>
              <w:pStyle w:val="1251"/>
              <w:ind w:left="11" w:right="4"/>
              <w:rPr>
                <w:sz w:val="20"/>
                <w:szCs w:val="20"/>
              </w:rPr>
            </w:pPr>
            <w:r>
              <w:rPr>
                <w:sz w:val="20"/>
                <w:szCs w:val="20"/>
              </w:rPr>
              <w:t xml:space="preserve">2145</w:t>
            </w:r>
            <w:r>
              <w:rPr>
                <w:sz w:val="20"/>
                <w:szCs w:val="20"/>
              </w:rPr>
            </w:r>
            <w:r>
              <w:rPr>
                <w:sz w:val="20"/>
                <w:szCs w:val="20"/>
              </w:rPr>
            </w:r>
          </w:p>
        </w:tc>
        <w:tc>
          <w:tcPr>
            <w:tcW w:w="1272" w:type="dxa"/>
            <w:vAlign w:val="center"/>
            <w:textDirection w:val="lrTb"/>
            <w:noWrap w:val="false"/>
          </w:tcPr>
          <w:p>
            <w:pPr>
              <w:pStyle w:val="1251"/>
              <w:ind w:left="11" w:right="4"/>
              <w:rPr>
                <w:sz w:val="20"/>
                <w:szCs w:val="20"/>
              </w:rPr>
            </w:pPr>
            <w:r>
              <w:rPr>
                <w:sz w:val="20"/>
                <w:szCs w:val="20"/>
              </w:rPr>
              <w:t xml:space="preserve">2145</w:t>
            </w:r>
            <w:r>
              <w:rPr>
                <w:sz w:val="20"/>
                <w:szCs w:val="20"/>
              </w:rPr>
            </w:r>
            <w:r>
              <w:rPr>
                <w:sz w:val="20"/>
                <w:szCs w:val="20"/>
              </w:rPr>
            </w:r>
          </w:p>
        </w:tc>
        <w:tc>
          <w:tcPr>
            <w:tcW w:w="1219" w:type="dxa"/>
            <w:vAlign w:val="center"/>
            <w:textDirection w:val="lrTb"/>
            <w:noWrap w:val="false"/>
          </w:tcPr>
          <w:p>
            <w:pPr>
              <w:pStyle w:val="1251"/>
              <w:ind w:left="11" w:right="4"/>
              <w:rPr>
                <w:sz w:val="20"/>
                <w:szCs w:val="20"/>
              </w:rPr>
            </w:pPr>
            <w:r>
              <w:rPr>
                <w:sz w:val="20"/>
                <w:szCs w:val="20"/>
              </w:rPr>
              <w:t xml:space="preserve">2145</w:t>
            </w:r>
            <w:r>
              <w:rPr>
                <w:sz w:val="20"/>
                <w:szCs w:val="20"/>
              </w:rPr>
            </w:r>
            <w:r>
              <w:rPr>
                <w:sz w:val="20"/>
                <w:szCs w:val="20"/>
              </w:rPr>
            </w:r>
          </w:p>
        </w:tc>
      </w:tr>
      <w:tr>
        <w:tblPrEx/>
        <w:trPr>
          <w:trHeight w:val="275"/>
        </w:trPr>
        <w:tc>
          <w:tcPr>
            <w:gridSpan w:val="7"/>
            <w:tcW w:w="14396" w:type="dxa"/>
            <w:vAlign w:val="center"/>
            <w:textDirection w:val="lrTb"/>
            <w:noWrap w:val="false"/>
          </w:tcPr>
          <w:p>
            <w:pPr>
              <w:pStyle w:val="1251"/>
              <w:ind w:left="11" w:right="4"/>
              <w:rPr>
                <w:sz w:val="20"/>
                <w:szCs w:val="20"/>
              </w:rPr>
            </w:pPr>
            <w:r>
              <w:rPr>
                <w:color w:val="000000"/>
                <w:sz w:val="20"/>
                <w:szCs w:val="20"/>
              </w:rPr>
              <w:t xml:space="preserve">Котельная </w:t>
            </w:r>
            <w:r>
              <w:rPr>
                <w:rFonts w:ascii="Liberation Serif" w:hAnsi="Liberation Serif" w:cs="Calibri"/>
                <w:color w:val="000000"/>
                <w:sz w:val="20"/>
                <w:szCs w:val="20"/>
              </w:rPr>
              <w:t xml:space="preserve">р.п.  Юргамыш, ул. Железнодорожная, территория тягловой подстанции ОАО «РЖД»</w:t>
            </w:r>
            <w:r>
              <w:rPr>
                <w:sz w:val="20"/>
                <w:szCs w:val="20"/>
              </w:rPr>
            </w:r>
            <w:r>
              <w:rPr>
                <w:sz w:val="20"/>
                <w:szCs w:val="20"/>
              </w:rPr>
            </w:r>
          </w:p>
        </w:tc>
      </w:tr>
      <w:tr>
        <w:tblPrEx/>
        <w:trPr>
          <w:trHeight w:val="85"/>
        </w:trPr>
        <w:tc>
          <w:tcPr>
            <w:tcW w:w="6965" w:type="dxa"/>
            <w:vAlign w:val="center"/>
            <w:textDirection w:val="lrTb"/>
            <w:noWrap w:val="false"/>
          </w:tcPr>
          <w:p>
            <w:pPr>
              <w:pStyle w:val="1251"/>
              <w:ind w:left="161" w:right="4"/>
              <w:jc w:val="left"/>
              <w:rPr>
                <w:sz w:val="20"/>
                <w:szCs w:val="20"/>
              </w:rPr>
            </w:pPr>
            <w:r>
              <w:rPr>
                <w:spacing w:val="-2"/>
                <w:sz w:val="20"/>
                <w:szCs w:val="20"/>
              </w:rPr>
              <w:t xml:space="preserve">Установленная</w:t>
            </w:r>
            <w:r>
              <w:rPr>
                <w:sz w:val="20"/>
                <w:szCs w:val="20"/>
              </w:rPr>
              <w:t xml:space="preserve"> мощность,</w:t>
            </w:r>
            <w:r>
              <w:rPr>
                <w:spacing w:val="-5"/>
                <w:sz w:val="20"/>
                <w:szCs w:val="20"/>
              </w:rPr>
              <w:t xml:space="preserve"> </w:t>
            </w:r>
            <w:r>
              <w:rPr>
                <w:spacing w:val="-2"/>
                <w:sz w:val="20"/>
                <w:szCs w:val="20"/>
              </w:rPr>
              <w:t xml:space="preserve">Гкал\час</w:t>
            </w:r>
            <w:r>
              <w:rPr>
                <w:sz w:val="20"/>
                <w:szCs w:val="20"/>
              </w:rPr>
            </w:r>
            <w:r>
              <w:rPr>
                <w:sz w:val="20"/>
                <w:szCs w:val="20"/>
              </w:rPr>
            </w:r>
          </w:p>
        </w:tc>
        <w:tc>
          <w:tcPr>
            <w:tcW w:w="1270" w:type="dxa"/>
            <w:vAlign w:val="center"/>
            <w:textDirection w:val="lrTb"/>
            <w:noWrap w:val="false"/>
          </w:tcPr>
          <w:p>
            <w:pPr>
              <w:pStyle w:val="1251"/>
              <w:ind w:left="11" w:right="4"/>
              <w:rPr>
                <w:sz w:val="20"/>
                <w:szCs w:val="20"/>
              </w:rPr>
            </w:pPr>
            <w:r>
              <w:rPr>
                <w:sz w:val="20"/>
                <w:szCs w:val="20"/>
              </w:rPr>
              <w:t xml:space="preserve">0,963</w:t>
            </w:r>
            <w:r>
              <w:rPr>
                <w:sz w:val="20"/>
                <w:szCs w:val="20"/>
              </w:rPr>
            </w:r>
            <w:r>
              <w:rPr>
                <w:sz w:val="20"/>
                <w:szCs w:val="20"/>
              </w:rPr>
            </w:r>
          </w:p>
        </w:tc>
        <w:tc>
          <w:tcPr>
            <w:tcW w:w="1272" w:type="dxa"/>
            <w:vAlign w:val="center"/>
            <w:textDirection w:val="lrTb"/>
            <w:noWrap w:val="false"/>
          </w:tcPr>
          <w:p>
            <w:pPr>
              <w:pStyle w:val="1251"/>
              <w:ind w:left="11" w:right="4"/>
              <w:rPr>
                <w:sz w:val="20"/>
                <w:szCs w:val="20"/>
              </w:rPr>
            </w:pPr>
            <w:r>
              <w:rPr>
                <w:sz w:val="20"/>
                <w:szCs w:val="20"/>
              </w:rPr>
              <w:t xml:space="preserve">0,963</w:t>
            </w:r>
            <w:r>
              <w:rPr>
                <w:sz w:val="20"/>
                <w:szCs w:val="20"/>
              </w:rPr>
            </w:r>
            <w:r>
              <w:rPr>
                <w:sz w:val="20"/>
                <w:szCs w:val="20"/>
              </w:rPr>
            </w:r>
          </w:p>
        </w:tc>
        <w:tc>
          <w:tcPr>
            <w:tcW w:w="1128" w:type="dxa"/>
            <w:vAlign w:val="center"/>
            <w:textDirection w:val="lrTb"/>
            <w:noWrap w:val="false"/>
          </w:tcPr>
          <w:p>
            <w:pPr>
              <w:pStyle w:val="1251"/>
              <w:ind w:left="11" w:right="4"/>
              <w:rPr>
                <w:sz w:val="20"/>
                <w:szCs w:val="20"/>
              </w:rPr>
            </w:pPr>
            <w:r>
              <w:rPr>
                <w:sz w:val="20"/>
                <w:szCs w:val="20"/>
              </w:rPr>
              <w:t xml:space="preserve">0,963</w:t>
            </w:r>
            <w:r>
              <w:rPr>
                <w:sz w:val="20"/>
                <w:szCs w:val="20"/>
              </w:rPr>
            </w:r>
            <w:r>
              <w:rPr>
                <w:sz w:val="20"/>
                <w:szCs w:val="20"/>
              </w:rPr>
            </w:r>
          </w:p>
        </w:tc>
        <w:tc>
          <w:tcPr>
            <w:tcW w:w="1270" w:type="dxa"/>
            <w:vAlign w:val="center"/>
            <w:textDirection w:val="lrTb"/>
            <w:noWrap w:val="false"/>
          </w:tcPr>
          <w:p>
            <w:pPr>
              <w:pStyle w:val="1251"/>
              <w:ind w:left="11" w:right="4"/>
              <w:rPr>
                <w:sz w:val="20"/>
                <w:szCs w:val="20"/>
              </w:rPr>
            </w:pPr>
            <w:r>
              <w:rPr>
                <w:sz w:val="20"/>
                <w:szCs w:val="20"/>
              </w:rPr>
              <w:t xml:space="preserve">0,963</w:t>
            </w:r>
            <w:r>
              <w:rPr>
                <w:sz w:val="20"/>
                <w:szCs w:val="20"/>
              </w:rPr>
            </w:r>
            <w:r>
              <w:rPr>
                <w:sz w:val="20"/>
                <w:szCs w:val="20"/>
              </w:rPr>
            </w:r>
          </w:p>
        </w:tc>
        <w:tc>
          <w:tcPr>
            <w:tcW w:w="1272" w:type="dxa"/>
            <w:vAlign w:val="center"/>
            <w:textDirection w:val="lrTb"/>
            <w:noWrap w:val="false"/>
          </w:tcPr>
          <w:p>
            <w:pPr>
              <w:pStyle w:val="1251"/>
              <w:ind w:left="11" w:right="4"/>
              <w:rPr>
                <w:sz w:val="20"/>
                <w:szCs w:val="20"/>
              </w:rPr>
            </w:pPr>
            <w:r>
              <w:rPr>
                <w:sz w:val="20"/>
                <w:szCs w:val="20"/>
              </w:rPr>
              <w:t xml:space="preserve">0,963</w:t>
            </w:r>
            <w:r>
              <w:rPr>
                <w:sz w:val="20"/>
                <w:szCs w:val="20"/>
              </w:rPr>
            </w:r>
            <w:r>
              <w:rPr>
                <w:sz w:val="20"/>
                <w:szCs w:val="20"/>
              </w:rPr>
            </w:r>
          </w:p>
        </w:tc>
        <w:tc>
          <w:tcPr>
            <w:tcW w:w="1219" w:type="dxa"/>
            <w:vAlign w:val="center"/>
            <w:textDirection w:val="lrTb"/>
            <w:noWrap w:val="false"/>
          </w:tcPr>
          <w:p>
            <w:pPr>
              <w:pStyle w:val="1251"/>
              <w:ind w:left="11" w:right="4"/>
              <w:rPr>
                <w:sz w:val="20"/>
                <w:szCs w:val="20"/>
              </w:rPr>
            </w:pPr>
            <w:r>
              <w:rPr>
                <w:sz w:val="20"/>
                <w:szCs w:val="20"/>
              </w:rPr>
              <w:t xml:space="preserve">0,963</w:t>
            </w:r>
            <w:r>
              <w:rPr>
                <w:sz w:val="20"/>
                <w:szCs w:val="20"/>
              </w:rPr>
            </w:r>
            <w:r>
              <w:rPr>
                <w:sz w:val="20"/>
                <w:szCs w:val="20"/>
              </w:rPr>
            </w:r>
          </w:p>
        </w:tc>
      </w:tr>
      <w:tr>
        <w:tblPrEx/>
        <w:trPr>
          <w:trHeight w:val="85"/>
        </w:trPr>
        <w:tc>
          <w:tcPr>
            <w:tcW w:w="6965" w:type="dxa"/>
            <w:vAlign w:val="center"/>
            <w:textDirection w:val="lrTb"/>
            <w:noWrap w:val="false"/>
          </w:tcPr>
          <w:p>
            <w:pPr>
              <w:pStyle w:val="1251"/>
              <w:ind w:left="161" w:right="4"/>
              <w:jc w:val="left"/>
              <w:rPr>
                <w:sz w:val="20"/>
                <w:szCs w:val="20"/>
              </w:rPr>
            </w:pPr>
            <w:r>
              <w:rPr>
                <w:spacing w:val="-2"/>
                <w:sz w:val="20"/>
                <w:szCs w:val="20"/>
              </w:rPr>
              <w:t xml:space="preserve">Присоединенная</w:t>
            </w:r>
            <w:r>
              <w:rPr>
                <w:sz w:val="20"/>
                <w:szCs w:val="20"/>
              </w:rPr>
              <w:t xml:space="preserve"> нагрузка,</w:t>
            </w:r>
            <w:r>
              <w:rPr>
                <w:spacing w:val="-8"/>
                <w:sz w:val="20"/>
                <w:szCs w:val="20"/>
              </w:rPr>
              <w:t xml:space="preserve"> </w:t>
            </w:r>
            <w:r>
              <w:rPr>
                <w:spacing w:val="-2"/>
                <w:sz w:val="20"/>
                <w:szCs w:val="20"/>
              </w:rPr>
              <w:t xml:space="preserve">Гкал\час</w:t>
            </w:r>
            <w:r>
              <w:rPr>
                <w:sz w:val="20"/>
                <w:szCs w:val="20"/>
              </w:rPr>
            </w:r>
            <w:r>
              <w:rPr>
                <w:sz w:val="20"/>
                <w:szCs w:val="20"/>
              </w:rPr>
            </w:r>
          </w:p>
        </w:tc>
        <w:tc>
          <w:tcPr>
            <w:tcW w:w="1270" w:type="dxa"/>
            <w:vAlign w:val="center"/>
            <w:textDirection w:val="lrTb"/>
            <w:noWrap w:val="false"/>
          </w:tcPr>
          <w:p>
            <w:pPr>
              <w:pStyle w:val="1251"/>
              <w:ind w:left="11" w:right="4"/>
              <w:rPr>
                <w:sz w:val="20"/>
                <w:szCs w:val="20"/>
              </w:rPr>
            </w:pPr>
            <w:r>
              <w:rPr>
                <w:sz w:val="20"/>
                <w:szCs w:val="20"/>
              </w:rPr>
              <w:t xml:space="preserve">0,3732</w:t>
            </w:r>
            <w:r>
              <w:rPr>
                <w:sz w:val="20"/>
                <w:szCs w:val="20"/>
              </w:rPr>
            </w:r>
            <w:r>
              <w:rPr>
                <w:sz w:val="20"/>
                <w:szCs w:val="20"/>
              </w:rPr>
            </w:r>
          </w:p>
        </w:tc>
        <w:tc>
          <w:tcPr>
            <w:tcW w:w="1272" w:type="dxa"/>
            <w:vAlign w:val="center"/>
            <w:textDirection w:val="lrTb"/>
            <w:noWrap w:val="false"/>
          </w:tcPr>
          <w:p>
            <w:pPr>
              <w:pStyle w:val="1251"/>
              <w:ind w:left="11" w:right="4"/>
              <w:rPr>
                <w:sz w:val="20"/>
                <w:szCs w:val="20"/>
              </w:rPr>
            </w:pPr>
            <w:r>
              <w:rPr>
                <w:sz w:val="20"/>
                <w:szCs w:val="20"/>
              </w:rPr>
              <w:t xml:space="preserve">0,3732</w:t>
            </w:r>
            <w:r>
              <w:rPr>
                <w:sz w:val="20"/>
                <w:szCs w:val="20"/>
              </w:rPr>
            </w:r>
            <w:r>
              <w:rPr>
                <w:sz w:val="20"/>
                <w:szCs w:val="20"/>
              </w:rPr>
            </w:r>
          </w:p>
        </w:tc>
        <w:tc>
          <w:tcPr>
            <w:tcW w:w="1128" w:type="dxa"/>
            <w:vAlign w:val="center"/>
            <w:textDirection w:val="lrTb"/>
            <w:noWrap w:val="false"/>
          </w:tcPr>
          <w:p>
            <w:pPr>
              <w:pStyle w:val="1251"/>
              <w:ind w:left="11" w:right="4"/>
              <w:rPr>
                <w:sz w:val="20"/>
                <w:szCs w:val="20"/>
              </w:rPr>
            </w:pPr>
            <w:r>
              <w:rPr>
                <w:sz w:val="20"/>
                <w:szCs w:val="20"/>
              </w:rPr>
              <w:t xml:space="preserve">0,3732</w:t>
            </w:r>
            <w:r>
              <w:rPr>
                <w:sz w:val="20"/>
                <w:szCs w:val="20"/>
              </w:rPr>
            </w:r>
            <w:r>
              <w:rPr>
                <w:sz w:val="20"/>
                <w:szCs w:val="20"/>
              </w:rPr>
            </w:r>
          </w:p>
        </w:tc>
        <w:tc>
          <w:tcPr>
            <w:tcW w:w="1270" w:type="dxa"/>
            <w:vAlign w:val="center"/>
            <w:textDirection w:val="lrTb"/>
            <w:noWrap w:val="false"/>
          </w:tcPr>
          <w:p>
            <w:pPr>
              <w:pStyle w:val="1251"/>
              <w:ind w:left="11" w:right="4"/>
              <w:rPr>
                <w:sz w:val="20"/>
                <w:szCs w:val="20"/>
              </w:rPr>
            </w:pPr>
            <w:r>
              <w:rPr>
                <w:sz w:val="20"/>
                <w:szCs w:val="20"/>
              </w:rPr>
              <w:t xml:space="preserve">0,3732</w:t>
            </w:r>
            <w:r>
              <w:rPr>
                <w:sz w:val="20"/>
                <w:szCs w:val="20"/>
              </w:rPr>
            </w:r>
            <w:r>
              <w:rPr>
                <w:sz w:val="20"/>
                <w:szCs w:val="20"/>
              </w:rPr>
            </w:r>
          </w:p>
        </w:tc>
        <w:tc>
          <w:tcPr>
            <w:tcW w:w="1272" w:type="dxa"/>
            <w:vAlign w:val="center"/>
            <w:textDirection w:val="lrTb"/>
            <w:noWrap w:val="false"/>
          </w:tcPr>
          <w:p>
            <w:pPr>
              <w:pStyle w:val="1251"/>
              <w:ind w:left="11" w:right="4"/>
              <w:rPr>
                <w:sz w:val="20"/>
                <w:szCs w:val="20"/>
              </w:rPr>
            </w:pPr>
            <w:r>
              <w:rPr>
                <w:sz w:val="20"/>
                <w:szCs w:val="20"/>
              </w:rPr>
              <w:t xml:space="preserve">0,3732</w:t>
            </w:r>
            <w:r>
              <w:rPr>
                <w:sz w:val="20"/>
                <w:szCs w:val="20"/>
              </w:rPr>
            </w:r>
            <w:r>
              <w:rPr>
                <w:sz w:val="20"/>
                <w:szCs w:val="20"/>
              </w:rPr>
            </w:r>
          </w:p>
        </w:tc>
        <w:tc>
          <w:tcPr>
            <w:tcW w:w="1219" w:type="dxa"/>
            <w:vAlign w:val="center"/>
            <w:textDirection w:val="lrTb"/>
            <w:noWrap w:val="false"/>
          </w:tcPr>
          <w:p>
            <w:pPr>
              <w:pStyle w:val="1251"/>
              <w:ind w:left="11" w:right="4"/>
              <w:rPr>
                <w:sz w:val="20"/>
                <w:szCs w:val="20"/>
              </w:rPr>
            </w:pPr>
            <w:r>
              <w:rPr>
                <w:sz w:val="20"/>
                <w:szCs w:val="20"/>
              </w:rPr>
              <w:t xml:space="preserve">0,3732</w:t>
            </w:r>
            <w:r>
              <w:rPr>
                <w:sz w:val="20"/>
                <w:szCs w:val="20"/>
              </w:rPr>
            </w:r>
            <w:r>
              <w:rPr>
                <w:sz w:val="20"/>
                <w:szCs w:val="20"/>
              </w:rPr>
            </w:r>
          </w:p>
        </w:tc>
      </w:tr>
      <w:tr>
        <w:tblPrEx/>
        <w:trPr>
          <w:trHeight w:val="85"/>
        </w:trPr>
        <w:tc>
          <w:tcPr>
            <w:tcW w:w="6965" w:type="dxa"/>
            <w:vAlign w:val="center"/>
            <w:textDirection w:val="lrTb"/>
            <w:noWrap w:val="false"/>
          </w:tcPr>
          <w:p>
            <w:pPr>
              <w:pStyle w:val="1251"/>
              <w:ind w:left="161" w:right="4"/>
              <w:jc w:val="left"/>
              <w:rPr>
                <w:sz w:val="20"/>
                <w:szCs w:val="20"/>
              </w:rPr>
            </w:pPr>
            <w:r>
              <w:rPr>
                <w:spacing w:val="-2"/>
                <w:sz w:val="20"/>
                <w:szCs w:val="20"/>
              </w:rPr>
              <w:t xml:space="preserve">Использование установленной</w:t>
            </w:r>
            <w:r>
              <w:rPr>
                <w:sz w:val="20"/>
                <w:szCs w:val="20"/>
              </w:rPr>
              <w:t xml:space="preserve"> мощности,</w:t>
            </w:r>
            <w:r>
              <w:rPr>
                <w:spacing w:val="-4"/>
                <w:sz w:val="20"/>
                <w:szCs w:val="20"/>
              </w:rPr>
              <w:t xml:space="preserve"> </w:t>
            </w:r>
            <w:r>
              <w:rPr>
                <w:spacing w:val="-10"/>
                <w:sz w:val="20"/>
                <w:szCs w:val="20"/>
              </w:rPr>
              <w:t xml:space="preserve">%</w:t>
            </w:r>
            <w:r>
              <w:rPr>
                <w:sz w:val="20"/>
                <w:szCs w:val="20"/>
              </w:rPr>
            </w:r>
            <w:r>
              <w:rPr>
                <w:sz w:val="20"/>
                <w:szCs w:val="20"/>
              </w:rPr>
            </w:r>
          </w:p>
        </w:tc>
        <w:tc>
          <w:tcPr>
            <w:tcW w:w="1270" w:type="dxa"/>
            <w:textDirection w:val="lrTb"/>
            <w:noWrap w:val="false"/>
          </w:tcPr>
          <w:p>
            <w:pPr>
              <w:pStyle w:val="1251"/>
              <w:ind w:right="4"/>
              <w:rPr>
                <w:sz w:val="20"/>
                <w:szCs w:val="20"/>
              </w:rPr>
            </w:pPr>
            <w:r>
              <w:rPr>
                <w:sz w:val="20"/>
                <w:szCs w:val="20"/>
              </w:rPr>
              <w:t xml:space="preserve">38,75</w:t>
            </w:r>
            <w:r>
              <w:rPr>
                <w:sz w:val="20"/>
                <w:szCs w:val="20"/>
              </w:rPr>
            </w:r>
            <w:r>
              <w:rPr>
                <w:sz w:val="20"/>
                <w:szCs w:val="20"/>
              </w:rPr>
            </w:r>
          </w:p>
        </w:tc>
        <w:tc>
          <w:tcPr>
            <w:tcW w:w="1272" w:type="dxa"/>
            <w:textDirection w:val="lrTb"/>
            <w:noWrap w:val="false"/>
          </w:tcPr>
          <w:p>
            <w:pPr>
              <w:pStyle w:val="1251"/>
              <w:ind w:right="4"/>
              <w:rPr>
                <w:sz w:val="20"/>
                <w:szCs w:val="20"/>
              </w:rPr>
            </w:pPr>
            <w:r>
              <w:rPr>
                <w:sz w:val="20"/>
                <w:szCs w:val="20"/>
              </w:rPr>
              <w:t xml:space="preserve">38,75</w:t>
            </w:r>
            <w:r>
              <w:rPr>
                <w:sz w:val="20"/>
                <w:szCs w:val="20"/>
              </w:rPr>
            </w:r>
            <w:r>
              <w:rPr>
                <w:sz w:val="20"/>
                <w:szCs w:val="20"/>
              </w:rPr>
            </w:r>
          </w:p>
        </w:tc>
        <w:tc>
          <w:tcPr>
            <w:tcW w:w="1128" w:type="dxa"/>
            <w:textDirection w:val="lrTb"/>
            <w:noWrap w:val="false"/>
          </w:tcPr>
          <w:p>
            <w:pPr>
              <w:pStyle w:val="1251"/>
              <w:ind w:right="4"/>
              <w:rPr>
                <w:sz w:val="20"/>
                <w:szCs w:val="20"/>
              </w:rPr>
            </w:pPr>
            <w:r>
              <w:rPr>
                <w:sz w:val="20"/>
                <w:szCs w:val="20"/>
              </w:rPr>
              <w:t xml:space="preserve">38,75</w:t>
            </w:r>
            <w:r>
              <w:rPr>
                <w:sz w:val="20"/>
                <w:szCs w:val="20"/>
              </w:rPr>
            </w:r>
            <w:r>
              <w:rPr>
                <w:sz w:val="20"/>
                <w:szCs w:val="20"/>
              </w:rPr>
            </w:r>
          </w:p>
        </w:tc>
        <w:tc>
          <w:tcPr>
            <w:tcW w:w="1270" w:type="dxa"/>
            <w:textDirection w:val="lrTb"/>
            <w:noWrap w:val="false"/>
          </w:tcPr>
          <w:p>
            <w:pPr>
              <w:pStyle w:val="1251"/>
              <w:ind w:right="4"/>
              <w:rPr>
                <w:sz w:val="20"/>
                <w:szCs w:val="20"/>
              </w:rPr>
            </w:pPr>
            <w:r>
              <w:rPr>
                <w:sz w:val="20"/>
                <w:szCs w:val="20"/>
              </w:rPr>
              <w:t xml:space="preserve">38,75</w:t>
            </w:r>
            <w:r>
              <w:rPr>
                <w:sz w:val="20"/>
                <w:szCs w:val="20"/>
              </w:rPr>
            </w:r>
            <w:r>
              <w:rPr>
                <w:sz w:val="20"/>
                <w:szCs w:val="20"/>
              </w:rPr>
            </w:r>
          </w:p>
        </w:tc>
        <w:tc>
          <w:tcPr>
            <w:tcW w:w="1272" w:type="dxa"/>
            <w:textDirection w:val="lrTb"/>
            <w:noWrap w:val="false"/>
          </w:tcPr>
          <w:p>
            <w:pPr>
              <w:pStyle w:val="1251"/>
              <w:ind w:right="4"/>
              <w:rPr>
                <w:sz w:val="20"/>
                <w:szCs w:val="20"/>
              </w:rPr>
            </w:pPr>
            <w:r>
              <w:rPr>
                <w:sz w:val="20"/>
                <w:szCs w:val="20"/>
              </w:rPr>
              <w:t xml:space="preserve">38,75</w:t>
            </w:r>
            <w:r>
              <w:rPr>
                <w:sz w:val="20"/>
                <w:szCs w:val="20"/>
              </w:rPr>
            </w:r>
            <w:r>
              <w:rPr>
                <w:sz w:val="20"/>
                <w:szCs w:val="20"/>
              </w:rPr>
            </w:r>
          </w:p>
        </w:tc>
        <w:tc>
          <w:tcPr>
            <w:tcW w:w="1219" w:type="dxa"/>
            <w:textDirection w:val="lrTb"/>
            <w:noWrap w:val="false"/>
          </w:tcPr>
          <w:p>
            <w:pPr>
              <w:pStyle w:val="1251"/>
              <w:ind w:right="4"/>
              <w:rPr>
                <w:sz w:val="20"/>
                <w:szCs w:val="20"/>
              </w:rPr>
            </w:pPr>
            <w:r>
              <w:rPr>
                <w:sz w:val="20"/>
                <w:szCs w:val="20"/>
              </w:rPr>
              <w:t xml:space="preserve">38,75</w:t>
            </w:r>
            <w:r>
              <w:rPr>
                <w:sz w:val="20"/>
                <w:szCs w:val="20"/>
              </w:rPr>
            </w:r>
            <w:r>
              <w:rPr>
                <w:sz w:val="20"/>
                <w:szCs w:val="20"/>
              </w:rPr>
            </w:r>
          </w:p>
        </w:tc>
      </w:tr>
      <w:tr>
        <w:tblPrEx/>
        <w:trPr>
          <w:trHeight w:val="85"/>
        </w:trPr>
        <w:tc>
          <w:tcPr>
            <w:tcW w:w="6965" w:type="dxa"/>
            <w:vAlign w:val="center"/>
            <w:textDirection w:val="lrTb"/>
            <w:noWrap w:val="false"/>
          </w:tcPr>
          <w:p>
            <w:pPr>
              <w:pStyle w:val="1251"/>
              <w:ind w:left="161" w:right="4"/>
              <w:jc w:val="left"/>
              <w:rPr>
                <w:sz w:val="20"/>
                <w:szCs w:val="20"/>
              </w:rPr>
            </w:pPr>
            <w:r>
              <w:rPr>
                <w:sz w:val="20"/>
                <w:szCs w:val="20"/>
              </w:rPr>
              <w:t xml:space="preserve">Выработка</w:t>
            </w:r>
            <w:r>
              <w:rPr>
                <w:spacing w:val="-6"/>
                <w:sz w:val="20"/>
                <w:szCs w:val="20"/>
              </w:rPr>
              <w:t xml:space="preserve"> </w:t>
            </w:r>
            <w:r>
              <w:rPr>
                <w:spacing w:val="-2"/>
                <w:sz w:val="20"/>
                <w:szCs w:val="20"/>
              </w:rPr>
              <w:t xml:space="preserve">тепловой</w:t>
            </w:r>
            <w:r>
              <w:rPr>
                <w:sz w:val="20"/>
                <w:szCs w:val="20"/>
              </w:rPr>
              <w:t xml:space="preserve"> энергии,</w:t>
            </w:r>
            <w:r>
              <w:rPr>
                <w:spacing w:val="-3"/>
                <w:sz w:val="20"/>
                <w:szCs w:val="20"/>
              </w:rPr>
              <w:t xml:space="preserve"> </w:t>
            </w:r>
            <w:r>
              <w:rPr>
                <w:spacing w:val="-4"/>
                <w:sz w:val="20"/>
                <w:szCs w:val="20"/>
              </w:rPr>
              <w:t xml:space="preserve">Гкал</w:t>
            </w:r>
            <w:r>
              <w:rPr>
                <w:sz w:val="20"/>
                <w:szCs w:val="20"/>
              </w:rPr>
            </w:r>
            <w:r>
              <w:rPr>
                <w:sz w:val="20"/>
                <w:szCs w:val="20"/>
              </w:rPr>
            </w:r>
          </w:p>
        </w:tc>
        <w:tc>
          <w:tcPr>
            <w:tcW w:w="1270" w:type="dxa"/>
            <w:textDirection w:val="lrTb"/>
            <w:noWrap w:val="false"/>
          </w:tcPr>
          <w:p>
            <w:pPr>
              <w:pStyle w:val="1251"/>
              <w:ind w:right="4"/>
              <w:rPr>
                <w:sz w:val="20"/>
                <w:szCs w:val="20"/>
              </w:rPr>
            </w:pPr>
            <w:r>
              <w:rPr>
                <w:bCs/>
                <w:sz w:val="20"/>
                <w:szCs w:val="20"/>
              </w:rPr>
              <w:t xml:space="preserve">1032,856</w:t>
            </w:r>
            <w:r>
              <w:rPr>
                <w:sz w:val="20"/>
                <w:szCs w:val="20"/>
              </w:rPr>
            </w:r>
            <w:r>
              <w:rPr>
                <w:sz w:val="20"/>
                <w:szCs w:val="20"/>
              </w:rPr>
            </w:r>
          </w:p>
        </w:tc>
        <w:tc>
          <w:tcPr>
            <w:tcW w:w="1272" w:type="dxa"/>
            <w:textDirection w:val="lrTb"/>
            <w:noWrap w:val="false"/>
          </w:tcPr>
          <w:p>
            <w:pPr>
              <w:pStyle w:val="1251"/>
              <w:ind w:right="4"/>
              <w:rPr>
                <w:sz w:val="20"/>
                <w:szCs w:val="20"/>
              </w:rPr>
            </w:pPr>
            <w:r>
              <w:rPr>
                <w:bCs/>
                <w:sz w:val="20"/>
                <w:szCs w:val="20"/>
              </w:rPr>
              <w:t xml:space="preserve">1032,856</w:t>
            </w:r>
            <w:r>
              <w:rPr>
                <w:sz w:val="20"/>
                <w:szCs w:val="20"/>
              </w:rPr>
            </w:r>
            <w:r>
              <w:rPr>
                <w:sz w:val="20"/>
                <w:szCs w:val="20"/>
              </w:rPr>
            </w:r>
          </w:p>
        </w:tc>
        <w:tc>
          <w:tcPr>
            <w:tcW w:w="1128" w:type="dxa"/>
            <w:textDirection w:val="lrTb"/>
            <w:noWrap w:val="false"/>
          </w:tcPr>
          <w:p>
            <w:pPr>
              <w:pStyle w:val="1251"/>
              <w:ind w:right="4"/>
              <w:rPr>
                <w:sz w:val="20"/>
                <w:szCs w:val="20"/>
              </w:rPr>
            </w:pPr>
            <w:r>
              <w:rPr>
                <w:bCs/>
                <w:sz w:val="20"/>
                <w:szCs w:val="20"/>
              </w:rPr>
              <w:t xml:space="preserve">1032,856</w:t>
            </w:r>
            <w:r>
              <w:rPr>
                <w:sz w:val="20"/>
                <w:szCs w:val="20"/>
              </w:rPr>
            </w:r>
            <w:r>
              <w:rPr>
                <w:sz w:val="20"/>
                <w:szCs w:val="20"/>
              </w:rPr>
            </w:r>
          </w:p>
        </w:tc>
        <w:tc>
          <w:tcPr>
            <w:tcW w:w="1270" w:type="dxa"/>
            <w:textDirection w:val="lrTb"/>
            <w:noWrap w:val="false"/>
          </w:tcPr>
          <w:p>
            <w:pPr>
              <w:pStyle w:val="1251"/>
              <w:ind w:right="4"/>
              <w:rPr>
                <w:sz w:val="20"/>
                <w:szCs w:val="20"/>
              </w:rPr>
            </w:pPr>
            <w:r>
              <w:rPr>
                <w:bCs/>
                <w:sz w:val="20"/>
                <w:szCs w:val="20"/>
              </w:rPr>
              <w:t xml:space="preserve">1032,856</w:t>
            </w:r>
            <w:r>
              <w:rPr>
                <w:sz w:val="20"/>
                <w:szCs w:val="20"/>
              </w:rPr>
            </w:r>
            <w:r>
              <w:rPr>
                <w:sz w:val="20"/>
                <w:szCs w:val="20"/>
              </w:rPr>
            </w:r>
          </w:p>
        </w:tc>
        <w:tc>
          <w:tcPr>
            <w:tcW w:w="1272" w:type="dxa"/>
            <w:textDirection w:val="lrTb"/>
            <w:noWrap w:val="false"/>
          </w:tcPr>
          <w:p>
            <w:pPr>
              <w:pStyle w:val="1251"/>
              <w:ind w:right="4"/>
              <w:rPr>
                <w:sz w:val="20"/>
                <w:szCs w:val="20"/>
              </w:rPr>
            </w:pPr>
            <w:r>
              <w:rPr>
                <w:bCs/>
                <w:sz w:val="20"/>
                <w:szCs w:val="20"/>
              </w:rPr>
              <w:t xml:space="preserve">1032,856</w:t>
            </w:r>
            <w:r>
              <w:rPr>
                <w:sz w:val="20"/>
                <w:szCs w:val="20"/>
              </w:rPr>
            </w:r>
            <w:r>
              <w:rPr>
                <w:sz w:val="20"/>
                <w:szCs w:val="20"/>
              </w:rPr>
            </w:r>
          </w:p>
        </w:tc>
        <w:tc>
          <w:tcPr>
            <w:tcW w:w="1219" w:type="dxa"/>
            <w:textDirection w:val="lrTb"/>
            <w:noWrap w:val="false"/>
          </w:tcPr>
          <w:p>
            <w:pPr>
              <w:pStyle w:val="1251"/>
              <w:ind w:right="4"/>
              <w:rPr>
                <w:sz w:val="20"/>
                <w:szCs w:val="20"/>
              </w:rPr>
            </w:pPr>
            <w:r>
              <w:rPr>
                <w:bCs/>
                <w:sz w:val="20"/>
                <w:szCs w:val="20"/>
              </w:rPr>
              <w:t xml:space="preserve">1032,856</w:t>
            </w:r>
            <w:r>
              <w:rPr>
                <w:sz w:val="20"/>
                <w:szCs w:val="20"/>
              </w:rPr>
            </w:r>
            <w:r>
              <w:rPr>
                <w:sz w:val="20"/>
                <w:szCs w:val="20"/>
              </w:rPr>
            </w:r>
          </w:p>
        </w:tc>
      </w:tr>
      <w:tr>
        <w:tblPrEx/>
        <w:trPr>
          <w:trHeight w:val="85"/>
        </w:trPr>
        <w:tc>
          <w:tcPr>
            <w:tcW w:w="6965" w:type="dxa"/>
            <w:vAlign w:val="center"/>
            <w:textDirection w:val="lrTb"/>
            <w:noWrap w:val="false"/>
          </w:tcPr>
          <w:p>
            <w:pPr>
              <w:pStyle w:val="1251"/>
              <w:ind w:left="161" w:right="4"/>
              <w:jc w:val="left"/>
              <w:rPr>
                <w:sz w:val="20"/>
                <w:szCs w:val="20"/>
              </w:rPr>
            </w:pPr>
            <w:r>
              <w:rPr>
                <w:sz w:val="20"/>
                <w:szCs w:val="20"/>
              </w:rPr>
              <w:t xml:space="preserve">Собственные</w:t>
            </w:r>
            <w:r>
              <w:rPr>
                <w:spacing w:val="-6"/>
                <w:sz w:val="20"/>
                <w:szCs w:val="20"/>
              </w:rPr>
              <w:t xml:space="preserve"> </w:t>
            </w:r>
            <w:r>
              <w:rPr>
                <w:spacing w:val="-4"/>
                <w:sz w:val="20"/>
                <w:szCs w:val="20"/>
              </w:rPr>
              <w:t xml:space="preserve">нужды</w:t>
            </w:r>
            <w:r>
              <w:rPr>
                <w:sz w:val="20"/>
                <w:szCs w:val="20"/>
              </w:rPr>
              <w:t xml:space="preserve"> котельной,</w:t>
            </w:r>
            <w:r>
              <w:rPr>
                <w:spacing w:val="-6"/>
                <w:sz w:val="20"/>
                <w:szCs w:val="20"/>
              </w:rPr>
              <w:t xml:space="preserve"> </w:t>
            </w:r>
            <w:r>
              <w:rPr>
                <w:spacing w:val="-4"/>
                <w:sz w:val="20"/>
                <w:szCs w:val="20"/>
              </w:rPr>
              <w:t xml:space="preserve">Гкал</w:t>
            </w:r>
            <w:r>
              <w:rPr>
                <w:sz w:val="20"/>
                <w:szCs w:val="20"/>
              </w:rPr>
            </w:r>
            <w:r>
              <w:rPr>
                <w:sz w:val="20"/>
                <w:szCs w:val="20"/>
              </w:rPr>
            </w:r>
          </w:p>
        </w:tc>
        <w:tc>
          <w:tcPr>
            <w:tcW w:w="1270" w:type="dxa"/>
            <w:textDirection w:val="lrTb"/>
            <w:noWrap w:val="false"/>
          </w:tcPr>
          <w:p>
            <w:pPr>
              <w:pStyle w:val="1251"/>
              <w:ind w:right="4"/>
              <w:rPr>
                <w:sz w:val="20"/>
                <w:szCs w:val="20"/>
              </w:rPr>
            </w:pPr>
            <w:r>
              <w:rPr>
                <w:bCs/>
                <w:sz w:val="20"/>
                <w:szCs w:val="20"/>
              </w:rPr>
              <w:t xml:space="preserve">24,789</w:t>
            </w:r>
            <w:r>
              <w:rPr>
                <w:sz w:val="20"/>
                <w:szCs w:val="20"/>
              </w:rPr>
            </w:r>
            <w:r>
              <w:rPr>
                <w:sz w:val="20"/>
                <w:szCs w:val="20"/>
              </w:rPr>
            </w:r>
          </w:p>
        </w:tc>
        <w:tc>
          <w:tcPr>
            <w:tcW w:w="1272" w:type="dxa"/>
            <w:textDirection w:val="lrTb"/>
            <w:noWrap w:val="false"/>
          </w:tcPr>
          <w:p>
            <w:pPr>
              <w:pStyle w:val="1251"/>
              <w:ind w:right="4"/>
              <w:rPr>
                <w:sz w:val="20"/>
                <w:szCs w:val="20"/>
              </w:rPr>
            </w:pPr>
            <w:r>
              <w:rPr>
                <w:bCs/>
                <w:sz w:val="20"/>
                <w:szCs w:val="20"/>
              </w:rPr>
              <w:t xml:space="preserve">24,789</w:t>
            </w:r>
            <w:r>
              <w:rPr>
                <w:sz w:val="20"/>
                <w:szCs w:val="20"/>
              </w:rPr>
            </w:r>
            <w:r>
              <w:rPr>
                <w:sz w:val="20"/>
                <w:szCs w:val="20"/>
              </w:rPr>
            </w:r>
          </w:p>
        </w:tc>
        <w:tc>
          <w:tcPr>
            <w:tcW w:w="1128" w:type="dxa"/>
            <w:textDirection w:val="lrTb"/>
            <w:noWrap w:val="false"/>
          </w:tcPr>
          <w:p>
            <w:pPr>
              <w:pStyle w:val="1251"/>
              <w:ind w:right="4"/>
              <w:rPr>
                <w:sz w:val="20"/>
                <w:szCs w:val="20"/>
              </w:rPr>
            </w:pPr>
            <w:r>
              <w:rPr>
                <w:bCs/>
                <w:sz w:val="20"/>
                <w:szCs w:val="20"/>
              </w:rPr>
              <w:t xml:space="preserve">24,789</w:t>
            </w:r>
            <w:r>
              <w:rPr>
                <w:sz w:val="20"/>
                <w:szCs w:val="20"/>
              </w:rPr>
            </w:r>
            <w:r>
              <w:rPr>
                <w:sz w:val="20"/>
                <w:szCs w:val="20"/>
              </w:rPr>
            </w:r>
          </w:p>
        </w:tc>
        <w:tc>
          <w:tcPr>
            <w:tcW w:w="1270" w:type="dxa"/>
            <w:textDirection w:val="lrTb"/>
            <w:noWrap w:val="false"/>
          </w:tcPr>
          <w:p>
            <w:pPr>
              <w:pStyle w:val="1251"/>
              <w:ind w:right="4"/>
              <w:rPr>
                <w:sz w:val="20"/>
                <w:szCs w:val="20"/>
              </w:rPr>
            </w:pPr>
            <w:r>
              <w:rPr>
                <w:bCs/>
                <w:sz w:val="20"/>
                <w:szCs w:val="20"/>
              </w:rPr>
              <w:t xml:space="preserve">24,789</w:t>
            </w:r>
            <w:r>
              <w:rPr>
                <w:sz w:val="20"/>
                <w:szCs w:val="20"/>
              </w:rPr>
            </w:r>
            <w:r>
              <w:rPr>
                <w:sz w:val="20"/>
                <w:szCs w:val="20"/>
              </w:rPr>
            </w:r>
          </w:p>
        </w:tc>
        <w:tc>
          <w:tcPr>
            <w:tcW w:w="1272" w:type="dxa"/>
            <w:textDirection w:val="lrTb"/>
            <w:noWrap w:val="false"/>
          </w:tcPr>
          <w:p>
            <w:pPr>
              <w:pStyle w:val="1251"/>
              <w:ind w:right="4"/>
              <w:rPr>
                <w:sz w:val="20"/>
                <w:szCs w:val="20"/>
              </w:rPr>
            </w:pPr>
            <w:r>
              <w:rPr>
                <w:bCs/>
                <w:sz w:val="20"/>
                <w:szCs w:val="20"/>
              </w:rPr>
              <w:t xml:space="preserve">24,789</w:t>
            </w:r>
            <w:r>
              <w:rPr>
                <w:sz w:val="20"/>
                <w:szCs w:val="20"/>
              </w:rPr>
            </w:r>
            <w:r>
              <w:rPr>
                <w:sz w:val="20"/>
                <w:szCs w:val="20"/>
              </w:rPr>
            </w:r>
          </w:p>
        </w:tc>
        <w:tc>
          <w:tcPr>
            <w:tcW w:w="1219" w:type="dxa"/>
            <w:textDirection w:val="lrTb"/>
            <w:noWrap w:val="false"/>
          </w:tcPr>
          <w:p>
            <w:pPr>
              <w:pStyle w:val="1251"/>
              <w:ind w:right="4"/>
              <w:rPr>
                <w:sz w:val="20"/>
                <w:szCs w:val="20"/>
              </w:rPr>
            </w:pPr>
            <w:r>
              <w:rPr>
                <w:bCs/>
                <w:sz w:val="20"/>
                <w:szCs w:val="20"/>
              </w:rPr>
              <w:t xml:space="preserve">24,789</w:t>
            </w:r>
            <w:r>
              <w:rPr>
                <w:sz w:val="20"/>
                <w:szCs w:val="20"/>
              </w:rPr>
            </w:r>
            <w:r>
              <w:rPr>
                <w:sz w:val="20"/>
                <w:szCs w:val="20"/>
              </w:rPr>
            </w:r>
          </w:p>
        </w:tc>
      </w:tr>
      <w:tr>
        <w:tblPrEx/>
        <w:trPr>
          <w:trHeight w:val="85"/>
        </w:trPr>
        <w:tc>
          <w:tcPr>
            <w:tcW w:w="6965" w:type="dxa"/>
            <w:vAlign w:val="center"/>
            <w:textDirection w:val="lrTb"/>
            <w:noWrap w:val="false"/>
          </w:tcPr>
          <w:p>
            <w:pPr>
              <w:pStyle w:val="1251"/>
              <w:ind w:left="161" w:right="4"/>
              <w:jc w:val="left"/>
              <w:rPr>
                <w:sz w:val="20"/>
                <w:szCs w:val="20"/>
              </w:rPr>
            </w:pPr>
            <w:r>
              <w:rPr>
                <w:sz w:val="20"/>
                <w:szCs w:val="20"/>
              </w:rPr>
              <w:t xml:space="preserve">Потери</w:t>
            </w:r>
            <w:r>
              <w:rPr>
                <w:spacing w:val="-2"/>
                <w:sz w:val="20"/>
                <w:szCs w:val="20"/>
              </w:rPr>
              <w:t xml:space="preserve"> </w:t>
            </w:r>
            <w:r>
              <w:rPr>
                <w:sz w:val="20"/>
                <w:szCs w:val="20"/>
              </w:rPr>
              <w:t xml:space="preserve">в</w:t>
            </w:r>
            <w:r>
              <w:rPr>
                <w:spacing w:val="-2"/>
                <w:sz w:val="20"/>
                <w:szCs w:val="20"/>
              </w:rPr>
              <w:t xml:space="preserve"> тепловых</w:t>
            </w:r>
            <w:r>
              <w:rPr>
                <w:sz w:val="20"/>
                <w:szCs w:val="20"/>
              </w:rPr>
              <w:t xml:space="preserve"> сетях,</w:t>
            </w:r>
            <w:r>
              <w:rPr>
                <w:spacing w:val="-3"/>
                <w:sz w:val="20"/>
                <w:szCs w:val="20"/>
              </w:rPr>
              <w:t xml:space="preserve"> </w:t>
            </w:r>
            <w:r>
              <w:rPr>
                <w:spacing w:val="-4"/>
                <w:sz w:val="20"/>
                <w:szCs w:val="20"/>
              </w:rPr>
              <w:t xml:space="preserve">Гкал</w:t>
            </w:r>
            <w:r>
              <w:rPr>
                <w:sz w:val="20"/>
                <w:szCs w:val="20"/>
              </w:rPr>
            </w:r>
            <w:r>
              <w:rPr>
                <w:sz w:val="20"/>
                <w:szCs w:val="20"/>
              </w:rPr>
            </w:r>
          </w:p>
        </w:tc>
        <w:tc>
          <w:tcPr>
            <w:tcW w:w="1270" w:type="dxa"/>
            <w:textDirection w:val="lrTb"/>
            <w:noWrap w:val="false"/>
          </w:tcPr>
          <w:p>
            <w:pPr>
              <w:pStyle w:val="1251"/>
              <w:ind w:right="4"/>
              <w:rPr>
                <w:sz w:val="20"/>
                <w:szCs w:val="20"/>
              </w:rPr>
            </w:pPr>
            <w:r>
              <w:rPr>
                <w:bCs/>
                <w:sz w:val="20"/>
                <w:szCs w:val="20"/>
              </w:rPr>
              <w:t xml:space="preserve">357,956</w:t>
            </w:r>
            <w:r>
              <w:rPr>
                <w:sz w:val="20"/>
                <w:szCs w:val="20"/>
              </w:rPr>
            </w:r>
            <w:r>
              <w:rPr>
                <w:sz w:val="20"/>
                <w:szCs w:val="20"/>
              </w:rPr>
            </w:r>
          </w:p>
        </w:tc>
        <w:tc>
          <w:tcPr>
            <w:tcW w:w="1272" w:type="dxa"/>
            <w:textDirection w:val="lrTb"/>
            <w:noWrap w:val="false"/>
          </w:tcPr>
          <w:p>
            <w:pPr>
              <w:pStyle w:val="1251"/>
              <w:ind w:right="4"/>
              <w:rPr>
                <w:sz w:val="20"/>
                <w:szCs w:val="20"/>
              </w:rPr>
            </w:pPr>
            <w:r>
              <w:rPr>
                <w:bCs/>
                <w:sz w:val="20"/>
                <w:szCs w:val="20"/>
              </w:rPr>
              <w:t xml:space="preserve">357,956</w:t>
            </w:r>
            <w:r>
              <w:rPr>
                <w:sz w:val="20"/>
                <w:szCs w:val="20"/>
              </w:rPr>
            </w:r>
            <w:r>
              <w:rPr>
                <w:sz w:val="20"/>
                <w:szCs w:val="20"/>
              </w:rPr>
            </w:r>
          </w:p>
        </w:tc>
        <w:tc>
          <w:tcPr>
            <w:tcW w:w="1128" w:type="dxa"/>
            <w:textDirection w:val="lrTb"/>
            <w:noWrap w:val="false"/>
          </w:tcPr>
          <w:p>
            <w:pPr>
              <w:pStyle w:val="1251"/>
              <w:ind w:right="4"/>
              <w:rPr>
                <w:sz w:val="20"/>
                <w:szCs w:val="20"/>
              </w:rPr>
            </w:pPr>
            <w:r>
              <w:rPr>
                <w:bCs/>
                <w:sz w:val="20"/>
                <w:szCs w:val="20"/>
              </w:rPr>
              <w:t xml:space="preserve">357,956</w:t>
            </w:r>
            <w:r>
              <w:rPr>
                <w:sz w:val="20"/>
                <w:szCs w:val="20"/>
              </w:rPr>
            </w:r>
            <w:r>
              <w:rPr>
                <w:sz w:val="20"/>
                <w:szCs w:val="20"/>
              </w:rPr>
            </w:r>
          </w:p>
        </w:tc>
        <w:tc>
          <w:tcPr>
            <w:tcW w:w="1270" w:type="dxa"/>
            <w:textDirection w:val="lrTb"/>
            <w:noWrap w:val="false"/>
          </w:tcPr>
          <w:p>
            <w:pPr>
              <w:pStyle w:val="1251"/>
              <w:ind w:right="4"/>
              <w:rPr>
                <w:sz w:val="20"/>
                <w:szCs w:val="20"/>
              </w:rPr>
            </w:pPr>
            <w:r>
              <w:rPr>
                <w:bCs/>
                <w:sz w:val="20"/>
                <w:szCs w:val="20"/>
              </w:rPr>
              <w:t xml:space="preserve">357,956</w:t>
            </w:r>
            <w:r>
              <w:rPr>
                <w:sz w:val="20"/>
                <w:szCs w:val="20"/>
              </w:rPr>
            </w:r>
            <w:r>
              <w:rPr>
                <w:sz w:val="20"/>
                <w:szCs w:val="20"/>
              </w:rPr>
            </w:r>
          </w:p>
        </w:tc>
        <w:tc>
          <w:tcPr>
            <w:tcW w:w="1272" w:type="dxa"/>
            <w:textDirection w:val="lrTb"/>
            <w:noWrap w:val="false"/>
          </w:tcPr>
          <w:p>
            <w:pPr>
              <w:pStyle w:val="1251"/>
              <w:ind w:right="4"/>
              <w:rPr>
                <w:sz w:val="20"/>
                <w:szCs w:val="20"/>
              </w:rPr>
            </w:pPr>
            <w:r>
              <w:rPr>
                <w:bCs/>
                <w:sz w:val="20"/>
                <w:szCs w:val="20"/>
              </w:rPr>
              <w:t xml:space="preserve">357,956</w:t>
            </w:r>
            <w:r>
              <w:rPr>
                <w:sz w:val="20"/>
                <w:szCs w:val="20"/>
              </w:rPr>
            </w:r>
            <w:r>
              <w:rPr>
                <w:sz w:val="20"/>
                <w:szCs w:val="20"/>
              </w:rPr>
            </w:r>
          </w:p>
        </w:tc>
        <w:tc>
          <w:tcPr>
            <w:tcW w:w="1219" w:type="dxa"/>
            <w:textDirection w:val="lrTb"/>
            <w:noWrap w:val="false"/>
          </w:tcPr>
          <w:p>
            <w:pPr>
              <w:pStyle w:val="1251"/>
              <w:ind w:right="4"/>
              <w:rPr>
                <w:sz w:val="20"/>
                <w:szCs w:val="20"/>
              </w:rPr>
            </w:pPr>
            <w:r>
              <w:rPr>
                <w:bCs/>
                <w:sz w:val="20"/>
                <w:szCs w:val="20"/>
              </w:rPr>
              <w:t xml:space="preserve">357,956</w:t>
            </w:r>
            <w:r>
              <w:rPr>
                <w:sz w:val="20"/>
                <w:szCs w:val="20"/>
              </w:rPr>
            </w:r>
            <w:r>
              <w:rPr>
                <w:sz w:val="20"/>
                <w:szCs w:val="20"/>
              </w:rPr>
            </w:r>
          </w:p>
        </w:tc>
      </w:tr>
      <w:tr>
        <w:tblPrEx/>
        <w:trPr>
          <w:trHeight w:val="85"/>
        </w:trPr>
        <w:tc>
          <w:tcPr>
            <w:gridSpan w:val="7"/>
            <w:tcW w:w="14396" w:type="dxa"/>
            <w:vAlign w:val="center"/>
            <w:textDirection w:val="lrTb"/>
            <w:noWrap w:val="false"/>
          </w:tcPr>
          <w:p>
            <w:pPr>
              <w:pStyle w:val="1251"/>
              <w:ind w:left="11" w:right="4"/>
              <w:rPr>
                <w:spacing w:val="-4"/>
                <w:sz w:val="20"/>
                <w:szCs w:val="20"/>
              </w:rPr>
            </w:pPr>
            <w:r>
              <w:rPr>
                <w:sz w:val="20"/>
                <w:szCs w:val="20"/>
              </w:rPr>
              <w:t xml:space="preserve">Котельная ФКУ ИК №7 УФСИН России по Курганской области,</w:t>
            </w:r>
            <w:r>
              <w:rPr>
                <w:rFonts w:ascii="Liberation Serif" w:hAnsi="Liberation Serif" w:cs="Calibri"/>
                <w:color w:val="000000"/>
                <w:sz w:val="20"/>
                <w:szCs w:val="20"/>
              </w:rPr>
              <w:t xml:space="preserve"> Курганская область, р.п. Юргамыш, ул. Труда, 147</w:t>
            </w:r>
            <w:r>
              <w:rPr>
                <w:spacing w:val="-4"/>
                <w:sz w:val="20"/>
                <w:szCs w:val="20"/>
              </w:rPr>
            </w:r>
            <w:r>
              <w:rPr>
                <w:spacing w:val="-4"/>
                <w:sz w:val="20"/>
                <w:szCs w:val="20"/>
              </w:rPr>
            </w:r>
          </w:p>
        </w:tc>
      </w:tr>
      <w:tr>
        <w:tblPrEx/>
        <w:trPr>
          <w:trHeight w:val="85"/>
        </w:trPr>
        <w:tc>
          <w:tcPr>
            <w:tcW w:w="6965" w:type="dxa"/>
            <w:vAlign w:val="center"/>
            <w:textDirection w:val="lrTb"/>
            <w:noWrap w:val="false"/>
          </w:tcPr>
          <w:p>
            <w:pPr>
              <w:pStyle w:val="1251"/>
              <w:ind w:left="161" w:right="4"/>
              <w:jc w:val="left"/>
              <w:rPr>
                <w:sz w:val="20"/>
                <w:szCs w:val="20"/>
              </w:rPr>
            </w:pPr>
            <w:r>
              <w:rPr>
                <w:spacing w:val="-2"/>
                <w:sz w:val="20"/>
                <w:szCs w:val="20"/>
              </w:rPr>
              <w:t xml:space="preserve">Установленная</w:t>
            </w:r>
            <w:r>
              <w:rPr>
                <w:sz w:val="20"/>
                <w:szCs w:val="20"/>
              </w:rPr>
              <w:t xml:space="preserve"> мощность,</w:t>
            </w:r>
            <w:r>
              <w:rPr>
                <w:spacing w:val="-5"/>
                <w:sz w:val="20"/>
                <w:szCs w:val="20"/>
              </w:rPr>
              <w:t xml:space="preserve"> </w:t>
            </w:r>
            <w:r>
              <w:rPr>
                <w:spacing w:val="-2"/>
                <w:sz w:val="20"/>
                <w:szCs w:val="20"/>
              </w:rPr>
              <w:t xml:space="preserve">Гкал\час</w:t>
            </w:r>
            <w:r>
              <w:rPr>
                <w:sz w:val="20"/>
                <w:szCs w:val="20"/>
              </w:rPr>
            </w:r>
            <w:r>
              <w:rPr>
                <w:sz w:val="20"/>
                <w:szCs w:val="20"/>
              </w:rPr>
            </w:r>
          </w:p>
        </w:tc>
        <w:tc>
          <w:tcPr>
            <w:tcW w:w="1270" w:type="dxa"/>
            <w:textDirection w:val="lrTb"/>
            <w:noWrap w:val="false"/>
          </w:tcPr>
          <w:p>
            <w:pPr>
              <w:pStyle w:val="1251"/>
              <w:ind w:right="4"/>
              <w:rPr>
                <w:sz w:val="20"/>
                <w:szCs w:val="20"/>
              </w:rPr>
            </w:pPr>
            <w:r>
              <w:rPr>
                <w:sz w:val="20"/>
                <w:szCs w:val="20"/>
              </w:rPr>
              <w:t xml:space="preserve">6,15</w:t>
            </w:r>
            <w:r>
              <w:rPr>
                <w:sz w:val="20"/>
                <w:szCs w:val="20"/>
              </w:rPr>
            </w:r>
            <w:r>
              <w:rPr>
                <w:sz w:val="20"/>
                <w:szCs w:val="20"/>
              </w:rPr>
            </w:r>
          </w:p>
        </w:tc>
        <w:tc>
          <w:tcPr>
            <w:tcW w:w="1272" w:type="dxa"/>
            <w:textDirection w:val="lrTb"/>
            <w:noWrap w:val="false"/>
          </w:tcPr>
          <w:p>
            <w:pPr>
              <w:pStyle w:val="1251"/>
              <w:ind w:right="4"/>
              <w:rPr>
                <w:sz w:val="20"/>
                <w:szCs w:val="20"/>
              </w:rPr>
            </w:pPr>
            <w:r>
              <w:rPr>
                <w:sz w:val="20"/>
                <w:szCs w:val="20"/>
              </w:rPr>
              <w:t xml:space="preserve">6,15</w:t>
            </w:r>
            <w:r>
              <w:rPr>
                <w:sz w:val="20"/>
                <w:szCs w:val="20"/>
              </w:rPr>
            </w:r>
            <w:r>
              <w:rPr>
                <w:sz w:val="20"/>
                <w:szCs w:val="20"/>
              </w:rPr>
            </w:r>
          </w:p>
        </w:tc>
        <w:tc>
          <w:tcPr>
            <w:tcW w:w="1128" w:type="dxa"/>
            <w:textDirection w:val="lrTb"/>
            <w:noWrap w:val="false"/>
          </w:tcPr>
          <w:p>
            <w:pPr>
              <w:pStyle w:val="1251"/>
              <w:ind w:right="4"/>
              <w:rPr>
                <w:sz w:val="20"/>
                <w:szCs w:val="20"/>
              </w:rPr>
            </w:pPr>
            <w:r>
              <w:rPr>
                <w:sz w:val="20"/>
                <w:szCs w:val="20"/>
              </w:rPr>
              <w:t xml:space="preserve">6,15</w:t>
            </w:r>
            <w:r>
              <w:rPr>
                <w:sz w:val="20"/>
                <w:szCs w:val="20"/>
              </w:rPr>
            </w:r>
            <w:r>
              <w:rPr>
                <w:sz w:val="20"/>
                <w:szCs w:val="20"/>
              </w:rPr>
            </w:r>
          </w:p>
        </w:tc>
        <w:tc>
          <w:tcPr>
            <w:tcW w:w="1270" w:type="dxa"/>
            <w:textDirection w:val="lrTb"/>
            <w:noWrap w:val="false"/>
          </w:tcPr>
          <w:p>
            <w:pPr>
              <w:pStyle w:val="1251"/>
              <w:ind w:right="4"/>
              <w:rPr>
                <w:sz w:val="20"/>
                <w:szCs w:val="20"/>
              </w:rPr>
            </w:pPr>
            <w:r>
              <w:rPr>
                <w:sz w:val="20"/>
                <w:szCs w:val="20"/>
              </w:rPr>
              <w:t xml:space="preserve">6,15</w:t>
            </w:r>
            <w:r>
              <w:rPr>
                <w:sz w:val="20"/>
                <w:szCs w:val="20"/>
              </w:rPr>
            </w:r>
            <w:r>
              <w:rPr>
                <w:sz w:val="20"/>
                <w:szCs w:val="20"/>
              </w:rPr>
            </w:r>
          </w:p>
        </w:tc>
        <w:tc>
          <w:tcPr>
            <w:tcW w:w="1272" w:type="dxa"/>
            <w:textDirection w:val="lrTb"/>
            <w:noWrap w:val="false"/>
          </w:tcPr>
          <w:p>
            <w:pPr>
              <w:pStyle w:val="1251"/>
              <w:ind w:right="4"/>
              <w:rPr>
                <w:sz w:val="20"/>
                <w:szCs w:val="20"/>
              </w:rPr>
            </w:pPr>
            <w:r>
              <w:rPr>
                <w:sz w:val="20"/>
                <w:szCs w:val="20"/>
              </w:rPr>
              <w:t xml:space="preserve">6,15</w:t>
            </w:r>
            <w:r>
              <w:rPr>
                <w:sz w:val="20"/>
                <w:szCs w:val="20"/>
              </w:rPr>
            </w:r>
            <w:r>
              <w:rPr>
                <w:sz w:val="20"/>
                <w:szCs w:val="20"/>
              </w:rPr>
            </w:r>
          </w:p>
        </w:tc>
        <w:tc>
          <w:tcPr>
            <w:tcW w:w="1219" w:type="dxa"/>
            <w:textDirection w:val="lrTb"/>
            <w:noWrap w:val="false"/>
          </w:tcPr>
          <w:p>
            <w:pPr>
              <w:pStyle w:val="1251"/>
              <w:ind w:right="4"/>
              <w:rPr>
                <w:sz w:val="20"/>
                <w:szCs w:val="20"/>
              </w:rPr>
            </w:pPr>
            <w:r>
              <w:rPr>
                <w:sz w:val="20"/>
                <w:szCs w:val="20"/>
              </w:rPr>
              <w:t xml:space="preserve">6,15</w:t>
            </w:r>
            <w:r>
              <w:rPr>
                <w:sz w:val="20"/>
                <w:szCs w:val="20"/>
              </w:rPr>
            </w:r>
            <w:r>
              <w:rPr>
                <w:sz w:val="20"/>
                <w:szCs w:val="20"/>
              </w:rPr>
            </w:r>
          </w:p>
        </w:tc>
      </w:tr>
      <w:tr>
        <w:tblPrEx/>
        <w:trPr>
          <w:trHeight w:val="85"/>
        </w:trPr>
        <w:tc>
          <w:tcPr>
            <w:tcW w:w="6965" w:type="dxa"/>
            <w:vAlign w:val="center"/>
            <w:textDirection w:val="lrTb"/>
            <w:noWrap w:val="false"/>
          </w:tcPr>
          <w:p>
            <w:pPr>
              <w:pStyle w:val="1251"/>
              <w:ind w:left="161" w:right="4"/>
              <w:jc w:val="left"/>
              <w:rPr>
                <w:sz w:val="20"/>
                <w:szCs w:val="20"/>
              </w:rPr>
            </w:pPr>
            <w:r>
              <w:rPr>
                <w:spacing w:val="-2"/>
                <w:sz w:val="20"/>
                <w:szCs w:val="20"/>
              </w:rPr>
              <w:t xml:space="preserve">Присоединенная</w:t>
            </w:r>
            <w:r>
              <w:rPr>
                <w:sz w:val="20"/>
                <w:szCs w:val="20"/>
              </w:rPr>
              <w:t xml:space="preserve"> нагрузка,</w:t>
            </w:r>
            <w:r>
              <w:rPr>
                <w:spacing w:val="-8"/>
                <w:sz w:val="20"/>
                <w:szCs w:val="20"/>
              </w:rPr>
              <w:t xml:space="preserve"> </w:t>
            </w:r>
            <w:r>
              <w:rPr>
                <w:spacing w:val="-2"/>
                <w:sz w:val="20"/>
                <w:szCs w:val="20"/>
              </w:rPr>
              <w:t xml:space="preserve">Гкал\час</w:t>
            </w:r>
            <w:r>
              <w:rPr>
                <w:sz w:val="20"/>
                <w:szCs w:val="20"/>
              </w:rPr>
            </w:r>
            <w:r>
              <w:rPr>
                <w:sz w:val="20"/>
                <w:szCs w:val="20"/>
              </w:rPr>
            </w:r>
          </w:p>
        </w:tc>
        <w:tc>
          <w:tcPr>
            <w:tcW w:w="1270" w:type="dxa"/>
            <w:textDirection w:val="lrTb"/>
            <w:noWrap w:val="false"/>
          </w:tcPr>
          <w:p>
            <w:pPr>
              <w:pStyle w:val="1251"/>
              <w:ind w:right="4"/>
              <w:rPr>
                <w:sz w:val="20"/>
                <w:szCs w:val="20"/>
              </w:rPr>
            </w:pPr>
            <w:r>
              <w:rPr>
                <w:sz w:val="20"/>
                <w:szCs w:val="20"/>
              </w:rPr>
              <w:t xml:space="preserve">н/д</w:t>
            </w:r>
            <w:r>
              <w:rPr>
                <w:sz w:val="20"/>
                <w:szCs w:val="20"/>
              </w:rPr>
            </w:r>
            <w:r>
              <w:rPr>
                <w:sz w:val="20"/>
                <w:szCs w:val="20"/>
              </w:rPr>
            </w:r>
          </w:p>
        </w:tc>
        <w:tc>
          <w:tcPr>
            <w:tcW w:w="1272" w:type="dxa"/>
            <w:textDirection w:val="lrTb"/>
            <w:noWrap w:val="false"/>
          </w:tcPr>
          <w:p>
            <w:pPr>
              <w:pStyle w:val="1251"/>
              <w:ind w:right="4"/>
              <w:rPr>
                <w:sz w:val="20"/>
                <w:szCs w:val="20"/>
              </w:rPr>
            </w:pPr>
            <w:r>
              <w:rPr>
                <w:sz w:val="20"/>
                <w:szCs w:val="20"/>
              </w:rPr>
              <w:t xml:space="preserve">н/д</w:t>
            </w:r>
            <w:r>
              <w:rPr>
                <w:sz w:val="20"/>
                <w:szCs w:val="20"/>
              </w:rPr>
            </w:r>
            <w:r>
              <w:rPr>
                <w:sz w:val="20"/>
                <w:szCs w:val="20"/>
              </w:rPr>
            </w:r>
          </w:p>
        </w:tc>
        <w:tc>
          <w:tcPr>
            <w:tcW w:w="1128" w:type="dxa"/>
            <w:textDirection w:val="lrTb"/>
            <w:noWrap w:val="false"/>
          </w:tcPr>
          <w:p>
            <w:pPr>
              <w:pStyle w:val="1251"/>
              <w:ind w:right="4"/>
              <w:rPr>
                <w:sz w:val="20"/>
                <w:szCs w:val="20"/>
              </w:rPr>
            </w:pPr>
            <w:r>
              <w:rPr>
                <w:sz w:val="20"/>
                <w:szCs w:val="20"/>
              </w:rPr>
              <w:t xml:space="preserve">н/д</w:t>
            </w:r>
            <w:r>
              <w:rPr>
                <w:sz w:val="20"/>
                <w:szCs w:val="20"/>
              </w:rPr>
            </w:r>
            <w:r>
              <w:rPr>
                <w:sz w:val="20"/>
                <w:szCs w:val="20"/>
              </w:rPr>
            </w:r>
          </w:p>
        </w:tc>
        <w:tc>
          <w:tcPr>
            <w:tcW w:w="1270" w:type="dxa"/>
            <w:textDirection w:val="lrTb"/>
            <w:noWrap w:val="false"/>
          </w:tcPr>
          <w:p>
            <w:pPr>
              <w:pStyle w:val="1251"/>
              <w:ind w:right="4"/>
              <w:rPr>
                <w:sz w:val="20"/>
                <w:szCs w:val="20"/>
              </w:rPr>
            </w:pPr>
            <w:r>
              <w:rPr>
                <w:sz w:val="20"/>
                <w:szCs w:val="20"/>
              </w:rPr>
              <w:t xml:space="preserve">н/д</w:t>
            </w:r>
            <w:r>
              <w:rPr>
                <w:sz w:val="20"/>
                <w:szCs w:val="20"/>
              </w:rPr>
            </w:r>
            <w:r>
              <w:rPr>
                <w:sz w:val="20"/>
                <w:szCs w:val="20"/>
              </w:rPr>
            </w:r>
          </w:p>
        </w:tc>
        <w:tc>
          <w:tcPr>
            <w:tcW w:w="1272" w:type="dxa"/>
            <w:textDirection w:val="lrTb"/>
            <w:noWrap w:val="false"/>
          </w:tcPr>
          <w:p>
            <w:pPr>
              <w:pStyle w:val="1251"/>
              <w:ind w:right="4"/>
              <w:rPr>
                <w:sz w:val="20"/>
                <w:szCs w:val="20"/>
              </w:rPr>
            </w:pPr>
            <w:r>
              <w:rPr>
                <w:sz w:val="20"/>
                <w:szCs w:val="20"/>
              </w:rPr>
              <w:t xml:space="preserve">н/д</w:t>
            </w:r>
            <w:r>
              <w:rPr>
                <w:sz w:val="20"/>
                <w:szCs w:val="20"/>
              </w:rPr>
            </w:r>
            <w:r>
              <w:rPr>
                <w:sz w:val="20"/>
                <w:szCs w:val="20"/>
              </w:rPr>
            </w:r>
          </w:p>
        </w:tc>
        <w:tc>
          <w:tcPr>
            <w:tcW w:w="1219" w:type="dxa"/>
            <w:textDirection w:val="lrTb"/>
            <w:noWrap w:val="false"/>
          </w:tcPr>
          <w:p>
            <w:pPr>
              <w:pStyle w:val="1251"/>
              <w:ind w:right="4"/>
              <w:rPr>
                <w:sz w:val="20"/>
                <w:szCs w:val="20"/>
              </w:rPr>
            </w:pPr>
            <w:r>
              <w:rPr>
                <w:sz w:val="20"/>
                <w:szCs w:val="20"/>
              </w:rPr>
              <w:t xml:space="preserve">н/д</w:t>
            </w:r>
            <w:r>
              <w:rPr>
                <w:sz w:val="20"/>
                <w:szCs w:val="20"/>
              </w:rPr>
            </w:r>
            <w:r>
              <w:rPr>
                <w:sz w:val="20"/>
                <w:szCs w:val="20"/>
              </w:rPr>
            </w:r>
          </w:p>
        </w:tc>
      </w:tr>
      <w:tr>
        <w:tblPrEx/>
        <w:trPr>
          <w:trHeight w:val="85"/>
        </w:trPr>
        <w:tc>
          <w:tcPr>
            <w:tcW w:w="6965" w:type="dxa"/>
            <w:vAlign w:val="center"/>
            <w:textDirection w:val="lrTb"/>
            <w:noWrap w:val="false"/>
          </w:tcPr>
          <w:p>
            <w:pPr>
              <w:pStyle w:val="1251"/>
              <w:ind w:left="161" w:right="4"/>
              <w:jc w:val="left"/>
              <w:rPr>
                <w:sz w:val="20"/>
                <w:szCs w:val="20"/>
              </w:rPr>
            </w:pPr>
            <w:r>
              <w:rPr>
                <w:spacing w:val="-2"/>
                <w:sz w:val="20"/>
                <w:szCs w:val="20"/>
              </w:rPr>
              <w:t xml:space="preserve">Использование установленной</w:t>
            </w:r>
            <w:r>
              <w:rPr>
                <w:sz w:val="20"/>
                <w:szCs w:val="20"/>
              </w:rPr>
              <w:t xml:space="preserve"> мощности,</w:t>
            </w:r>
            <w:r>
              <w:rPr>
                <w:spacing w:val="-4"/>
                <w:sz w:val="20"/>
                <w:szCs w:val="20"/>
              </w:rPr>
              <w:t xml:space="preserve"> </w:t>
            </w:r>
            <w:r>
              <w:rPr>
                <w:spacing w:val="-10"/>
                <w:sz w:val="20"/>
                <w:szCs w:val="20"/>
              </w:rPr>
              <w:t xml:space="preserve">%</w:t>
            </w:r>
            <w:r>
              <w:rPr>
                <w:sz w:val="20"/>
                <w:szCs w:val="20"/>
              </w:rPr>
            </w:r>
            <w:r>
              <w:rPr>
                <w:sz w:val="20"/>
                <w:szCs w:val="20"/>
              </w:rPr>
            </w:r>
          </w:p>
        </w:tc>
        <w:tc>
          <w:tcPr>
            <w:tcW w:w="1270" w:type="dxa"/>
            <w:textDirection w:val="lrTb"/>
            <w:noWrap w:val="false"/>
          </w:tcPr>
          <w:p>
            <w:pPr>
              <w:pStyle w:val="1251"/>
              <w:ind w:right="4"/>
              <w:rPr>
                <w:sz w:val="20"/>
                <w:szCs w:val="20"/>
              </w:rPr>
            </w:pPr>
            <w:r>
              <w:rPr>
                <w:sz w:val="20"/>
                <w:szCs w:val="20"/>
              </w:rPr>
              <w:t xml:space="preserve">н/д</w:t>
            </w:r>
            <w:r>
              <w:rPr>
                <w:sz w:val="20"/>
                <w:szCs w:val="20"/>
              </w:rPr>
            </w:r>
            <w:r>
              <w:rPr>
                <w:sz w:val="20"/>
                <w:szCs w:val="20"/>
              </w:rPr>
            </w:r>
          </w:p>
        </w:tc>
        <w:tc>
          <w:tcPr>
            <w:tcW w:w="1272" w:type="dxa"/>
            <w:textDirection w:val="lrTb"/>
            <w:noWrap w:val="false"/>
          </w:tcPr>
          <w:p>
            <w:pPr>
              <w:pStyle w:val="1251"/>
              <w:ind w:right="4"/>
              <w:rPr>
                <w:sz w:val="20"/>
                <w:szCs w:val="20"/>
              </w:rPr>
            </w:pPr>
            <w:r>
              <w:rPr>
                <w:sz w:val="20"/>
                <w:szCs w:val="20"/>
              </w:rPr>
              <w:t xml:space="preserve">н/д</w:t>
            </w:r>
            <w:r>
              <w:rPr>
                <w:sz w:val="20"/>
                <w:szCs w:val="20"/>
              </w:rPr>
            </w:r>
            <w:r>
              <w:rPr>
                <w:sz w:val="20"/>
                <w:szCs w:val="20"/>
              </w:rPr>
            </w:r>
          </w:p>
        </w:tc>
        <w:tc>
          <w:tcPr>
            <w:tcW w:w="1128" w:type="dxa"/>
            <w:textDirection w:val="lrTb"/>
            <w:noWrap w:val="false"/>
          </w:tcPr>
          <w:p>
            <w:pPr>
              <w:pStyle w:val="1251"/>
              <w:ind w:right="4"/>
              <w:rPr>
                <w:sz w:val="20"/>
                <w:szCs w:val="20"/>
              </w:rPr>
            </w:pPr>
            <w:r>
              <w:rPr>
                <w:sz w:val="20"/>
                <w:szCs w:val="20"/>
              </w:rPr>
              <w:t xml:space="preserve">н/д</w:t>
            </w:r>
            <w:r>
              <w:rPr>
                <w:sz w:val="20"/>
                <w:szCs w:val="20"/>
              </w:rPr>
            </w:r>
            <w:r>
              <w:rPr>
                <w:sz w:val="20"/>
                <w:szCs w:val="20"/>
              </w:rPr>
            </w:r>
          </w:p>
        </w:tc>
        <w:tc>
          <w:tcPr>
            <w:tcW w:w="1270" w:type="dxa"/>
            <w:textDirection w:val="lrTb"/>
            <w:noWrap w:val="false"/>
          </w:tcPr>
          <w:p>
            <w:pPr>
              <w:pStyle w:val="1251"/>
              <w:ind w:right="4"/>
              <w:rPr>
                <w:sz w:val="20"/>
                <w:szCs w:val="20"/>
              </w:rPr>
            </w:pPr>
            <w:r>
              <w:rPr>
                <w:sz w:val="20"/>
                <w:szCs w:val="20"/>
              </w:rPr>
              <w:t xml:space="preserve">н/д</w:t>
            </w:r>
            <w:r>
              <w:rPr>
                <w:sz w:val="20"/>
                <w:szCs w:val="20"/>
              </w:rPr>
            </w:r>
            <w:r>
              <w:rPr>
                <w:sz w:val="20"/>
                <w:szCs w:val="20"/>
              </w:rPr>
            </w:r>
          </w:p>
        </w:tc>
        <w:tc>
          <w:tcPr>
            <w:tcW w:w="1272" w:type="dxa"/>
            <w:textDirection w:val="lrTb"/>
            <w:noWrap w:val="false"/>
          </w:tcPr>
          <w:p>
            <w:pPr>
              <w:pStyle w:val="1251"/>
              <w:ind w:right="4"/>
              <w:rPr>
                <w:sz w:val="20"/>
                <w:szCs w:val="20"/>
              </w:rPr>
            </w:pPr>
            <w:r>
              <w:rPr>
                <w:sz w:val="20"/>
                <w:szCs w:val="20"/>
              </w:rPr>
              <w:t xml:space="preserve">н/д</w:t>
            </w:r>
            <w:r>
              <w:rPr>
                <w:sz w:val="20"/>
                <w:szCs w:val="20"/>
              </w:rPr>
            </w:r>
            <w:r>
              <w:rPr>
                <w:sz w:val="20"/>
                <w:szCs w:val="20"/>
              </w:rPr>
            </w:r>
          </w:p>
        </w:tc>
        <w:tc>
          <w:tcPr>
            <w:tcW w:w="1219" w:type="dxa"/>
            <w:textDirection w:val="lrTb"/>
            <w:noWrap w:val="false"/>
          </w:tcPr>
          <w:p>
            <w:pPr>
              <w:pStyle w:val="1251"/>
              <w:ind w:right="4"/>
              <w:rPr>
                <w:sz w:val="20"/>
                <w:szCs w:val="20"/>
              </w:rPr>
            </w:pPr>
            <w:r>
              <w:rPr>
                <w:sz w:val="20"/>
                <w:szCs w:val="20"/>
              </w:rPr>
              <w:t xml:space="preserve">н/д</w:t>
            </w:r>
            <w:r>
              <w:rPr>
                <w:sz w:val="20"/>
                <w:szCs w:val="20"/>
              </w:rPr>
            </w:r>
            <w:r>
              <w:rPr>
                <w:sz w:val="20"/>
                <w:szCs w:val="20"/>
              </w:rPr>
            </w:r>
          </w:p>
        </w:tc>
      </w:tr>
      <w:tr>
        <w:tblPrEx/>
        <w:trPr>
          <w:trHeight w:val="85"/>
        </w:trPr>
        <w:tc>
          <w:tcPr>
            <w:tcW w:w="6965" w:type="dxa"/>
            <w:vAlign w:val="center"/>
            <w:textDirection w:val="lrTb"/>
            <w:noWrap w:val="false"/>
          </w:tcPr>
          <w:p>
            <w:pPr>
              <w:pStyle w:val="1251"/>
              <w:ind w:left="161" w:right="4"/>
              <w:jc w:val="left"/>
              <w:rPr>
                <w:sz w:val="20"/>
                <w:szCs w:val="20"/>
              </w:rPr>
            </w:pPr>
            <w:r>
              <w:rPr>
                <w:sz w:val="20"/>
                <w:szCs w:val="20"/>
              </w:rPr>
              <w:t xml:space="preserve">Выработка</w:t>
            </w:r>
            <w:r>
              <w:rPr>
                <w:spacing w:val="-6"/>
                <w:sz w:val="20"/>
                <w:szCs w:val="20"/>
              </w:rPr>
              <w:t xml:space="preserve"> </w:t>
            </w:r>
            <w:r>
              <w:rPr>
                <w:spacing w:val="-2"/>
                <w:sz w:val="20"/>
                <w:szCs w:val="20"/>
              </w:rPr>
              <w:t xml:space="preserve">тепловой</w:t>
            </w:r>
            <w:r>
              <w:rPr>
                <w:sz w:val="20"/>
                <w:szCs w:val="20"/>
              </w:rPr>
              <w:t xml:space="preserve"> энергии,</w:t>
            </w:r>
            <w:r>
              <w:rPr>
                <w:spacing w:val="-3"/>
                <w:sz w:val="20"/>
                <w:szCs w:val="20"/>
              </w:rPr>
              <w:t xml:space="preserve"> </w:t>
            </w:r>
            <w:r>
              <w:rPr>
                <w:spacing w:val="-4"/>
                <w:sz w:val="20"/>
                <w:szCs w:val="20"/>
              </w:rPr>
              <w:t xml:space="preserve">Гкал</w:t>
            </w:r>
            <w:r>
              <w:rPr>
                <w:sz w:val="20"/>
                <w:szCs w:val="20"/>
              </w:rPr>
            </w:r>
            <w:r>
              <w:rPr>
                <w:sz w:val="20"/>
                <w:szCs w:val="20"/>
              </w:rPr>
            </w:r>
          </w:p>
        </w:tc>
        <w:tc>
          <w:tcPr>
            <w:tcW w:w="1270" w:type="dxa"/>
            <w:textDirection w:val="lrTb"/>
            <w:noWrap w:val="false"/>
          </w:tcPr>
          <w:p>
            <w:pPr>
              <w:pStyle w:val="1251"/>
              <w:ind w:right="4"/>
              <w:rPr>
                <w:sz w:val="20"/>
                <w:szCs w:val="20"/>
              </w:rPr>
            </w:pPr>
            <w:r>
              <w:rPr>
                <w:sz w:val="20"/>
                <w:szCs w:val="20"/>
              </w:rPr>
              <w:t xml:space="preserve">н/д</w:t>
            </w:r>
            <w:r>
              <w:rPr>
                <w:sz w:val="20"/>
                <w:szCs w:val="20"/>
              </w:rPr>
            </w:r>
            <w:r>
              <w:rPr>
                <w:sz w:val="20"/>
                <w:szCs w:val="20"/>
              </w:rPr>
            </w:r>
          </w:p>
        </w:tc>
        <w:tc>
          <w:tcPr>
            <w:tcW w:w="1272" w:type="dxa"/>
            <w:textDirection w:val="lrTb"/>
            <w:noWrap w:val="false"/>
          </w:tcPr>
          <w:p>
            <w:pPr>
              <w:pStyle w:val="1251"/>
              <w:ind w:right="4"/>
              <w:rPr>
                <w:sz w:val="20"/>
                <w:szCs w:val="20"/>
              </w:rPr>
            </w:pPr>
            <w:r>
              <w:rPr>
                <w:sz w:val="20"/>
                <w:szCs w:val="20"/>
              </w:rPr>
              <w:t xml:space="preserve">н/д</w:t>
            </w:r>
            <w:r>
              <w:rPr>
                <w:sz w:val="20"/>
                <w:szCs w:val="20"/>
              </w:rPr>
            </w:r>
            <w:r>
              <w:rPr>
                <w:sz w:val="20"/>
                <w:szCs w:val="20"/>
              </w:rPr>
            </w:r>
          </w:p>
        </w:tc>
        <w:tc>
          <w:tcPr>
            <w:tcW w:w="1128" w:type="dxa"/>
            <w:textDirection w:val="lrTb"/>
            <w:noWrap w:val="false"/>
          </w:tcPr>
          <w:p>
            <w:pPr>
              <w:pStyle w:val="1251"/>
              <w:ind w:right="4"/>
              <w:rPr>
                <w:sz w:val="20"/>
                <w:szCs w:val="20"/>
              </w:rPr>
            </w:pPr>
            <w:r>
              <w:rPr>
                <w:sz w:val="20"/>
                <w:szCs w:val="20"/>
              </w:rPr>
              <w:t xml:space="preserve">н/д</w:t>
            </w:r>
            <w:r>
              <w:rPr>
                <w:sz w:val="20"/>
                <w:szCs w:val="20"/>
              </w:rPr>
            </w:r>
            <w:r>
              <w:rPr>
                <w:sz w:val="20"/>
                <w:szCs w:val="20"/>
              </w:rPr>
            </w:r>
          </w:p>
        </w:tc>
        <w:tc>
          <w:tcPr>
            <w:tcW w:w="1270" w:type="dxa"/>
            <w:textDirection w:val="lrTb"/>
            <w:noWrap w:val="false"/>
          </w:tcPr>
          <w:p>
            <w:pPr>
              <w:pStyle w:val="1251"/>
              <w:ind w:right="4"/>
              <w:rPr>
                <w:sz w:val="20"/>
                <w:szCs w:val="20"/>
              </w:rPr>
            </w:pPr>
            <w:r>
              <w:rPr>
                <w:sz w:val="20"/>
                <w:szCs w:val="20"/>
              </w:rPr>
              <w:t xml:space="preserve">н/д</w:t>
            </w:r>
            <w:r>
              <w:rPr>
                <w:sz w:val="20"/>
                <w:szCs w:val="20"/>
              </w:rPr>
            </w:r>
            <w:r>
              <w:rPr>
                <w:sz w:val="20"/>
                <w:szCs w:val="20"/>
              </w:rPr>
            </w:r>
          </w:p>
        </w:tc>
        <w:tc>
          <w:tcPr>
            <w:tcW w:w="1272" w:type="dxa"/>
            <w:textDirection w:val="lrTb"/>
            <w:noWrap w:val="false"/>
          </w:tcPr>
          <w:p>
            <w:pPr>
              <w:pStyle w:val="1251"/>
              <w:ind w:right="4"/>
              <w:rPr>
                <w:sz w:val="20"/>
                <w:szCs w:val="20"/>
              </w:rPr>
            </w:pPr>
            <w:r>
              <w:rPr>
                <w:sz w:val="20"/>
                <w:szCs w:val="20"/>
              </w:rPr>
              <w:t xml:space="preserve">н/д</w:t>
            </w:r>
            <w:r>
              <w:rPr>
                <w:sz w:val="20"/>
                <w:szCs w:val="20"/>
              </w:rPr>
            </w:r>
            <w:r>
              <w:rPr>
                <w:sz w:val="20"/>
                <w:szCs w:val="20"/>
              </w:rPr>
            </w:r>
          </w:p>
        </w:tc>
        <w:tc>
          <w:tcPr>
            <w:tcW w:w="1219" w:type="dxa"/>
            <w:textDirection w:val="lrTb"/>
            <w:noWrap w:val="false"/>
          </w:tcPr>
          <w:p>
            <w:pPr>
              <w:pStyle w:val="1251"/>
              <w:ind w:right="4"/>
              <w:rPr>
                <w:sz w:val="20"/>
                <w:szCs w:val="20"/>
              </w:rPr>
            </w:pPr>
            <w:r>
              <w:rPr>
                <w:sz w:val="20"/>
                <w:szCs w:val="20"/>
              </w:rPr>
              <w:t xml:space="preserve">н/д</w:t>
            </w:r>
            <w:r>
              <w:rPr>
                <w:sz w:val="20"/>
                <w:szCs w:val="20"/>
              </w:rPr>
            </w:r>
            <w:r>
              <w:rPr>
                <w:sz w:val="20"/>
                <w:szCs w:val="20"/>
              </w:rPr>
            </w:r>
          </w:p>
        </w:tc>
      </w:tr>
      <w:tr>
        <w:tblPrEx/>
        <w:trPr>
          <w:trHeight w:val="85"/>
        </w:trPr>
        <w:tc>
          <w:tcPr>
            <w:tcW w:w="6965" w:type="dxa"/>
            <w:vAlign w:val="center"/>
            <w:textDirection w:val="lrTb"/>
            <w:noWrap w:val="false"/>
          </w:tcPr>
          <w:p>
            <w:pPr>
              <w:pStyle w:val="1251"/>
              <w:ind w:left="161" w:right="4"/>
              <w:jc w:val="left"/>
              <w:rPr>
                <w:sz w:val="20"/>
                <w:szCs w:val="20"/>
              </w:rPr>
            </w:pPr>
            <w:r>
              <w:rPr>
                <w:sz w:val="20"/>
                <w:szCs w:val="20"/>
              </w:rPr>
              <w:t xml:space="preserve">Собственные</w:t>
            </w:r>
            <w:r>
              <w:rPr>
                <w:spacing w:val="-6"/>
                <w:sz w:val="20"/>
                <w:szCs w:val="20"/>
              </w:rPr>
              <w:t xml:space="preserve"> </w:t>
            </w:r>
            <w:r>
              <w:rPr>
                <w:spacing w:val="-4"/>
                <w:sz w:val="20"/>
                <w:szCs w:val="20"/>
              </w:rPr>
              <w:t xml:space="preserve">нужды</w:t>
            </w:r>
            <w:r>
              <w:rPr>
                <w:sz w:val="20"/>
                <w:szCs w:val="20"/>
              </w:rPr>
              <w:t xml:space="preserve"> котельной,</w:t>
            </w:r>
            <w:r>
              <w:rPr>
                <w:spacing w:val="-6"/>
                <w:sz w:val="20"/>
                <w:szCs w:val="20"/>
              </w:rPr>
              <w:t xml:space="preserve"> </w:t>
            </w:r>
            <w:r>
              <w:rPr>
                <w:spacing w:val="-4"/>
                <w:sz w:val="20"/>
                <w:szCs w:val="20"/>
              </w:rPr>
              <w:t xml:space="preserve">Гкал</w:t>
            </w:r>
            <w:r>
              <w:rPr>
                <w:sz w:val="20"/>
                <w:szCs w:val="20"/>
              </w:rPr>
            </w:r>
            <w:r>
              <w:rPr>
                <w:sz w:val="20"/>
                <w:szCs w:val="20"/>
              </w:rPr>
            </w:r>
          </w:p>
        </w:tc>
        <w:tc>
          <w:tcPr>
            <w:tcW w:w="1270" w:type="dxa"/>
            <w:textDirection w:val="lrTb"/>
            <w:noWrap w:val="false"/>
          </w:tcPr>
          <w:p>
            <w:pPr>
              <w:pStyle w:val="1251"/>
              <w:ind w:right="4"/>
              <w:rPr>
                <w:sz w:val="20"/>
                <w:szCs w:val="20"/>
              </w:rPr>
            </w:pPr>
            <w:r>
              <w:rPr>
                <w:sz w:val="20"/>
                <w:szCs w:val="20"/>
              </w:rPr>
              <w:t xml:space="preserve">н/д</w:t>
            </w:r>
            <w:r>
              <w:rPr>
                <w:sz w:val="20"/>
                <w:szCs w:val="20"/>
              </w:rPr>
            </w:r>
            <w:r>
              <w:rPr>
                <w:sz w:val="20"/>
                <w:szCs w:val="20"/>
              </w:rPr>
            </w:r>
          </w:p>
        </w:tc>
        <w:tc>
          <w:tcPr>
            <w:tcW w:w="1272" w:type="dxa"/>
            <w:textDirection w:val="lrTb"/>
            <w:noWrap w:val="false"/>
          </w:tcPr>
          <w:p>
            <w:pPr>
              <w:pStyle w:val="1251"/>
              <w:ind w:right="4"/>
              <w:rPr>
                <w:sz w:val="20"/>
                <w:szCs w:val="20"/>
              </w:rPr>
            </w:pPr>
            <w:r>
              <w:rPr>
                <w:sz w:val="20"/>
                <w:szCs w:val="20"/>
              </w:rPr>
              <w:t xml:space="preserve">н/д</w:t>
            </w:r>
            <w:r>
              <w:rPr>
                <w:sz w:val="20"/>
                <w:szCs w:val="20"/>
              </w:rPr>
            </w:r>
            <w:r>
              <w:rPr>
                <w:sz w:val="20"/>
                <w:szCs w:val="20"/>
              </w:rPr>
            </w:r>
          </w:p>
        </w:tc>
        <w:tc>
          <w:tcPr>
            <w:tcW w:w="1128" w:type="dxa"/>
            <w:textDirection w:val="lrTb"/>
            <w:noWrap w:val="false"/>
          </w:tcPr>
          <w:p>
            <w:pPr>
              <w:pStyle w:val="1251"/>
              <w:ind w:right="4"/>
              <w:rPr>
                <w:sz w:val="20"/>
                <w:szCs w:val="20"/>
              </w:rPr>
            </w:pPr>
            <w:r>
              <w:rPr>
                <w:sz w:val="20"/>
                <w:szCs w:val="20"/>
              </w:rPr>
              <w:t xml:space="preserve">н/д</w:t>
            </w:r>
            <w:r>
              <w:rPr>
                <w:sz w:val="20"/>
                <w:szCs w:val="20"/>
              </w:rPr>
            </w:r>
            <w:r>
              <w:rPr>
                <w:sz w:val="20"/>
                <w:szCs w:val="20"/>
              </w:rPr>
            </w:r>
          </w:p>
        </w:tc>
        <w:tc>
          <w:tcPr>
            <w:tcW w:w="1270" w:type="dxa"/>
            <w:textDirection w:val="lrTb"/>
            <w:noWrap w:val="false"/>
          </w:tcPr>
          <w:p>
            <w:pPr>
              <w:pStyle w:val="1251"/>
              <w:ind w:right="4"/>
              <w:rPr>
                <w:sz w:val="20"/>
                <w:szCs w:val="20"/>
              </w:rPr>
            </w:pPr>
            <w:r>
              <w:rPr>
                <w:sz w:val="20"/>
                <w:szCs w:val="20"/>
              </w:rPr>
              <w:t xml:space="preserve">н/д</w:t>
            </w:r>
            <w:r>
              <w:rPr>
                <w:sz w:val="20"/>
                <w:szCs w:val="20"/>
              </w:rPr>
            </w:r>
            <w:r>
              <w:rPr>
                <w:sz w:val="20"/>
                <w:szCs w:val="20"/>
              </w:rPr>
            </w:r>
          </w:p>
        </w:tc>
        <w:tc>
          <w:tcPr>
            <w:tcW w:w="1272" w:type="dxa"/>
            <w:textDirection w:val="lrTb"/>
            <w:noWrap w:val="false"/>
          </w:tcPr>
          <w:p>
            <w:pPr>
              <w:pStyle w:val="1251"/>
              <w:ind w:right="4"/>
              <w:rPr>
                <w:sz w:val="20"/>
                <w:szCs w:val="20"/>
              </w:rPr>
            </w:pPr>
            <w:r>
              <w:rPr>
                <w:sz w:val="20"/>
                <w:szCs w:val="20"/>
              </w:rPr>
              <w:t xml:space="preserve">н/д</w:t>
            </w:r>
            <w:r>
              <w:rPr>
                <w:sz w:val="20"/>
                <w:szCs w:val="20"/>
              </w:rPr>
            </w:r>
            <w:r>
              <w:rPr>
                <w:sz w:val="20"/>
                <w:szCs w:val="20"/>
              </w:rPr>
            </w:r>
          </w:p>
        </w:tc>
        <w:tc>
          <w:tcPr>
            <w:tcW w:w="1219" w:type="dxa"/>
            <w:textDirection w:val="lrTb"/>
            <w:noWrap w:val="false"/>
          </w:tcPr>
          <w:p>
            <w:pPr>
              <w:pStyle w:val="1251"/>
              <w:ind w:right="4"/>
              <w:rPr>
                <w:sz w:val="20"/>
                <w:szCs w:val="20"/>
              </w:rPr>
            </w:pPr>
            <w:r>
              <w:rPr>
                <w:sz w:val="20"/>
                <w:szCs w:val="20"/>
              </w:rPr>
              <w:t xml:space="preserve">н/д</w:t>
            </w:r>
            <w:r>
              <w:rPr>
                <w:sz w:val="20"/>
                <w:szCs w:val="20"/>
              </w:rPr>
            </w:r>
            <w:r>
              <w:rPr>
                <w:sz w:val="20"/>
                <w:szCs w:val="20"/>
              </w:rPr>
            </w:r>
          </w:p>
        </w:tc>
      </w:tr>
      <w:tr>
        <w:tblPrEx/>
        <w:trPr>
          <w:trHeight w:val="85"/>
        </w:trPr>
        <w:tc>
          <w:tcPr>
            <w:tcW w:w="6965" w:type="dxa"/>
            <w:vAlign w:val="center"/>
            <w:textDirection w:val="lrTb"/>
            <w:noWrap w:val="false"/>
          </w:tcPr>
          <w:p>
            <w:pPr>
              <w:pStyle w:val="1251"/>
              <w:ind w:left="161" w:right="4"/>
              <w:jc w:val="left"/>
              <w:rPr>
                <w:sz w:val="20"/>
                <w:szCs w:val="20"/>
              </w:rPr>
            </w:pPr>
            <w:r>
              <w:rPr>
                <w:sz w:val="20"/>
                <w:szCs w:val="20"/>
              </w:rPr>
              <w:t xml:space="preserve">Потери</w:t>
            </w:r>
            <w:r>
              <w:rPr>
                <w:spacing w:val="-2"/>
                <w:sz w:val="20"/>
                <w:szCs w:val="20"/>
              </w:rPr>
              <w:t xml:space="preserve"> </w:t>
            </w:r>
            <w:r>
              <w:rPr>
                <w:sz w:val="20"/>
                <w:szCs w:val="20"/>
              </w:rPr>
              <w:t xml:space="preserve">в</w:t>
            </w:r>
            <w:r>
              <w:rPr>
                <w:spacing w:val="-2"/>
                <w:sz w:val="20"/>
                <w:szCs w:val="20"/>
              </w:rPr>
              <w:t xml:space="preserve"> тепловых</w:t>
            </w:r>
            <w:r>
              <w:rPr>
                <w:sz w:val="20"/>
                <w:szCs w:val="20"/>
              </w:rPr>
              <w:t xml:space="preserve"> сетях,</w:t>
            </w:r>
            <w:r>
              <w:rPr>
                <w:spacing w:val="-3"/>
                <w:sz w:val="20"/>
                <w:szCs w:val="20"/>
              </w:rPr>
              <w:t xml:space="preserve"> </w:t>
            </w:r>
            <w:r>
              <w:rPr>
                <w:spacing w:val="-4"/>
                <w:sz w:val="20"/>
                <w:szCs w:val="20"/>
              </w:rPr>
              <w:t xml:space="preserve">Гкал</w:t>
            </w:r>
            <w:r>
              <w:rPr>
                <w:sz w:val="20"/>
                <w:szCs w:val="20"/>
              </w:rPr>
            </w:r>
            <w:r>
              <w:rPr>
                <w:sz w:val="20"/>
                <w:szCs w:val="20"/>
              </w:rPr>
            </w:r>
          </w:p>
        </w:tc>
        <w:tc>
          <w:tcPr>
            <w:tcW w:w="1270" w:type="dxa"/>
            <w:textDirection w:val="lrTb"/>
            <w:noWrap w:val="false"/>
          </w:tcPr>
          <w:p>
            <w:pPr>
              <w:pStyle w:val="1251"/>
              <w:ind w:right="4"/>
              <w:rPr>
                <w:sz w:val="20"/>
                <w:szCs w:val="20"/>
              </w:rPr>
            </w:pPr>
            <w:r>
              <w:rPr>
                <w:sz w:val="20"/>
                <w:szCs w:val="20"/>
              </w:rPr>
              <w:t xml:space="preserve">н/д</w:t>
            </w:r>
            <w:r>
              <w:rPr>
                <w:sz w:val="20"/>
                <w:szCs w:val="20"/>
              </w:rPr>
            </w:r>
            <w:r>
              <w:rPr>
                <w:sz w:val="20"/>
                <w:szCs w:val="20"/>
              </w:rPr>
            </w:r>
          </w:p>
        </w:tc>
        <w:tc>
          <w:tcPr>
            <w:tcW w:w="1272" w:type="dxa"/>
            <w:textDirection w:val="lrTb"/>
            <w:noWrap w:val="false"/>
          </w:tcPr>
          <w:p>
            <w:pPr>
              <w:pStyle w:val="1251"/>
              <w:ind w:right="4"/>
              <w:rPr>
                <w:sz w:val="20"/>
                <w:szCs w:val="20"/>
              </w:rPr>
            </w:pPr>
            <w:r>
              <w:rPr>
                <w:sz w:val="20"/>
                <w:szCs w:val="20"/>
              </w:rPr>
              <w:t xml:space="preserve">н/д</w:t>
            </w:r>
            <w:r>
              <w:rPr>
                <w:sz w:val="20"/>
                <w:szCs w:val="20"/>
              </w:rPr>
            </w:r>
            <w:r>
              <w:rPr>
                <w:sz w:val="20"/>
                <w:szCs w:val="20"/>
              </w:rPr>
            </w:r>
          </w:p>
        </w:tc>
        <w:tc>
          <w:tcPr>
            <w:tcW w:w="1128" w:type="dxa"/>
            <w:textDirection w:val="lrTb"/>
            <w:noWrap w:val="false"/>
          </w:tcPr>
          <w:p>
            <w:pPr>
              <w:pStyle w:val="1251"/>
              <w:ind w:right="4"/>
              <w:rPr>
                <w:sz w:val="20"/>
                <w:szCs w:val="20"/>
              </w:rPr>
            </w:pPr>
            <w:r>
              <w:rPr>
                <w:sz w:val="20"/>
                <w:szCs w:val="20"/>
              </w:rPr>
              <w:t xml:space="preserve">н/д</w:t>
            </w:r>
            <w:r>
              <w:rPr>
                <w:sz w:val="20"/>
                <w:szCs w:val="20"/>
              </w:rPr>
            </w:r>
            <w:r>
              <w:rPr>
                <w:sz w:val="20"/>
                <w:szCs w:val="20"/>
              </w:rPr>
            </w:r>
          </w:p>
        </w:tc>
        <w:tc>
          <w:tcPr>
            <w:tcW w:w="1270" w:type="dxa"/>
            <w:textDirection w:val="lrTb"/>
            <w:noWrap w:val="false"/>
          </w:tcPr>
          <w:p>
            <w:pPr>
              <w:pStyle w:val="1251"/>
              <w:ind w:right="4"/>
              <w:rPr>
                <w:sz w:val="20"/>
                <w:szCs w:val="20"/>
              </w:rPr>
            </w:pPr>
            <w:r>
              <w:rPr>
                <w:sz w:val="20"/>
                <w:szCs w:val="20"/>
              </w:rPr>
              <w:t xml:space="preserve">н/д</w:t>
            </w:r>
            <w:r>
              <w:rPr>
                <w:sz w:val="20"/>
                <w:szCs w:val="20"/>
              </w:rPr>
            </w:r>
            <w:r>
              <w:rPr>
                <w:sz w:val="20"/>
                <w:szCs w:val="20"/>
              </w:rPr>
            </w:r>
          </w:p>
        </w:tc>
        <w:tc>
          <w:tcPr>
            <w:tcW w:w="1272" w:type="dxa"/>
            <w:textDirection w:val="lrTb"/>
            <w:noWrap w:val="false"/>
          </w:tcPr>
          <w:p>
            <w:pPr>
              <w:pStyle w:val="1251"/>
              <w:ind w:right="4"/>
              <w:rPr>
                <w:sz w:val="20"/>
                <w:szCs w:val="20"/>
              </w:rPr>
            </w:pPr>
            <w:r>
              <w:rPr>
                <w:sz w:val="20"/>
                <w:szCs w:val="20"/>
              </w:rPr>
              <w:t xml:space="preserve">н/д</w:t>
            </w:r>
            <w:r>
              <w:rPr>
                <w:sz w:val="20"/>
                <w:szCs w:val="20"/>
              </w:rPr>
            </w:r>
            <w:r>
              <w:rPr>
                <w:sz w:val="20"/>
                <w:szCs w:val="20"/>
              </w:rPr>
            </w:r>
          </w:p>
        </w:tc>
        <w:tc>
          <w:tcPr>
            <w:tcW w:w="1219" w:type="dxa"/>
            <w:textDirection w:val="lrTb"/>
            <w:noWrap w:val="false"/>
          </w:tcPr>
          <w:p>
            <w:pPr>
              <w:pStyle w:val="1251"/>
              <w:ind w:right="4"/>
              <w:rPr>
                <w:sz w:val="20"/>
                <w:szCs w:val="20"/>
              </w:rPr>
            </w:pPr>
            <w:r>
              <w:rPr>
                <w:sz w:val="20"/>
                <w:szCs w:val="20"/>
              </w:rPr>
              <w:t xml:space="preserve">н/д</w:t>
            </w:r>
            <w:r>
              <w:rPr>
                <w:sz w:val="20"/>
                <w:szCs w:val="20"/>
              </w:rPr>
            </w:r>
            <w:r>
              <w:rPr>
                <w:sz w:val="20"/>
                <w:szCs w:val="20"/>
              </w:rPr>
            </w:r>
          </w:p>
        </w:tc>
      </w:tr>
      <w:tr>
        <w:tblPrEx/>
        <w:trPr>
          <w:trHeight w:val="85"/>
        </w:trPr>
        <w:tc>
          <w:tcPr>
            <w:gridSpan w:val="7"/>
            <w:tcW w:w="14396" w:type="dxa"/>
            <w:vAlign w:val="center"/>
            <w:textDirection w:val="lrTb"/>
            <w:noWrap w:val="false"/>
          </w:tcPr>
          <w:p>
            <w:pPr>
              <w:pStyle w:val="1251"/>
              <w:ind w:left="11" w:right="4"/>
              <w:rPr>
                <w:spacing w:val="-4"/>
                <w:sz w:val="20"/>
                <w:szCs w:val="20"/>
              </w:rPr>
            </w:pPr>
            <w:r>
              <w:rPr>
                <w:sz w:val="20"/>
                <w:szCs w:val="20"/>
              </w:rPr>
              <w:t xml:space="preserve">Котельная </w:t>
            </w:r>
            <w:r>
              <w:rPr>
                <w:rFonts w:ascii="Liberation Serif" w:hAnsi="Liberation Serif" w:cs="Calibri"/>
                <w:color w:val="000000"/>
                <w:sz w:val="20"/>
                <w:szCs w:val="20"/>
              </w:rPr>
              <w:t xml:space="preserve">р.п. Юргамыш, ул. Ленина, 47а</w:t>
            </w:r>
            <w:r>
              <w:rPr>
                <w:spacing w:val="-4"/>
                <w:sz w:val="20"/>
                <w:szCs w:val="20"/>
              </w:rPr>
            </w:r>
            <w:r>
              <w:rPr>
                <w:spacing w:val="-4"/>
                <w:sz w:val="20"/>
                <w:szCs w:val="20"/>
              </w:rPr>
            </w:r>
          </w:p>
        </w:tc>
      </w:tr>
      <w:tr>
        <w:tblPrEx/>
        <w:trPr>
          <w:trHeight w:val="85"/>
        </w:trPr>
        <w:tc>
          <w:tcPr>
            <w:tcW w:w="6965" w:type="dxa"/>
            <w:vAlign w:val="center"/>
            <w:textDirection w:val="lrTb"/>
            <w:noWrap w:val="false"/>
          </w:tcPr>
          <w:p>
            <w:pPr>
              <w:pStyle w:val="1251"/>
              <w:ind w:left="161" w:right="4"/>
              <w:jc w:val="left"/>
              <w:rPr>
                <w:sz w:val="20"/>
                <w:szCs w:val="20"/>
              </w:rPr>
            </w:pPr>
            <w:r>
              <w:rPr>
                <w:spacing w:val="-2"/>
                <w:sz w:val="20"/>
                <w:szCs w:val="20"/>
              </w:rPr>
              <w:t xml:space="preserve">Установленная</w:t>
            </w:r>
            <w:r>
              <w:rPr>
                <w:sz w:val="20"/>
                <w:szCs w:val="20"/>
              </w:rPr>
              <w:t xml:space="preserve"> мощность,</w:t>
            </w:r>
            <w:r>
              <w:rPr>
                <w:spacing w:val="-5"/>
                <w:sz w:val="20"/>
                <w:szCs w:val="20"/>
              </w:rPr>
              <w:t xml:space="preserve"> </w:t>
            </w:r>
            <w:r>
              <w:rPr>
                <w:spacing w:val="-2"/>
                <w:sz w:val="20"/>
                <w:szCs w:val="20"/>
              </w:rPr>
              <w:t xml:space="preserve">Гкал\час</w:t>
            </w:r>
            <w:r>
              <w:rPr>
                <w:sz w:val="20"/>
                <w:szCs w:val="20"/>
              </w:rPr>
            </w:r>
            <w:r>
              <w:rPr>
                <w:sz w:val="20"/>
                <w:szCs w:val="20"/>
              </w:rPr>
            </w:r>
          </w:p>
        </w:tc>
        <w:tc>
          <w:tcPr>
            <w:tcW w:w="1270" w:type="dxa"/>
            <w:textDirection w:val="lrTb"/>
            <w:noWrap w:val="false"/>
          </w:tcPr>
          <w:p>
            <w:pPr>
              <w:pStyle w:val="1251"/>
              <w:ind w:right="4"/>
              <w:rPr>
                <w:sz w:val="20"/>
                <w:szCs w:val="20"/>
              </w:rPr>
            </w:pPr>
            <w:r>
              <w:rPr>
                <w:sz w:val="20"/>
                <w:szCs w:val="20"/>
              </w:rPr>
              <w:t xml:space="preserve">4,81</w:t>
            </w:r>
            <w:r>
              <w:rPr>
                <w:sz w:val="20"/>
                <w:szCs w:val="20"/>
              </w:rPr>
            </w:r>
            <w:r>
              <w:rPr>
                <w:sz w:val="20"/>
                <w:szCs w:val="20"/>
              </w:rPr>
            </w:r>
          </w:p>
        </w:tc>
        <w:tc>
          <w:tcPr>
            <w:tcW w:w="1272" w:type="dxa"/>
            <w:textDirection w:val="lrTb"/>
            <w:noWrap w:val="false"/>
          </w:tcPr>
          <w:p>
            <w:pPr>
              <w:pStyle w:val="1251"/>
              <w:ind w:right="4"/>
              <w:rPr>
                <w:sz w:val="20"/>
                <w:szCs w:val="20"/>
              </w:rPr>
            </w:pPr>
            <w:r>
              <w:rPr>
                <w:sz w:val="20"/>
                <w:szCs w:val="20"/>
              </w:rPr>
              <w:t xml:space="preserve">4,81</w:t>
            </w:r>
            <w:r>
              <w:rPr>
                <w:sz w:val="20"/>
                <w:szCs w:val="20"/>
              </w:rPr>
            </w:r>
            <w:r>
              <w:rPr>
                <w:sz w:val="20"/>
                <w:szCs w:val="20"/>
              </w:rPr>
            </w:r>
          </w:p>
        </w:tc>
        <w:tc>
          <w:tcPr>
            <w:tcW w:w="1128" w:type="dxa"/>
            <w:textDirection w:val="lrTb"/>
            <w:noWrap w:val="false"/>
          </w:tcPr>
          <w:p>
            <w:pPr>
              <w:pStyle w:val="1251"/>
              <w:ind w:right="4"/>
              <w:rPr>
                <w:sz w:val="20"/>
                <w:szCs w:val="20"/>
              </w:rPr>
            </w:pPr>
            <w:r>
              <w:rPr>
                <w:sz w:val="20"/>
                <w:szCs w:val="20"/>
              </w:rPr>
              <w:t xml:space="preserve">4,81</w:t>
            </w:r>
            <w:r>
              <w:rPr>
                <w:sz w:val="20"/>
                <w:szCs w:val="20"/>
              </w:rPr>
            </w:r>
            <w:r>
              <w:rPr>
                <w:sz w:val="20"/>
                <w:szCs w:val="20"/>
              </w:rPr>
            </w:r>
          </w:p>
        </w:tc>
        <w:tc>
          <w:tcPr>
            <w:tcW w:w="1270" w:type="dxa"/>
            <w:textDirection w:val="lrTb"/>
            <w:noWrap w:val="false"/>
          </w:tcPr>
          <w:p>
            <w:pPr>
              <w:pStyle w:val="1251"/>
              <w:ind w:right="4"/>
              <w:rPr>
                <w:sz w:val="20"/>
                <w:szCs w:val="20"/>
              </w:rPr>
            </w:pPr>
            <w:r>
              <w:rPr>
                <w:sz w:val="20"/>
                <w:szCs w:val="20"/>
              </w:rPr>
              <w:t xml:space="preserve">4,81</w:t>
            </w:r>
            <w:r>
              <w:rPr>
                <w:sz w:val="20"/>
                <w:szCs w:val="20"/>
              </w:rPr>
            </w:r>
            <w:r>
              <w:rPr>
                <w:sz w:val="20"/>
                <w:szCs w:val="20"/>
              </w:rPr>
            </w:r>
          </w:p>
        </w:tc>
        <w:tc>
          <w:tcPr>
            <w:tcW w:w="1272" w:type="dxa"/>
            <w:textDirection w:val="lrTb"/>
            <w:noWrap w:val="false"/>
          </w:tcPr>
          <w:p>
            <w:pPr>
              <w:pStyle w:val="1251"/>
              <w:ind w:right="4"/>
              <w:rPr>
                <w:sz w:val="20"/>
                <w:szCs w:val="20"/>
              </w:rPr>
            </w:pPr>
            <w:r>
              <w:rPr>
                <w:sz w:val="20"/>
                <w:szCs w:val="20"/>
              </w:rPr>
              <w:t xml:space="preserve">4,81</w:t>
            </w:r>
            <w:r>
              <w:rPr>
                <w:sz w:val="20"/>
                <w:szCs w:val="20"/>
              </w:rPr>
            </w:r>
            <w:r>
              <w:rPr>
                <w:sz w:val="20"/>
                <w:szCs w:val="20"/>
              </w:rPr>
            </w:r>
          </w:p>
        </w:tc>
        <w:tc>
          <w:tcPr>
            <w:tcW w:w="1219" w:type="dxa"/>
            <w:textDirection w:val="lrTb"/>
            <w:noWrap w:val="false"/>
          </w:tcPr>
          <w:p>
            <w:pPr>
              <w:pStyle w:val="1251"/>
              <w:ind w:right="4"/>
              <w:rPr>
                <w:sz w:val="20"/>
                <w:szCs w:val="20"/>
              </w:rPr>
            </w:pPr>
            <w:r>
              <w:rPr>
                <w:sz w:val="20"/>
                <w:szCs w:val="20"/>
              </w:rPr>
              <w:t xml:space="preserve">4,81</w:t>
            </w:r>
            <w:r>
              <w:rPr>
                <w:sz w:val="20"/>
                <w:szCs w:val="20"/>
              </w:rPr>
            </w:r>
            <w:r>
              <w:rPr>
                <w:sz w:val="20"/>
                <w:szCs w:val="20"/>
              </w:rPr>
            </w:r>
          </w:p>
        </w:tc>
      </w:tr>
      <w:tr>
        <w:tblPrEx/>
        <w:trPr>
          <w:trHeight w:val="85"/>
        </w:trPr>
        <w:tc>
          <w:tcPr>
            <w:tcW w:w="6965" w:type="dxa"/>
            <w:vAlign w:val="center"/>
            <w:textDirection w:val="lrTb"/>
            <w:noWrap w:val="false"/>
          </w:tcPr>
          <w:p>
            <w:pPr>
              <w:pStyle w:val="1251"/>
              <w:ind w:left="161" w:right="4"/>
              <w:jc w:val="left"/>
              <w:rPr>
                <w:sz w:val="20"/>
                <w:szCs w:val="20"/>
              </w:rPr>
            </w:pPr>
            <w:r>
              <w:rPr>
                <w:spacing w:val="-2"/>
                <w:sz w:val="20"/>
                <w:szCs w:val="20"/>
              </w:rPr>
              <w:t xml:space="preserve">Присоединенная</w:t>
            </w:r>
            <w:r>
              <w:rPr>
                <w:sz w:val="20"/>
                <w:szCs w:val="20"/>
              </w:rPr>
              <w:t xml:space="preserve"> нагрузка,</w:t>
            </w:r>
            <w:r>
              <w:rPr>
                <w:spacing w:val="-8"/>
                <w:sz w:val="20"/>
                <w:szCs w:val="20"/>
              </w:rPr>
              <w:t xml:space="preserve"> </w:t>
            </w:r>
            <w:r>
              <w:rPr>
                <w:spacing w:val="-2"/>
                <w:sz w:val="20"/>
                <w:szCs w:val="20"/>
              </w:rPr>
              <w:t xml:space="preserve">Гкал\час</w:t>
            </w:r>
            <w:r>
              <w:rPr>
                <w:sz w:val="20"/>
                <w:szCs w:val="20"/>
              </w:rPr>
            </w:r>
            <w:r>
              <w:rPr>
                <w:sz w:val="20"/>
                <w:szCs w:val="20"/>
              </w:rPr>
            </w:r>
          </w:p>
        </w:tc>
        <w:tc>
          <w:tcPr>
            <w:tcW w:w="1270" w:type="dxa"/>
            <w:textDirection w:val="lrTb"/>
            <w:noWrap w:val="false"/>
          </w:tcPr>
          <w:p>
            <w:pPr>
              <w:pStyle w:val="1251"/>
              <w:ind w:right="4"/>
              <w:rPr>
                <w:sz w:val="20"/>
                <w:szCs w:val="20"/>
              </w:rPr>
            </w:pPr>
            <w:r>
              <w:rPr>
                <w:sz w:val="20"/>
                <w:szCs w:val="20"/>
              </w:rPr>
              <w:t xml:space="preserve">3,324</w:t>
            </w:r>
            <w:r>
              <w:rPr>
                <w:sz w:val="20"/>
                <w:szCs w:val="20"/>
              </w:rPr>
            </w:r>
            <w:r>
              <w:rPr>
                <w:sz w:val="20"/>
                <w:szCs w:val="20"/>
              </w:rPr>
            </w:r>
          </w:p>
        </w:tc>
        <w:tc>
          <w:tcPr>
            <w:tcW w:w="1272" w:type="dxa"/>
            <w:textDirection w:val="lrTb"/>
            <w:noWrap w:val="false"/>
          </w:tcPr>
          <w:p>
            <w:pPr>
              <w:pStyle w:val="1251"/>
              <w:ind w:right="4"/>
              <w:rPr>
                <w:sz w:val="20"/>
                <w:szCs w:val="20"/>
              </w:rPr>
            </w:pPr>
            <w:r>
              <w:rPr>
                <w:sz w:val="20"/>
                <w:szCs w:val="20"/>
              </w:rPr>
              <w:t xml:space="preserve">3,324</w:t>
            </w:r>
            <w:r>
              <w:rPr>
                <w:sz w:val="20"/>
                <w:szCs w:val="20"/>
              </w:rPr>
            </w:r>
            <w:r>
              <w:rPr>
                <w:sz w:val="20"/>
                <w:szCs w:val="20"/>
              </w:rPr>
            </w:r>
          </w:p>
        </w:tc>
        <w:tc>
          <w:tcPr>
            <w:tcW w:w="1128" w:type="dxa"/>
            <w:textDirection w:val="lrTb"/>
            <w:noWrap w:val="false"/>
          </w:tcPr>
          <w:p>
            <w:pPr>
              <w:pStyle w:val="1251"/>
              <w:ind w:right="4"/>
              <w:rPr>
                <w:sz w:val="20"/>
                <w:szCs w:val="20"/>
              </w:rPr>
            </w:pPr>
            <w:r>
              <w:rPr>
                <w:sz w:val="20"/>
                <w:szCs w:val="20"/>
              </w:rPr>
              <w:t xml:space="preserve">3,324</w:t>
            </w:r>
            <w:r>
              <w:rPr>
                <w:sz w:val="20"/>
                <w:szCs w:val="20"/>
              </w:rPr>
            </w:r>
            <w:r>
              <w:rPr>
                <w:sz w:val="20"/>
                <w:szCs w:val="20"/>
              </w:rPr>
            </w:r>
          </w:p>
        </w:tc>
        <w:tc>
          <w:tcPr>
            <w:tcW w:w="1270" w:type="dxa"/>
            <w:textDirection w:val="lrTb"/>
            <w:noWrap w:val="false"/>
          </w:tcPr>
          <w:p>
            <w:pPr>
              <w:pStyle w:val="1251"/>
              <w:ind w:right="4"/>
              <w:rPr>
                <w:sz w:val="20"/>
                <w:szCs w:val="20"/>
              </w:rPr>
            </w:pPr>
            <w:r>
              <w:rPr>
                <w:sz w:val="20"/>
                <w:szCs w:val="20"/>
              </w:rPr>
              <w:t xml:space="preserve">3,324</w:t>
            </w:r>
            <w:r>
              <w:rPr>
                <w:sz w:val="20"/>
                <w:szCs w:val="20"/>
              </w:rPr>
            </w:r>
            <w:r>
              <w:rPr>
                <w:sz w:val="20"/>
                <w:szCs w:val="20"/>
              </w:rPr>
            </w:r>
          </w:p>
        </w:tc>
        <w:tc>
          <w:tcPr>
            <w:tcW w:w="1272" w:type="dxa"/>
            <w:textDirection w:val="lrTb"/>
            <w:noWrap w:val="false"/>
          </w:tcPr>
          <w:p>
            <w:pPr>
              <w:pStyle w:val="1251"/>
              <w:ind w:right="4"/>
              <w:rPr>
                <w:sz w:val="20"/>
                <w:szCs w:val="20"/>
              </w:rPr>
            </w:pPr>
            <w:r>
              <w:rPr>
                <w:sz w:val="20"/>
                <w:szCs w:val="20"/>
              </w:rPr>
              <w:t xml:space="preserve">3,324</w:t>
            </w:r>
            <w:r>
              <w:rPr>
                <w:sz w:val="20"/>
                <w:szCs w:val="20"/>
              </w:rPr>
            </w:r>
            <w:r>
              <w:rPr>
                <w:sz w:val="20"/>
                <w:szCs w:val="20"/>
              </w:rPr>
            </w:r>
          </w:p>
        </w:tc>
        <w:tc>
          <w:tcPr>
            <w:tcW w:w="1219" w:type="dxa"/>
            <w:textDirection w:val="lrTb"/>
            <w:noWrap w:val="false"/>
          </w:tcPr>
          <w:p>
            <w:pPr>
              <w:pStyle w:val="1251"/>
              <w:ind w:right="4"/>
              <w:rPr>
                <w:sz w:val="20"/>
                <w:szCs w:val="20"/>
              </w:rPr>
            </w:pPr>
            <w:r>
              <w:rPr>
                <w:sz w:val="20"/>
                <w:szCs w:val="20"/>
              </w:rPr>
              <w:t xml:space="preserve">3,324</w:t>
            </w:r>
            <w:r>
              <w:rPr>
                <w:sz w:val="20"/>
                <w:szCs w:val="20"/>
              </w:rPr>
            </w:r>
            <w:r>
              <w:rPr>
                <w:sz w:val="20"/>
                <w:szCs w:val="20"/>
              </w:rPr>
            </w:r>
          </w:p>
        </w:tc>
      </w:tr>
      <w:tr>
        <w:tblPrEx/>
        <w:trPr>
          <w:trHeight w:val="85"/>
        </w:trPr>
        <w:tc>
          <w:tcPr>
            <w:tcW w:w="6965" w:type="dxa"/>
            <w:vAlign w:val="center"/>
            <w:textDirection w:val="lrTb"/>
            <w:noWrap w:val="false"/>
          </w:tcPr>
          <w:p>
            <w:pPr>
              <w:pStyle w:val="1251"/>
              <w:ind w:left="161" w:right="4"/>
              <w:jc w:val="left"/>
              <w:rPr>
                <w:sz w:val="20"/>
                <w:szCs w:val="20"/>
              </w:rPr>
            </w:pPr>
            <w:r>
              <w:rPr>
                <w:spacing w:val="-2"/>
                <w:sz w:val="20"/>
                <w:szCs w:val="20"/>
              </w:rPr>
              <w:t xml:space="preserve">Использование установленной</w:t>
            </w:r>
            <w:r>
              <w:rPr>
                <w:sz w:val="20"/>
                <w:szCs w:val="20"/>
              </w:rPr>
              <w:t xml:space="preserve"> мощности,</w:t>
            </w:r>
            <w:r>
              <w:rPr>
                <w:spacing w:val="-4"/>
                <w:sz w:val="20"/>
                <w:szCs w:val="20"/>
              </w:rPr>
              <w:t xml:space="preserve"> </w:t>
            </w:r>
            <w:r>
              <w:rPr>
                <w:spacing w:val="-10"/>
                <w:sz w:val="20"/>
                <w:szCs w:val="20"/>
              </w:rPr>
              <w:t xml:space="preserve">%</w:t>
            </w:r>
            <w:r>
              <w:rPr>
                <w:sz w:val="20"/>
                <w:szCs w:val="20"/>
              </w:rPr>
            </w:r>
            <w:r>
              <w:rPr>
                <w:sz w:val="20"/>
                <w:szCs w:val="20"/>
              </w:rPr>
            </w:r>
          </w:p>
        </w:tc>
        <w:tc>
          <w:tcPr>
            <w:tcW w:w="1270" w:type="dxa"/>
            <w:textDirection w:val="lrTb"/>
            <w:noWrap w:val="false"/>
          </w:tcPr>
          <w:p>
            <w:pPr>
              <w:pStyle w:val="1251"/>
              <w:ind w:right="4"/>
              <w:rPr>
                <w:sz w:val="20"/>
                <w:szCs w:val="20"/>
              </w:rPr>
            </w:pPr>
            <w:r>
              <w:rPr>
                <w:sz w:val="20"/>
                <w:szCs w:val="20"/>
              </w:rPr>
              <w:t xml:space="preserve">69,11</w:t>
            </w:r>
            <w:r>
              <w:rPr>
                <w:sz w:val="20"/>
                <w:szCs w:val="20"/>
              </w:rPr>
            </w:r>
            <w:r>
              <w:rPr>
                <w:sz w:val="20"/>
                <w:szCs w:val="20"/>
              </w:rPr>
            </w:r>
          </w:p>
        </w:tc>
        <w:tc>
          <w:tcPr>
            <w:tcW w:w="1272" w:type="dxa"/>
            <w:textDirection w:val="lrTb"/>
            <w:noWrap w:val="false"/>
          </w:tcPr>
          <w:p>
            <w:pPr>
              <w:pStyle w:val="1251"/>
              <w:ind w:right="4"/>
              <w:rPr>
                <w:sz w:val="20"/>
                <w:szCs w:val="20"/>
              </w:rPr>
            </w:pPr>
            <w:r>
              <w:rPr>
                <w:sz w:val="20"/>
                <w:szCs w:val="20"/>
              </w:rPr>
              <w:t xml:space="preserve">69,11</w:t>
            </w:r>
            <w:r>
              <w:rPr>
                <w:sz w:val="20"/>
                <w:szCs w:val="20"/>
              </w:rPr>
            </w:r>
            <w:r>
              <w:rPr>
                <w:sz w:val="20"/>
                <w:szCs w:val="20"/>
              </w:rPr>
            </w:r>
          </w:p>
        </w:tc>
        <w:tc>
          <w:tcPr>
            <w:tcW w:w="1128" w:type="dxa"/>
            <w:textDirection w:val="lrTb"/>
            <w:noWrap w:val="false"/>
          </w:tcPr>
          <w:p>
            <w:pPr>
              <w:pStyle w:val="1251"/>
              <w:ind w:right="4"/>
              <w:rPr>
                <w:sz w:val="20"/>
                <w:szCs w:val="20"/>
              </w:rPr>
            </w:pPr>
            <w:r>
              <w:rPr>
                <w:sz w:val="20"/>
                <w:szCs w:val="20"/>
              </w:rPr>
              <w:t xml:space="preserve">69,11</w:t>
            </w:r>
            <w:r>
              <w:rPr>
                <w:sz w:val="20"/>
                <w:szCs w:val="20"/>
              </w:rPr>
            </w:r>
            <w:r>
              <w:rPr>
                <w:sz w:val="20"/>
                <w:szCs w:val="20"/>
              </w:rPr>
            </w:r>
          </w:p>
        </w:tc>
        <w:tc>
          <w:tcPr>
            <w:tcW w:w="1270" w:type="dxa"/>
            <w:textDirection w:val="lrTb"/>
            <w:noWrap w:val="false"/>
          </w:tcPr>
          <w:p>
            <w:pPr>
              <w:pStyle w:val="1251"/>
              <w:ind w:right="4"/>
              <w:rPr>
                <w:sz w:val="20"/>
                <w:szCs w:val="20"/>
              </w:rPr>
            </w:pPr>
            <w:r>
              <w:rPr>
                <w:sz w:val="20"/>
                <w:szCs w:val="20"/>
              </w:rPr>
              <w:t xml:space="preserve">69,11</w:t>
            </w:r>
            <w:r>
              <w:rPr>
                <w:sz w:val="20"/>
                <w:szCs w:val="20"/>
              </w:rPr>
            </w:r>
            <w:r>
              <w:rPr>
                <w:sz w:val="20"/>
                <w:szCs w:val="20"/>
              </w:rPr>
            </w:r>
          </w:p>
        </w:tc>
        <w:tc>
          <w:tcPr>
            <w:tcW w:w="1272" w:type="dxa"/>
            <w:textDirection w:val="lrTb"/>
            <w:noWrap w:val="false"/>
          </w:tcPr>
          <w:p>
            <w:pPr>
              <w:pStyle w:val="1251"/>
              <w:ind w:right="4"/>
              <w:rPr>
                <w:sz w:val="20"/>
                <w:szCs w:val="20"/>
              </w:rPr>
            </w:pPr>
            <w:r>
              <w:rPr>
                <w:sz w:val="20"/>
                <w:szCs w:val="20"/>
              </w:rPr>
              <w:t xml:space="preserve">69,11</w:t>
            </w:r>
            <w:r>
              <w:rPr>
                <w:sz w:val="20"/>
                <w:szCs w:val="20"/>
              </w:rPr>
            </w:r>
            <w:r>
              <w:rPr>
                <w:sz w:val="20"/>
                <w:szCs w:val="20"/>
              </w:rPr>
            </w:r>
          </w:p>
        </w:tc>
        <w:tc>
          <w:tcPr>
            <w:tcW w:w="1219" w:type="dxa"/>
            <w:textDirection w:val="lrTb"/>
            <w:noWrap w:val="false"/>
          </w:tcPr>
          <w:p>
            <w:pPr>
              <w:pStyle w:val="1251"/>
              <w:ind w:right="4"/>
              <w:rPr>
                <w:sz w:val="20"/>
                <w:szCs w:val="20"/>
              </w:rPr>
            </w:pPr>
            <w:r>
              <w:rPr>
                <w:sz w:val="20"/>
                <w:szCs w:val="20"/>
              </w:rPr>
              <w:t xml:space="preserve">69,11</w:t>
            </w:r>
            <w:r>
              <w:rPr>
                <w:sz w:val="20"/>
                <w:szCs w:val="20"/>
              </w:rPr>
            </w:r>
            <w:r>
              <w:rPr>
                <w:sz w:val="20"/>
                <w:szCs w:val="20"/>
              </w:rPr>
            </w:r>
          </w:p>
        </w:tc>
      </w:tr>
      <w:tr>
        <w:tblPrEx/>
        <w:trPr>
          <w:trHeight w:val="85"/>
        </w:trPr>
        <w:tc>
          <w:tcPr>
            <w:tcW w:w="6965" w:type="dxa"/>
            <w:vAlign w:val="center"/>
            <w:textDirection w:val="lrTb"/>
            <w:noWrap w:val="false"/>
          </w:tcPr>
          <w:p>
            <w:pPr>
              <w:pStyle w:val="1251"/>
              <w:ind w:left="161" w:right="4"/>
              <w:jc w:val="left"/>
              <w:rPr>
                <w:sz w:val="20"/>
                <w:szCs w:val="20"/>
              </w:rPr>
            </w:pPr>
            <w:r>
              <w:rPr>
                <w:sz w:val="20"/>
                <w:szCs w:val="20"/>
              </w:rPr>
              <w:t xml:space="preserve">Выработка</w:t>
            </w:r>
            <w:r>
              <w:rPr>
                <w:spacing w:val="-6"/>
                <w:sz w:val="20"/>
                <w:szCs w:val="20"/>
              </w:rPr>
              <w:t xml:space="preserve"> </w:t>
            </w:r>
            <w:r>
              <w:rPr>
                <w:spacing w:val="-2"/>
                <w:sz w:val="20"/>
                <w:szCs w:val="20"/>
              </w:rPr>
              <w:t xml:space="preserve">тепловой</w:t>
            </w:r>
            <w:r>
              <w:rPr>
                <w:sz w:val="20"/>
                <w:szCs w:val="20"/>
              </w:rPr>
              <w:t xml:space="preserve"> энергии,</w:t>
            </w:r>
            <w:r>
              <w:rPr>
                <w:spacing w:val="-3"/>
                <w:sz w:val="20"/>
                <w:szCs w:val="20"/>
              </w:rPr>
              <w:t xml:space="preserve"> </w:t>
            </w:r>
            <w:r>
              <w:rPr>
                <w:spacing w:val="-4"/>
                <w:sz w:val="20"/>
                <w:szCs w:val="20"/>
              </w:rPr>
              <w:t xml:space="preserve">Гкал</w:t>
            </w:r>
            <w:r>
              <w:rPr>
                <w:sz w:val="20"/>
                <w:szCs w:val="20"/>
              </w:rPr>
            </w:r>
            <w:r>
              <w:rPr>
                <w:sz w:val="20"/>
                <w:szCs w:val="20"/>
              </w:rPr>
            </w:r>
          </w:p>
        </w:tc>
        <w:tc>
          <w:tcPr>
            <w:tcW w:w="1270" w:type="dxa"/>
            <w:textDirection w:val="lrTb"/>
            <w:noWrap w:val="false"/>
          </w:tcPr>
          <w:p>
            <w:pPr>
              <w:pStyle w:val="1251"/>
              <w:ind w:right="4"/>
              <w:rPr>
                <w:sz w:val="20"/>
                <w:szCs w:val="20"/>
              </w:rPr>
            </w:pPr>
            <w:r>
              <w:rPr>
                <w:sz w:val="20"/>
                <w:szCs w:val="20"/>
              </w:rPr>
              <w:t xml:space="preserve">12605,196</w:t>
            </w:r>
            <w:r>
              <w:rPr>
                <w:sz w:val="20"/>
                <w:szCs w:val="20"/>
              </w:rPr>
            </w:r>
            <w:r>
              <w:rPr>
                <w:sz w:val="20"/>
                <w:szCs w:val="20"/>
              </w:rPr>
            </w:r>
          </w:p>
        </w:tc>
        <w:tc>
          <w:tcPr>
            <w:tcW w:w="1272" w:type="dxa"/>
            <w:textDirection w:val="lrTb"/>
            <w:noWrap w:val="false"/>
          </w:tcPr>
          <w:p>
            <w:pPr>
              <w:pStyle w:val="1251"/>
              <w:ind w:right="4"/>
              <w:rPr>
                <w:sz w:val="20"/>
                <w:szCs w:val="20"/>
              </w:rPr>
            </w:pPr>
            <w:r>
              <w:rPr>
                <w:sz w:val="20"/>
                <w:szCs w:val="20"/>
              </w:rPr>
              <w:t xml:space="preserve">12605,196</w:t>
            </w:r>
            <w:r>
              <w:rPr>
                <w:sz w:val="20"/>
                <w:szCs w:val="20"/>
              </w:rPr>
            </w:r>
            <w:r>
              <w:rPr>
                <w:sz w:val="20"/>
                <w:szCs w:val="20"/>
              </w:rPr>
            </w:r>
          </w:p>
        </w:tc>
        <w:tc>
          <w:tcPr>
            <w:tcW w:w="1128" w:type="dxa"/>
            <w:textDirection w:val="lrTb"/>
            <w:noWrap w:val="false"/>
          </w:tcPr>
          <w:p>
            <w:pPr>
              <w:pStyle w:val="1251"/>
              <w:ind w:right="4"/>
              <w:rPr>
                <w:sz w:val="20"/>
                <w:szCs w:val="20"/>
              </w:rPr>
            </w:pPr>
            <w:r>
              <w:rPr>
                <w:sz w:val="20"/>
                <w:szCs w:val="20"/>
              </w:rPr>
              <w:t xml:space="preserve">12605,196</w:t>
            </w:r>
            <w:r>
              <w:rPr>
                <w:sz w:val="20"/>
                <w:szCs w:val="20"/>
              </w:rPr>
            </w:r>
            <w:r>
              <w:rPr>
                <w:sz w:val="20"/>
                <w:szCs w:val="20"/>
              </w:rPr>
            </w:r>
          </w:p>
        </w:tc>
        <w:tc>
          <w:tcPr>
            <w:tcW w:w="1270" w:type="dxa"/>
            <w:textDirection w:val="lrTb"/>
            <w:noWrap w:val="false"/>
          </w:tcPr>
          <w:p>
            <w:pPr>
              <w:pStyle w:val="1251"/>
              <w:ind w:right="4"/>
              <w:rPr>
                <w:sz w:val="20"/>
                <w:szCs w:val="20"/>
              </w:rPr>
            </w:pPr>
            <w:r>
              <w:rPr>
                <w:sz w:val="20"/>
                <w:szCs w:val="20"/>
              </w:rPr>
              <w:t xml:space="preserve">12605,196</w:t>
            </w:r>
            <w:r>
              <w:rPr>
                <w:sz w:val="20"/>
                <w:szCs w:val="20"/>
              </w:rPr>
            </w:r>
            <w:r>
              <w:rPr>
                <w:sz w:val="20"/>
                <w:szCs w:val="20"/>
              </w:rPr>
            </w:r>
          </w:p>
        </w:tc>
        <w:tc>
          <w:tcPr>
            <w:tcW w:w="1272" w:type="dxa"/>
            <w:textDirection w:val="lrTb"/>
            <w:noWrap w:val="false"/>
          </w:tcPr>
          <w:p>
            <w:pPr>
              <w:pStyle w:val="1251"/>
              <w:ind w:right="4"/>
              <w:rPr>
                <w:sz w:val="20"/>
                <w:szCs w:val="20"/>
              </w:rPr>
            </w:pPr>
            <w:r>
              <w:rPr>
                <w:sz w:val="20"/>
                <w:szCs w:val="20"/>
              </w:rPr>
              <w:t xml:space="preserve">12605,196</w:t>
            </w:r>
            <w:r>
              <w:rPr>
                <w:sz w:val="20"/>
                <w:szCs w:val="20"/>
              </w:rPr>
            </w:r>
            <w:r>
              <w:rPr>
                <w:sz w:val="20"/>
                <w:szCs w:val="20"/>
              </w:rPr>
            </w:r>
          </w:p>
        </w:tc>
        <w:tc>
          <w:tcPr>
            <w:tcW w:w="1219" w:type="dxa"/>
            <w:textDirection w:val="lrTb"/>
            <w:noWrap w:val="false"/>
          </w:tcPr>
          <w:p>
            <w:pPr>
              <w:pStyle w:val="1251"/>
              <w:ind w:right="4"/>
              <w:rPr>
                <w:sz w:val="20"/>
                <w:szCs w:val="20"/>
              </w:rPr>
            </w:pPr>
            <w:r>
              <w:rPr>
                <w:sz w:val="20"/>
                <w:szCs w:val="20"/>
              </w:rPr>
              <w:t xml:space="preserve">12605,196</w:t>
            </w:r>
            <w:r>
              <w:rPr>
                <w:sz w:val="20"/>
                <w:szCs w:val="20"/>
              </w:rPr>
            </w:r>
            <w:r>
              <w:rPr>
                <w:sz w:val="20"/>
                <w:szCs w:val="20"/>
              </w:rPr>
            </w:r>
          </w:p>
        </w:tc>
      </w:tr>
      <w:tr>
        <w:tblPrEx/>
        <w:trPr>
          <w:trHeight w:val="85"/>
        </w:trPr>
        <w:tc>
          <w:tcPr>
            <w:tcW w:w="6965" w:type="dxa"/>
            <w:vAlign w:val="center"/>
            <w:textDirection w:val="lrTb"/>
            <w:noWrap w:val="false"/>
          </w:tcPr>
          <w:p>
            <w:pPr>
              <w:pStyle w:val="1251"/>
              <w:ind w:left="161" w:right="4"/>
              <w:jc w:val="left"/>
              <w:rPr>
                <w:sz w:val="20"/>
                <w:szCs w:val="20"/>
              </w:rPr>
            </w:pPr>
            <w:r>
              <w:rPr>
                <w:sz w:val="20"/>
                <w:szCs w:val="20"/>
              </w:rPr>
              <w:t xml:space="preserve">Собственные</w:t>
            </w:r>
            <w:r>
              <w:rPr>
                <w:spacing w:val="-6"/>
                <w:sz w:val="20"/>
                <w:szCs w:val="20"/>
              </w:rPr>
              <w:t xml:space="preserve"> </w:t>
            </w:r>
            <w:r>
              <w:rPr>
                <w:spacing w:val="-4"/>
                <w:sz w:val="20"/>
                <w:szCs w:val="20"/>
              </w:rPr>
              <w:t xml:space="preserve">нужды</w:t>
            </w:r>
            <w:r>
              <w:rPr>
                <w:sz w:val="20"/>
                <w:szCs w:val="20"/>
              </w:rPr>
              <w:t xml:space="preserve"> котельной,</w:t>
            </w:r>
            <w:r>
              <w:rPr>
                <w:spacing w:val="-6"/>
                <w:sz w:val="20"/>
                <w:szCs w:val="20"/>
              </w:rPr>
              <w:t xml:space="preserve"> </w:t>
            </w:r>
            <w:r>
              <w:rPr>
                <w:spacing w:val="-4"/>
                <w:sz w:val="20"/>
                <w:szCs w:val="20"/>
              </w:rPr>
              <w:t xml:space="preserve">Гкал</w:t>
            </w:r>
            <w:r>
              <w:rPr>
                <w:sz w:val="20"/>
                <w:szCs w:val="20"/>
              </w:rPr>
            </w:r>
            <w:r>
              <w:rPr>
                <w:sz w:val="20"/>
                <w:szCs w:val="20"/>
              </w:rPr>
            </w:r>
          </w:p>
        </w:tc>
        <w:tc>
          <w:tcPr>
            <w:tcW w:w="1270" w:type="dxa"/>
            <w:textDirection w:val="lrTb"/>
            <w:noWrap w:val="false"/>
          </w:tcPr>
          <w:p>
            <w:pPr>
              <w:pStyle w:val="1251"/>
              <w:ind w:right="4"/>
              <w:rPr>
                <w:sz w:val="20"/>
                <w:szCs w:val="20"/>
              </w:rPr>
            </w:pPr>
            <w:r>
              <w:rPr>
                <w:sz w:val="20"/>
                <w:szCs w:val="20"/>
              </w:rPr>
              <w:t xml:space="preserve">123,00</w:t>
            </w:r>
            <w:r>
              <w:rPr>
                <w:sz w:val="20"/>
                <w:szCs w:val="20"/>
              </w:rPr>
            </w:r>
            <w:r>
              <w:rPr>
                <w:sz w:val="20"/>
                <w:szCs w:val="20"/>
              </w:rPr>
            </w:r>
          </w:p>
        </w:tc>
        <w:tc>
          <w:tcPr>
            <w:tcW w:w="1272" w:type="dxa"/>
            <w:textDirection w:val="lrTb"/>
            <w:noWrap w:val="false"/>
          </w:tcPr>
          <w:p>
            <w:pPr>
              <w:pStyle w:val="1251"/>
              <w:ind w:right="4"/>
              <w:rPr>
                <w:sz w:val="20"/>
                <w:szCs w:val="20"/>
              </w:rPr>
            </w:pPr>
            <w:r>
              <w:rPr>
                <w:sz w:val="20"/>
                <w:szCs w:val="20"/>
              </w:rPr>
              <w:t xml:space="preserve">123,00</w:t>
            </w:r>
            <w:r>
              <w:rPr>
                <w:sz w:val="20"/>
                <w:szCs w:val="20"/>
              </w:rPr>
            </w:r>
            <w:r>
              <w:rPr>
                <w:sz w:val="20"/>
                <w:szCs w:val="20"/>
              </w:rPr>
            </w:r>
          </w:p>
        </w:tc>
        <w:tc>
          <w:tcPr>
            <w:tcW w:w="1128" w:type="dxa"/>
            <w:textDirection w:val="lrTb"/>
            <w:noWrap w:val="false"/>
          </w:tcPr>
          <w:p>
            <w:pPr>
              <w:pStyle w:val="1251"/>
              <w:ind w:right="4"/>
              <w:rPr>
                <w:sz w:val="20"/>
                <w:szCs w:val="20"/>
              </w:rPr>
            </w:pPr>
            <w:r>
              <w:rPr>
                <w:sz w:val="20"/>
                <w:szCs w:val="20"/>
              </w:rPr>
              <w:t xml:space="preserve">123,00</w:t>
            </w:r>
            <w:r>
              <w:rPr>
                <w:sz w:val="20"/>
                <w:szCs w:val="20"/>
              </w:rPr>
            </w:r>
            <w:r>
              <w:rPr>
                <w:sz w:val="20"/>
                <w:szCs w:val="20"/>
              </w:rPr>
            </w:r>
          </w:p>
        </w:tc>
        <w:tc>
          <w:tcPr>
            <w:tcW w:w="1270" w:type="dxa"/>
            <w:textDirection w:val="lrTb"/>
            <w:noWrap w:val="false"/>
          </w:tcPr>
          <w:p>
            <w:pPr>
              <w:pStyle w:val="1251"/>
              <w:ind w:right="4"/>
              <w:rPr>
                <w:sz w:val="20"/>
                <w:szCs w:val="20"/>
              </w:rPr>
            </w:pPr>
            <w:r>
              <w:rPr>
                <w:sz w:val="20"/>
                <w:szCs w:val="20"/>
              </w:rPr>
              <w:t xml:space="preserve">123,00</w:t>
            </w:r>
            <w:r>
              <w:rPr>
                <w:sz w:val="20"/>
                <w:szCs w:val="20"/>
              </w:rPr>
            </w:r>
            <w:r>
              <w:rPr>
                <w:sz w:val="20"/>
                <w:szCs w:val="20"/>
              </w:rPr>
            </w:r>
          </w:p>
        </w:tc>
        <w:tc>
          <w:tcPr>
            <w:tcW w:w="1272" w:type="dxa"/>
            <w:textDirection w:val="lrTb"/>
            <w:noWrap w:val="false"/>
          </w:tcPr>
          <w:p>
            <w:pPr>
              <w:pStyle w:val="1251"/>
              <w:ind w:right="4"/>
              <w:rPr>
                <w:sz w:val="20"/>
                <w:szCs w:val="20"/>
              </w:rPr>
            </w:pPr>
            <w:r>
              <w:rPr>
                <w:sz w:val="20"/>
                <w:szCs w:val="20"/>
              </w:rPr>
              <w:t xml:space="preserve">123,00</w:t>
            </w:r>
            <w:r>
              <w:rPr>
                <w:sz w:val="20"/>
                <w:szCs w:val="20"/>
              </w:rPr>
            </w:r>
            <w:r>
              <w:rPr>
                <w:sz w:val="20"/>
                <w:szCs w:val="20"/>
              </w:rPr>
            </w:r>
          </w:p>
        </w:tc>
        <w:tc>
          <w:tcPr>
            <w:tcW w:w="1219" w:type="dxa"/>
            <w:textDirection w:val="lrTb"/>
            <w:noWrap w:val="false"/>
          </w:tcPr>
          <w:p>
            <w:pPr>
              <w:pStyle w:val="1251"/>
              <w:ind w:right="4"/>
              <w:rPr>
                <w:sz w:val="20"/>
                <w:szCs w:val="20"/>
              </w:rPr>
            </w:pPr>
            <w:r>
              <w:rPr>
                <w:sz w:val="20"/>
                <w:szCs w:val="20"/>
              </w:rPr>
              <w:t xml:space="preserve">123,00</w:t>
            </w:r>
            <w:r>
              <w:rPr>
                <w:sz w:val="20"/>
                <w:szCs w:val="20"/>
              </w:rPr>
            </w:r>
            <w:r>
              <w:rPr>
                <w:sz w:val="20"/>
                <w:szCs w:val="20"/>
              </w:rPr>
            </w:r>
          </w:p>
        </w:tc>
      </w:tr>
      <w:tr>
        <w:tblPrEx/>
        <w:trPr>
          <w:trHeight w:val="85"/>
        </w:trPr>
        <w:tc>
          <w:tcPr>
            <w:tcW w:w="6965" w:type="dxa"/>
            <w:vAlign w:val="center"/>
            <w:textDirection w:val="lrTb"/>
            <w:noWrap w:val="false"/>
          </w:tcPr>
          <w:p>
            <w:pPr>
              <w:pStyle w:val="1251"/>
              <w:ind w:left="161" w:right="4"/>
              <w:jc w:val="left"/>
              <w:rPr>
                <w:sz w:val="20"/>
                <w:szCs w:val="20"/>
              </w:rPr>
            </w:pPr>
            <w:r>
              <w:rPr>
                <w:sz w:val="20"/>
                <w:szCs w:val="20"/>
              </w:rPr>
              <w:t xml:space="preserve">Потери</w:t>
            </w:r>
            <w:r>
              <w:rPr>
                <w:spacing w:val="-2"/>
                <w:sz w:val="20"/>
                <w:szCs w:val="20"/>
              </w:rPr>
              <w:t xml:space="preserve"> </w:t>
            </w:r>
            <w:r>
              <w:rPr>
                <w:sz w:val="20"/>
                <w:szCs w:val="20"/>
              </w:rPr>
              <w:t xml:space="preserve">в</w:t>
            </w:r>
            <w:r>
              <w:rPr>
                <w:spacing w:val="-2"/>
                <w:sz w:val="20"/>
                <w:szCs w:val="20"/>
              </w:rPr>
              <w:t xml:space="preserve"> тепловых</w:t>
            </w:r>
            <w:r>
              <w:rPr>
                <w:sz w:val="20"/>
                <w:szCs w:val="20"/>
              </w:rPr>
              <w:t xml:space="preserve"> сетях,</w:t>
            </w:r>
            <w:r>
              <w:rPr>
                <w:spacing w:val="-3"/>
                <w:sz w:val="20"/>
                <w:szCs w:val="20"/>
              </w:rPr>
              <w:t xml:space="preserve"> </w:t>
            </w:r>
            <w:r>
              <w:rPr>
                <w:spacing w:val="-4"/>
                <w:sz w:val="20"/>
                <w:szCs w:val="20"/>
              </w:rPr>
              <w:t xml:space="preserve">Гкал</w:t>
            </w:r>
            <w:r>
              <w:rPr>
                <w:sz w:val="20"/>
                <w:szCs w:val="20"/>
              </w:rPr>
            </w:r>
            <w:r>
              <w:rPr>
                <w:sz w:val="20"/>
                <w:szCs w:val="20"/>
              </w:rPr>
            </w:r>
          </w:p>
        </w:tc>
        <w:tc>
          <w:tcPr>
            <w:tcW w:w="1270" w:type="dxa"/>
            <w:textDirection w:val="lrTb"/>
            <w:noWrap w:val="false"/>
          </w:tcPr>
          <w:p>
            <w:pPr>
              <w:pStyle w:val="1251"/>
              <w:ind w:right="4"/>
              <w:rPr>
                <w:sz w:val="20"/>
                <w:szCs w:val="20"/>
              </w:rPr>
            </w:pPr>
            <w:r>
              <w:rPr>
                <w:sz w:val="20"/>
                <w:szCs w:val="20"/>
              </w:rPr>
              <w:t xml:space="preserve">184,50</w:t>
            </w:r>
            <w:r>
              <w:rPr>
                <w:sz w:val="20"/>
                <w:szCs w:val="20"/>
              </w:rPr>
            </w:r>
            <w:r>
              <w:rPr>
                <w:sz w:val="20"/>
                <w:szCs w:val="20"/>
              </w:rPr>
            </w:r>
          </w:p>
        </w:tc>
        <w:tc>
          <w:tcPr>
            <w:tcW w:w="1272" w:type="dxa"/>
            <w:textDirection w:val="lrTb"/>
            <w:noWrap w:val="false"/>
          </w:tcPr>
          <w:p>
            <w:pPr>
              <w:pStyle w:val="1251"/>
              <w:ind w:right="4"/>
              <w:rPr>
                <w:sz w:val="20"/>
                <w:szCs w:val="20"/>
              </w:rPr>
            </w:pPr>
            <w:r>
              <w:rPr>
                <w:sz w:val="20"/>
                <w:szCs w:val="20"/>
              </w:rPr>
              <w:t xml:space="preserve">184,50</w:t>
            </w:r>
            <w:r>
              <w:rPr>
                <w:sz w:val="20"/>
                <w:szCs w:val="20"/>
              </w:rPr>
            </w:r>
            <w:r>
              <w:rPr>
                <w:sz w:val="20"/>
                <w:szCs w:val="20"/>
              </w:rPr>
            </w:r>
          </w:p>
        </w:tc>
        <w:tc>
          <w:tcPr>
            <w:tcW w:w="1128" w:type="dxa"/>
            <w:textDirection w:val="lrTb"/>
            <w:noWrap w:val="false"/>
          </w:tcPr>
          <w:p>
            <w:pPr>
              <w:pStyle w:val="1251"/>
              <w:ind w:right="4"/>
              <w:rPr>
                <w:sz w:val="20"/>
                <w:szCs w:val="20"/>
              </w:rPr>
            </w:pPr>
            <w:r>
              <w:rPr>
                <w:sz w:val="20"/>
                <w:szCs w:val="20"/>
              </w:rPr>
              <w:t xml:space="preserve">184,50</w:t>
            </w:r>
            <w:r>
              <w:rPr>
                <w:sz w:val="20"/>
                <w:szCs w:val="20"/>
              </w:rPr>
            </w:r>
            <w:r>
              <w:rPr>
                <w:sz w:val="20"/>
                <w:szCs w:val="20"/>
              </w:rPr>
            </w:r>
          </w:p>
        </w:tc>
        <w:tc>
          <w:tcPr>
            <w:tcW w:w="1270" w:type="dxa"/>
            <w:textDirection w:val="lrTb"/>
            <w:noWrap w:val="false"/>
          </w:tcPr>
          <w:p>
            <w:pPr>
              <w:pStyle w:val="1251"/>
              <w:ind w:right="4"/>
              <w:rPr>
                <w:sz w:val="20"/>
                <w:szCs w:val="20"/>
              </w:rPr>
            </w:pPr>
            <w:r>
              <w:rPr>
                <w:sz w:val="20"/>
                <w:szCs w:val="20"/>
              </w:rPr>
              <w:t xml:space="preserve">184,50</w:t>
            </w:r>
            <w:r>
              <w:rPr>
                <w:sz w:val="20"/>
                <w:szCs w:val="20"/>
              </w:rPr>
            </w:r>
            <w:r>
              <w:rPr>
                <w:sz w:val="20"/>
                <w:szCs w:val="20"/>
              </w:rPr>
            </w:r>
          </w:p>
        </w:tc>
        <w:tc>
          <w:tcPr>
            <w:tcW w:w="1272" w:type="dxa"/>
            <w:textDirection w:val="lrTb"/>
            <w:noWrap w:val="false"/>
          </w:tcPr>
          <w:p>
            <w:pPr>
              <w:pStyle w:val="1251"/>
              <w:ind w:right="4"/>
              <w:rPr>
                <w:sz w:val="20"/>
                <w:szCs w:val="20"/>
              </w:rPr>
            </w:pPr>
            <w:r>
              <w:rPr>
                <w:sz w:val="20"/>
                <w:szCs w:val="20"/>
              </w:rPr>
              <w:t xml:space="preserve">184,50</w:t>
            </w:r>
            <w:r>
              <w:rPr>
                <w:sz w:val="20"/>
                <w:szCs w:val="20"/>
              </w:rPr>
            </w:r>
            <w:r>
              <w:rPr>
                <w:sz w:val="20"/>
                <w:szCs w:val="20"/>
              </w:rPr>
            </w:r>
          </w:p>
        </w:tc>
        <w:tc>
          <w:tcPr>
            <w:tcW w:w="1219" w:type="dxa"/>
            <w:textDirection w:val="lrTb"/>
            <w:noWrap w:val="false"/>
          </w:tcPr>
          <w:p>
            <w:pPr>
              <w:pStyle w:val="1251"/>
              <w:ind w:right="4"/>
              <w:rPr>
                <w:sz w:val="20"/>
                <w:szCs w:val="20"/>
              </w:rPr>
            </w:pPr>
            <w:r>
              <w:rPr>
                <w:sz w:val="20"/>
                <w:szCs w:val="20"/>
              </w:rPr>
              <w:t xml:space="preserve">184,50</w:t>
            </w:r>
            <w:r>
              <w:rPr>
                <w:sz w:val="20"/>
                <w:szCs w:val="20"/>
              </w:rPr>
            </w:r>
            <w:r>
              <w:rPr>
                <w:sz w:val="20"/>
                <w:szCs w:val="20"/>
              </w:rPr>
            </w:r>
          </w:p>
        </w:tc>
      </w:tr>
    </w:tbl>
    <w:p>
      <w:pPr>
        <w:pStyle w:val="1247"/>
        <w:spacing w:before="7"/>
        <w:rPr>
          <w:b/>
          <w:sz w:val="18"/>
        </w:rPr>
        <w:sectPr>
          <w:footnotePr/>
          <w:endnotePr/>
          <w:type w:val="continuous"/>
          <w:pgSz w:w="16840" w:h="11910" w:orient="landscape"/>
          <w:pgMar w:top="1298" w:right="1100" w:bottom="697" w:left="941" w:header="0" w:footer="760" w:gutter="0"/>
          <w:cols w:num="1" w:sep="0" w:space="720" w:equalWidth="1"/>
          <w:docGrid w:linePitch="360"/>
        </w:sectPr>
      </w:pPr>
      <w:r>
        <w:rPr>
          <w:b/>
          <w:sz w:val="18"/>
        </w:rPr>
      </w:r>
      <w:r>
        <w:rPr>
          <w:b/>
          <w:sz w:val="18"/>
        </w:rPr>
      </w:r>
      <w:r>
        <w:rPr>
          <w:b/>
          <w:sz w:val="18"/>
        </w:rPr>
      </w:r>
    </w:p>
    <w:p>
      <w:pPr>
        <w:pStyle w:val="1248"/>
        <w:ind w:right="143" w:firstLine="733"/>
      </w:pPr>
      <w:r/>
      <w:bookmarkStart w:id="339" w:name="_bookmark187"/>
      <w:r/>
      <w:bookmarkStart w:id="340" w:name="_Toc130231973"/>
      <w:r/>
      <w:bookmarkStart w:id="341" w:name="_Toc165540753"/>
      <w:r/>
      <w:bookmarkEnd w:id="339"/>
      <w:r>
        <w:rPr>
          <w:lang w:eastAsia="ru-RU"/>
        </w:rPr>
        <w:t xml:space="preserve">2.5 </w:t>
      </w:r>
      <w:r>
        <w:t xml:space="preserve">Прогнозы приростов объёмов потребления тепловой энергии (мощности) и теплоносителя с разделением по видам теплопотребления в расчётных элементах территориального деления и в зонах действия индивидуального теплоснабжения на каждом этапе</w:t>
      </w:r>
      <w:bookmarkEnd w:id="340"/>
      <w:r/>
      <w:bookmarkEnd w:id="341"/>
      <w:r/>
      <w:r/>
    </w:p>
    <w:p>
      <w:pPr>
        <w:ind w:firstLine="851"/>
        <w:jc w:val="both"/>
        <w:spacing w:before="60"/>
        <w:shd w:val="clear" w:color="auto" w:fill="ffffff"/>
        <w:widowControl/>
        <w:rPr>
          <w:color w:val="000000"/>
          <w:sz w:val="24"/>
          <w:szCs w:val="24"/>
          <w:lang w:eastAsia="ru-RU"/>
        </w:rPr>
      </w:pPr>
      <w:r/>
      <w:bookmarkStart w:id="342" w:name="_bookmark188"/>
      <w:r/>
      <w:bookmarkEnd w:id="342"/>
      <w:r>
        <w:rPr>
          <w:color w:val="000000"/>
          <w:sz w:val="24"/>
          <w:szCs w:val="24"/>
          <w:lang w:eastAsia="ru-RU"/>
        </w:rPr>
        <w:t xml:space="preserve">Большая часть индивидуальных жилых домов, объектов административно-общественного и производственного назначения обеспечена теплосн</w:t>
      </w:r>
      <w:r>
        <w:rPr>
          <w:color w:val="000000"/>
          <w:sz w:val="24"/>
          <w:szCs w:val="24"/>
          <w:lang w:eastAsia="ru-RU"/>
        </w:rPr>
        <w:t xml:space="preserve">абжением от индивидуальных источников теплоснабжения. Существующие и планируемые к застройке потребители, вправе использовать для отопления индивидуальные источники теплоснабжения. Использование автономных источников теплоснабжения целесообразно в случаях:</w:t>
      </w:r>
      <w:r>
        <w:rPr>
          <w:color w:val="000000"/>
          <w:sz w:val="24"/>
          <w:szCs w:val="24"/>
          <w:lang w:eastAsia="ru-RU"/>
        </w:rPr>
      </w:r>
      <w:r>
        <w:rPr>
          <w:color w:val="000000"/>
          <w:sz w:val="24"/>
          <w:szCs w:val="24"/>
          <w:lang w:eastAsia="ru-RU"/>
        </w:rPr>
      </w:r>
    </w:p>
    <w:p>
      <w:pPr>
        <w:ind w:firstLine="851"/>
        <w:jc w:val="both"/>
        <w:shd w:val="clear" w:color="auto" w:fill="ffffff"/>
        <w:widowControl/>
        <w:rPr>
          <w:color w:val="000000"/>
          <w:sz w:val="24"/>
          <w:szCs w:val="24"/>
          <w:lang w:eastAsia="ru-RU"/>
        </w:rPr>
      </w:pPr>
      <w:r>
        <w:rPr>
          <w:color w:val="000000"/>
          <w:sz w:val="24"/>
          <w:szCs w:val="24"/>
          <w:lang w:eastAsia="ru-RU"/>
        </w:rPr>
        <w:t xml:space="preserve">•</w:t>
      </w:r>
      <w:r>
        <w:rPr>
          <w:color w:val="000000"/>
          <w:sz w:val="24"/>
          <w:szCs w:val="24"/>
          <w:lang w:eastAsia="ru-RU"/>
        </w:rPr>
        <w:tab/>
        <w:t xml:space="preserve">значительной удаленности от существующих и перспективных тепловых сетей;</w:t>
      </w:r>
      <w:r>
        <w:rPr>
          <w:color w:val="000000"/>
          <w:sz w:val="24"/>
          <w:szCs w:val="24"/>
          <w:lang w:eastAsia="ru-RU"/>
        </w:rPr>
      </w:r>
      <w:r>
        <w:rPr>
          <w:color w:val="000000"/>
          <w:sz w:val="24"/>
          <w:szCs w:val="24"/>
          <w:lang w:eastAsia="ru-RU"/>
        </w:rPr>
      </w:r>
    </w:p>
    <w:p>
      <w:pPr>
        <w:ind w:firstLine="851"/>
        <w:jc w:val="both"/>
        <w:shd w:val="clear" w:color="auto" w:fill="ffffff"/>
        <w:widowControl/>
        <w:rPr>
          <w:color w:val="000000"/>
          <w:sz w:val="24"/>
          <w:szCs w:val="24"/>
          <w:lang w:eastAsia="ru-RU"/>
        </w:rPr>
      </w:pPr>
      <w:r>
        <w:rPr>
          <w:color w:val="000000"/>
          <w:sz w:val="24"/>
          <w:szCs w:val="24"/>
          <w:lang w:eastAsia="ru-RU"/>
        </w:rPr>
        <w:t xml:space="preserve">•</w:t>
      </w:r>
      <w:r>
        <w:rPr>
          <w:color w:val="000000"/>
          <w:sz w:val="24"/>
          <w:szCs w:val="24"/>
          <w:lang w:eastAsia="ru-RU"/>
        </w:rPr>
        <w:tab/>
        <w:t xml:space="preserve">малой подключаемой нагрузки (менее 0,01 Гкал/ч);</w:t>
      </w:r>
      <w:r>
        <w:rPr>
          <w:color w:val="000000"/>
          <w:sz w:val="24"/>
          <w:szCs w:val="24"/>
          <w:lang w:eastAsia="ru-RU"/>
        </w:rPr>
      </w:r>
      <w:r>
        <w:rPr>
          <w:color w:val="000000"/>
          <w:sz w:val="24"/>
          <w:szCs w:val="24"/>
          <w:lang w:eastAsia="ru-RU"/>
        </w:rPr>
      </w:r>
    </w:p>
    <w:p>
      <w:pPr>
        <w:ind w:firstLine="851"/>
        <w:jc w:val="both"/>
        <w:shd w:val="clear" w:color="auto" w:fill="ffffff"/>
        <w:widowControl/>
        <w:rPr>
          <w:color w:val="000000"/>
          <w:sz w:val="24"/>
          <w:szCs w:val="24"/>
          <w:lang w:eastAsia="ru-RU"/>
        </w:rPr>
      </w:pPr>
      <w:r>
        <w:rPr>
          <w:color w:val="000000"/>
          <w:sz w:val="24"/>
          <w:szCs w:val="24"/>
          <w:lang w:eastAsia="ru-RU"/>
        </w:rPr>
        <w:t xml:space="preserve">•</w:t>
      </w:r>
      <w:r>
        <w:rPr>
          <w:color w:val="000000"/>
          <w:sz w:val="24"/>
          <w:szCs w:val="24"/>
          <w:lang w:eastAsia="ru-RU"/>
        </w:rPr>
        <w:tab/>
        <w:t xml:space="preserve">отсутствия резервов тепловой мощности в границах застройки на данный момент и в рассматриваемой перспективе;</w:t>
      </w:r>
      <w:r>
        <w:rPr>
          <w:color w:val="000000"/>
          <w:sz w:val="24"/>
          <w:szCs w:val="24"/>
          <w:lang w:eastAsia="ru-RU"/>
        </w:rPr>
      </w:r>
      <w:r>
        <w:rPr>
          <w:color w:val="000000"/>
          <w:sz w:val="24"/>
          <w:szCs w:val="24"/>
          <w:lang w:eastAsia="ru-RU"/>
        </w:rPr>
      </w:r>
    </w:p>
    <w:p>
      <w:pPr>
        <w:ind w:firstLine="851"/>
        <w:jc w:val="both"/>
        <w:shd w:val="clear" w:color="auto" w:fill="ffffff"/>
        <w:widowControl/>
        <w:rPr>
          <w:color w:val="000000"/>
          <w:sz w:val="24"/>
          <w:szCs w:val="24"/>
          <w:lang w:eastAsia="ru-RU"/>
        </w:rPr>
      </w:pPr>
      <w:r>
        <w:rPr>
          <w:color w:val="000000"/>
          <w:sz w:val="24"/>
          <w:szCs w:val="24"/>
          <w:lang w:eastAsia="ru-RU"/>
        </w:rPr>
        <w:t xml:space="preserve">•</w:t>
      </w:r>
      <w:r>
        <w:rPr>
          <w:color w:val="000000"/>
          <w:sz w:val="24"/>
          <w:szCs w:val="24"/>
          <w:lang w:eastAsia="ru-RU"/>
        </w:rPr>
        <w:tab/>
        <w:t xml:space="preserve">использования тепловой энергии в технологических целях.</w:t>
      </w:r>
      <w:r>
        <w:rPr>
          <w:color w:val="000000"/>
          <w:sz w:val="24"/>
          <w:szCs w:val="24"/>
          <w:lang w:eastAsia="ru-RU"/>
        </w:rPr>
      </w:r>
      <w:r>
        <w:rPr>
          <w:color w:val="000000"/>
          <w:sz w:val="24"/>
          <w:szCs w:val="24"/>
          <w:lang w:eastAsia="ru-RU"/>
        </w:rPr>
      </w:r>
    </w:p>
    <w:p>
      <w:pPr>
        <w:ind w:firstLine="851"/>
        <w:jc w:val="both"/>
        <w:shd w:val="clear" w:color="auto" w:fill="ffffff"/>
        <w:widowControl/>
        <w:rPr>
          <w:color w:val="000000"/>
          <w:sz w:val="24"/>
          <w:szCs w:val="24"/>
          <w:lang w:eastAsia="ru-RU"/>
        </w:rPr>
      </w:pPr>
      <w:r>
        <w:rPr>
          <w:color w:val="000000"/>
          <w:sz w:val="24"/>
          <w:szCs w:val="24"/>
          <w:lang w:eastAsia="ru-RU"/>
        </w:rPr>
        <w:t xml:space="preserve">Потребители, отопление которых осуществляется от индивидуальных источников, могут быть подключены  к  централизованному теплоснабжению на условиях организации централизованного теплоснабжения.</w:t>
      </w:r>
      <w:r>
        <w:rPr>
          <w:color w:val="000000"/>
          <w:sz w:val="24"/>
          <w:szCs w:val="24"/>
          <w:lang w:eastAsia="ru-RU"/>
        </w:rPr>
      </w:r>
      <w:r>
        <w:rPr>
          <w:color w:val="000000"/>
          <w:sz w:val="24"/>
          <w:szCs w:val="24"/>
          <w:lang w:eastAsia="ru-RU"/>
        </w:rPr>
      </w:r>
    </w:p>
    <w:p>
      <w:pPr>
        <w:ind w:firstLine="851"/>
        <w:jc w:val="both"/>
        <w:shd w:val="clear" w:color="auto" w:fill="ffffff"/>
        <w:widowControl/>
        <w:rPr>
          <w:color w:val="000000"/>
          <w:sz w:val="24"/>
          <w:szCs w:val="24"/>
          <w:lang w:eastAsia="ru-RU"/>
        </w:rPr>
      </w:pPr>
      <w:r>
        <w:rPr>
          <w:color w:val="000000"/>
          <w:sz w:val="24"/>
          <w:szCs w:val="24"/>
          <w:lang w:eastAsia="ru-RU"/>
        </w:rPr>
        <w:t xml:space="preserve">В соответствии с требованиями п. 15 статьи 14 ФЗ №190 «О теплоснабжении» </w:t>
      </w:r>
      <w:r>
        <w:rPr>
          <w:color w:val="000000"/>
          <w:sz w:val="24"/>
          <w:szCs w:val="24"/>
          <w:lang w:eastAsia="ru-RU"/>
        </w:rPr>
        <w:t xml:space="preserve">«Запрещается переход на отопление жилых помещений в многоквартирных домах с использованием индивидуальных квартирных источников тепловой энергии при наличии осуществлённого в надлежащем порядке подключения к системам теплоснабжения  многоквартирных домов».</w:t>
      </w:r>
      <w:r>
        <w:rPr>
          <w:color w:val="000000"/>
          <w:sz w:val="24"/>
          <w:szCs w:val="24"/>
          <w:lang w:eastAsia="ru-RU"/>
        </w:rPr>
      </w:r>
      <w:r>
        <w:rPr>
          <w:color w:val="000000"/>
          <w:sz w:val="24"/>
          <w:szCs w:val="24"/>
          <w:lang w:eastAsia="ru-RU"/>
        </w:rPr>
      </w:r>
    </w:p>
    <w:p>
      <w:pPr>
        <w:ind w:firstLine="851"/>
        <w:jc w:val="both"/>
        <w:shd w:val="clear" w:color="auto" w:fill="ffffff"/>
        <w:widowControl/>
        <w:rPr>
          <w:color w:val="000000"/>
          <w:sz w:val="24"/>
          <w:szCs w:val="24"/>
          <w:lang w:eastAsia="ru-RU"/>
        </w:rPr>
      </w:pPr>
      <w:r>
        <w:rPr>
          <w:color w:val="000000"/>
          <w:sz w:val="24"/>
          <w:szCs w:val="24"/>
          <w:lang w:eastAsia="ru-RU"/>
        </w:rPr>
        <w:t xml:space="preserve">При отсутствии централизованного источника тепловой энергии устр</w:t>
      </w:r>
      <w:r>
        <w:rPr>
          <w:color w:val="000000"/>
          <w:sz w:val="24"/>
          <w:szCs w:val="24"/>
          <w:lang w:eastAsia="ru-RU"/>
        </w:rPr>
        <w:t xml:space="preserve">ойство автономного теплоснабжения является единственно возможным способом обеспечения теплом и горячей водой конкретного объекта. Поэтому довольно широкое распространение получают автономные (домовые) котельные, главным образом с использованием газовых мод</w:t>
      </w:r>
      <w:r>
        <w:rPr>
          <w:color w:val="000000"/>
          <w:sz w:val="24"/>
          <w:szCs w:val="24"/>
          <w:lang w:eastAsia="ru-RU"/>
        </w:rPr>
        <w:t xml:space="preserve">улей. При децентрализованной системе отпадает необходимость в строительстве теплотрассы, в сооружении на теплофицированном объекте теплового центра, включающего элеваторный узел, теплообменники для горячей воды, узел  коммерческого  учета тепловой энергии.</w:t>
      </w:r>
      <w:r>
        <w:rPr>
          <w:color w:val="000000"/>
          <w:sz w:val="24"/>
          <w:szCs w:val="24"/>
          <w:lang w:eastAsia="ru-RU"/>
        </w:rPr>
      </w:r>
      <w:r>
        <w:rPr>
          <w:color w:val="000000"/>
          <w:sz w:val="24"/>
          <w:szCs w:val="24"/>
          <w:lang w:eastAsia="ru-RU"/>
        </w:rPr>
      </w:r>
    </w:p>
    <w:p>
      <w:pPr>
        <w:ind w:firstLine="851"/>
        <w:jc w:val="both"/>
        <w:shd w:val="clear" w:color="auto" w:fill="ffffff"/>
        <w:widowControl/>
        <w:rPr>
          <w:color w:val="000000"/>
          <w:sz w:val="24"/>
          <w:szCs w:val="24"/>
          <w:lang w:eastAsia="ru-RU"/>
        </w:rPr>
      </w:pPr>
      <w:r>
        <w:rPr>
          <w:color w:val="000000"/>
          <w:sz w:val="24"/>
          <w:szCs w:val="24"/>
          <w:lang w:eastAsia="ru-RU"/>
        </w:rPr>
        <w:t xml:space="preserve"> Применяемые в системах децентрализованного теплоснабжения теплогенераторов представляют собой газовые водогрейные аппараты, которые могут использоваться как в составе котельной для теплоснабжения группы потребителей, так и для децентрал</w:t>
      </w:r>
      <w:r>
        <w:rPr>
          <w:color w:val="000000"/>
          <w:sz w:val="24"/>
          <w:szCs w:val="24"/>
          <w:lang w:eastAsia="ru-RU"/>
        </w:rPr>
        <w:t xml:space="preserve">изованного теплоснабжения с установкой непосредственно в здании (на крыше или в чердачном помещении здания). Также могут устанавливаться рядом со зданием (выпускаются в виде передвижных агрегатов контейнерного типа), могут быть встроенными и пристроенными.</w:t>
      </w:r>
      <w:r>
        <w:rPr>
          <w:color w:val="000000"/>
          <w:sz w:val="24"/>
          <w:szCs w:val="24"/>
          <w:lang w:eastAsia="ru-RU"/>
        </w:rPr>
      </w:r>
      <w:r>
        <w:rPr>
          <w:color w:val="000000"/>
          <w:sz w:val="24"/>
          <w:szCs w:val="24"/>
          <w:lang w:eastAsia="ru-RU"/>
        </w:rPr>
      </w:r>
    </w:p>
    <w:p>
      <w:pPr>
        <w:ind w:firstLine="851"/>
        <w:jc w:val="both"/>
        <w:shd w:val="clear" w:color="auto" w:fill="ffffff"/>
        <w:widowControl/>
        <w:rPr>
          <w:color w:val="000000"/>
          <w:sz w:val="24"/>
          <w:szCs w:val="24"/>
          <w:lang w:eastAsia="ru-RU"/>
        </w:rPr>
      </w:pPr>
      <w:r>
        <w:rPr>
          <w:color w:val="000000"/>
          <w:sz w:val="24"/>
          <w:szCs w:val="24"/>
          <w:lang w:eastAsia="ru-RU"/>
        </w:rPr>
        <w:t xml:space="preserve">КПД современных малых котлов составляет не мене</w:t>
      </w:r>
      <w:r>
        <w:rPr>
          <w:color w:val="000000"/>
          <w:sz w:val="24"/>
          <w:szCs w:val="24"/>
          <w:lang w:eastAsia="ru-RU"/>
        </w:rPr>
        <w:t xml:space="preserve">е  90%.  Потери тепла и затраты теплоснабжения при транспортировке теплоносителя сводятся к минимуму. В итоге расход тепла на теплоснабжение зданий на 10 — 20% ниже по сравнению с централизованными системами. Металлоемкость трубопроводов, подводящих к здан</w:t>
      </w:r>
      <w:r>
        <w:rPr>
          <w:color w:val="000000"/>
          <w:sz w:val="24"/>
          <w:szCs w:val="24"/>
          <w:lang w:eastAsia="ru-RU"/>
        </w:rPr>
        <w:t xml:space="preserve">ию тепловую энергию в виде газа, на порядок ниже металлоемкости трубопроводов, подводящих то же количество энергии в виде горячей воды. Надежность таких систем объясняется более низкой повреждаемостью газовых сетей по сравнению с водяными тепловыми сетями.</w:t>
      </w:r>
      <w:r>
        <w:rPr>
          <w:color w:val="000000"/>
          <w:sz w:val="24"/>
          <w:szCs w:val="24"/>
          <w:lang w:eastAsia="ru-RU"/>
        </w:rPr>
      </w:r>
      <w:r>
        <w:rPr>
          <w:color w:val="000000"/>
          <w:sz w:val="24"/>
          <w:szCs w:val="24"/>
          <w:lang w:eastAsia="ru-RU"/>
        </w:rPr>
      </w:r>
    </w:p>
    <w:p>
      <w:pPr>
        <w:ind w:firstLine="851"/>
        <w:jc w:val="both"/>
        <w:shd w:val="clear" w:color="auto" w:fill="ffffff"/>
        <w:widowControl/>
        <w:rPr>
          <w:color w:val="000000"/>
          <w:sz w:val="24"/>
          <w:szCs w:val="24"/>
          <w:lang w:eastAsia="ru-RU"/>
        </w:rPr>
      </w:pPr>
      <w:r>
        <w:rPr>
          <w:color w:val="000000"/>
          <w:sz w:val="24"/>
          <w:szCs w:val="24"/>
          <w:lang w:eastAsia="ru-RU"/>
        </w:rPr>
        <w:t xml:space="preserve">Для организации теплоснабжения  в  проектируемых  секционных жи</w:t>
      </w:r>
      <w:r>
        <w:rPr>
          <w:color w:val="000000"/>
          <w:sz w:val="24"/>
          <w:szCs w:val="24"/>
          <w:lang w:eastAsia="ru-RU"/>
        </w:rPr>
        <w:t xml:space="preserve">лых домах и общественных зданиях предлагается внедрять прогрессивные автономные источники тепла (АИТ)  -  поквартирные системы теплоснабжения (как разновидность децентрализации), при этом источник тепла установлен непосредственно у потребителя (у жильца). </w:t>
      </w:r>
      <w:r>
        <w:rPr>
          <w:color w:val="000000"/>
          <w:sz w:val="24"/>
          <w:szCs w:val="24"/>
          <w:lang w:eastAsia="ru-RU"/>
        </w:rPr>
        <w:t xml:space="preserve">В качестве теплогенератора в системе поквартирного теплоснабжения используется двухконтурный газовый котел с закрытой топкой, принудительным удалением дымовых газов, регулирующими термостатами выработки и отпуска тепла на отопление и горячее водоснабжение </w:t>
      </w:r>
      <w:r>
        <w:rPr>
          <w:color w:val="000000"/>
          <w:sz w:val="24"/>
          <w:szCs w:val="24"/>
          <w:lang w:eastAsia="ru-RU"/>
        </w:rPr>
        <w:t xml:space="preserve">(ГВС). Котел снабжен необходимыми блокировками и автоматикой безопасности. Теплогенераторы с закрытой топкой, в отличие от котлов с атмосферной горелкой, обеспечивают требуемый уровень безопасности и не оказывают влияния на воздухообмен в жилых помещениях.</w:t>
      </w:r>
      <w:r>
        <w:rPr>
          <w:color w:val="000000"/>
          <w:sz w:val="24"/>
          <w:szCs w:val="24"/>
          <w:lang w:eastAsia="ru-RU"/>
        </w:rPr>
      </w:r>
      <w:r>
        <w:rPr>
          <w:color w:val="000000"/>
          <w:sz w:val="24"/>
          <w:szCs w:val="24"/>
          <w:lang w:eastAsia="ru-RU"/>
        </w:rPr>
      </w:r>
    </w:p>
    <w:p>
      <w:pPr>
        <w:ind w:firstLine="851"/>
        <w:jc w:val="both"/>
        <w:shd w:val="clear" w:color="auto" w:fill="ffffff"/>
        <w:widowControl/>
        <w:rPr>
          <w:color w:val="000000"/>
          <w:sz w:val="24"/>
          <w:szCs w:val="24"/>
          <w:lang w:eastAsia="ru-RU"/>
        </w:rPr>
      </w:pPr>
      <w:r>
        <w:rPr>
          <w:color w:val="000000"/>
          <w:sz w:val="24"/>
          <w:szCs w:val="24"/>
          <w:lang w:eastAsia="ru-RU"/>
        </w:rPr>
        <w:t xml:space="preserve">Поквартирная система теплоснабжения целесообразна при строительстве нового здания, расположенного достаточно далеко от существующих котельных. Кроме того, эта система дает возмож</w:t>
      </w:r>
      <w:r>
        <w:rPr>
          <w:color w:val="000000"/>
          <w:sz w:val="24"/>
          <w:szCs w:val="24"/>
          <w:lang w:eastAsia="ru-RU"/>
        </w:rPr>
        <w:t xml:space="preserve">ность пользователю самостоятельно регулировать потребление тепла, а, следовательно, и затраты на отопление и ГВС в зависимости от экономических возможностей и физиологической потребности. Расчеты, выполненные ФГУП «СантехНИИпроект» (г. Москва), показывают,</w:t>
      </w:r>
      <w:r>
        <w:rPr>
          <w:color w:val="000000"/>
          <w:sz w:val="24"/>
          <w:szCs w:val="24"/>
          <w:lang w:eastAsia="ru-RU"/>
        </w:rPr>
        <w:t xml:space="preserve"> что при 100-процентной плате за газ, используемый для отопления и ГВС, с учетом стоимости сервисного обслуживания оборудования, затраты населения при поквартирной системе теплоснабжения будут меньше, чем при оплате с дотацией при централизованной системе.</w:t>
      </w:r>
      <w:r>
        <w:rPr>
          <w:color w:val="000000"/>
          <w:sz w:val="24"/>
          <w:szCs w:val="24"/>
          <w:lang w:eastAsia="ru-RU"/>
        </w:rPr>
      </w:r>
      <w:r>
        <w:rPr>
          <w:color w:val="000000"/>
          <w:sz w:val="24"/>
          <w:szCs w:val="24"/>
          <w:lang w:eastAsia="ru-RU"/>
        </w:rPr>
      </w:r>
    </w:p>
    <w:p>
      <w:pPr>
        <w:pStyle w:val="1247"/>
        <w:spacing w:before="2"/>
        <w:rPr>
          <w:b/>
          <w:sz w:val="17"/>
        </w:rPr>
      </w:pPr>
      <w:r>
        <w:rPr>
          <w:b/>
          <w:sz w:val="17"/>
        </w:rPr>
      </w:r>
      <w:r>
        <w:rPr>
          <w:b/>
          <w:sz w:val="17"/>
        </w:rPr>
      </w:r>
      <w:r>
        <w:rPr>
          <w:b/>
          <w:sz w:val="17"/>
        </w:rPr>
      </w:r>
    </w:p>
    <w:p>
      <w:pPr>
        <w:pStyle w:val="1248"/>
        <w:ind w:right="147" w:firstLine="733"/>
      </w:pPr>
      <w:r/>
      <w:bookmarkStart w:id="343" w:name="_bookmark189"/>
      <w:r/>
      <w:bookmarkStart w:id="344" w:name="_Toc130231974"/>
      <w:r/>
      <w:bookmarkStart w:id="345" w:name="_Toc165540754"/>
      <w:r/>
      <w:bookmarkEnd w:id="343"/>
      <w:r>
        <w:rPr>
          <w:lang w:eastAsia="ru-RU"/>
        </w:rPr>
        <w:t xml:space="preserve">2.6 </w:t>
      </w:r>
      <w:r>
        <w:t xml:space="preserve">Прогнозы приростов объёмов потребления тепловой энергии (</w:t>
      </w:r>
      <w:r>
        <w:t xml:space="preserve">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объёмов потребления тепловой энергии (мощности) производственными объектами с разделением</w:t>
      </w:r>
      <w:r>
        <w:rPr>
          <w:spacing w:val="-9"/>
        </w:rPr>
        <w:t xml:space="preserve"> </w:t>
      </w:r>
      <w:r>
        <w:t xml:space="preserve">по</w:t>
      </w:r>
      <w:r>
        <w:rPr>
          <w:spacing w:val="-8"/>
        </w:rPr>
        <w:t xml:space="preserve"> </w:t>
      </w:r>
      <w:r>
        <w:t xml:space="preserve">видам</w:t>
      </w:r>
      <w:r>
        <w:rPr>
          <w:spacing w:val="-11"/>
        </w:rPr>
        <w:t xml:space="preserve"> </w:t>
      </w:r>
      <w:r>
        <w:t xml:space="preserve">теплопотребления</w:t>
      </w:r>
      <w:r>
        <w:rPr>
          <w:spacing w:val="-9"/>
        </w:rPr>
        <w:t xml:space="preserve"> </w:t>
      </w:r>
      <w:r>
        <w:t xml:space="preserve">и</w:t>
      </w:r>
      <w:r>
        <w:rPr>
          <w:spacing w:val="-8"/>
        </w:rPr>
        <w:t xml:space="preserve"> </w:t>
      </w:r>
      <w:r>
        <w:t xml:space="preserve">по</w:t>
      </w:r>
      <w:r>
        <w:rPr>
          <w:spacing w:val="-8"/>
        </w:rPr>
        <w:t xml:space="preserve"> </w:t>
      </w:r>
      <w:r>
        <w:t xml:space="preserve">видам</w:t>
      </w:r>
      <w:r>
        <w:rPr>
          <w:spacing w:val="-11"/>
        </w:rPr>
        <w:t xml:space="preserve"> </w:t>
      </w:r>
      <w:r>
        <w:t xml:space="preserve">теплоносителя</w:t>
      </w:r>
      <w:r>
        <w:rPr>
          <w:spacing w:val="-9"/>
        </w:rPr>
        <w:t xml:space="preserve"> </w:t>
      </w:r>
      <w:r>
        <w:t xml:space="preserve">(горячая</w:t>
      </w:r>
      <w:r>
        <w:rPr>
          <w:spacing w:val="-9"/>
        </w:rPr>
        <w:t xml:space="preserve"> </w:t>
      </w:r>
      <w:r>
        <w:t xml:space="preserve">вода</w:t>
      </w:r>
      <w:r>
        <w:rPr>
          <w:spacing w:val="-8"/>
        </w:rPr>
        <w:t xml:space="preserve"> </w:t>
      </w:r>
      <w:r>
        <w:t xml:space="preserve">и</w:t>
      </w:r>
      <w:r>
        <w:rPr>
          <w:spacing w:val="-8"/>
        </w:rPr>
        <w:t xml:space="preserve"> </w:t>
      </w:r>
      <w:r>
        <w:t xml:space="preserve">пар) в зоне действия каждого из существующих или предлагаемых для строительства источников тепловой энергии на каждом этапе</w:t>
      </w:r>
      <w:bookmarkEnd w:id="344"/>
      <w:r/>
      <w:bookmarkEnd w:id="345"/>
      <w:r/>
      <w:r/>
    </w:p>
    <w:p>
      <w:pPr>
        <w:ind w:firstLine="851"/>
        <w:jc w:val="both"/>
        <w:spacing w:before="60"/>
        <w:shd w:val="clear" w:color="auto" w:fill="ffffff"/>
        <w:widowControl/>
        <w:rPr>
          <w:color w:val="000000"/>
          <w:sz w:val="24"/>
          <w:szCs w:val="24"/>
          <w:lang w:eastAsia="ru-RU"/>
        </w:rPr>
      </w:pPr>
      <w:r>
        <w:rPr>
          <w:color w:val="000000"/>
          <w:sz w:val="24"/>
          <w:szCs w:val="24"/>
          <w:lang w:eastAsia="ru-RU"/>
        </w:rPr>
        <w:t xml:space="preserve">Приростов объемов потребления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приростов объемов потребления тепловой энергии (мо</w:t>
      </w:r>
      <w:r>
        <w:rPr>
          <w:color w:val="000000"/>
          <w:sz w:val="24"/>
          <w:szCs w:val="24"/>
          <w:lang w:eastAsia="ru-RU"/>
        </w:rPr>
        <w:t xml:space="preserve">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 не планируется.</w:t>
      </w:r>
      <w:r>
        <w:rPr>
          <w:color w:val="000000"/>
          <w:sz w:val="24"/>
          <w:szCs w:val="24"/>
          <w:lang w:eastAsia="ru-RU"/>
        </w:rPr>
      </w:r>
      <w:r>
        <w:rPr>
          <w:color w:val="000000"/>
          <w:sz w:val="24"/>
          <w:szCs w:val="24"/>
          <w:lang w:eastAsia="ru-RU"/>
        </w:rPr>
      </w:r>
    </w:p>
    <w:p>
      <w:pPr>
        <w:pStyle w:val="1247"/>
        <w:spacing w:before="8"/>
        <w:rPr>
          <w:b/>
          <w:sz w:val="23"/>
        </w:rPr>
      </w:pPr>
      <w:r/>
      <w:bookmarkStart w:id="346" w:name="_bookmark190"/>
      <w:r/>
      <w:bookmarkEnd w:id="346"/>
      <w:r>
        <w:rPr>
          <w:b/>
          <w:sz w:val="23"/>
        </w:rPr>
      </w:r>
      <w:r>
        <w:rPr>
          <w:b/>
          <w:sz w:val="23"/>
        </w:rPr>
      </w:r>
    </w:p>
    <w:p>
      <w:pPr>
        <w:pStyle w:val="1248"/>
        <w:ind w:right="149" w:firstLine="733"/>
        <w:spacing w:before="0"/>
      </w:pPr>
      <w:r/>
      <w:bookmarkStart w:id="347" w:name="_bookmark191"/>
      <w:r/>
      <w:bookmarkStart w:id="348" w:name="_Toc130231975"/>
      <w:r/>
      <w:bookmarkStart w:id="349" w:name="_Toc165540755"/>
      <w:r/>
      <w:bookmarkEnd w:id="347"/>
      <w:r>
        <w:rPr>
          <w:lang w:eastAsia="ru-RU"/>
        </w:rPr>
        <w:t xml:space="preserve">2.7 </w:t>
      </w:r>
      <w:r>
        <w:t xml:space="preserve">Описание изменений показателей существующего и перспективного потребления тепловой энергии на цели теплоснабжения</w:t>
      </w:r>
      <w:bookmarkEnd w:id="348"/>
      <w:r/>
      <w:bookmarkEnd w:id="349"/>
      <w:r/>
      <w:r/>
    </w:p>
    <w:p>
      <w:pPr>
        <w:pStyle w:val="1247"/>
        <w:ind w:left="119" w:right="108" w:firstLine="709"/>
        <w:jc w:val="both"/>
        <w:spacing w:before="60"/>
      </w:pPr>
      <w:r>
        <w:t xml:space="preserve">Ранее схема теплоснабжения </w:t>
      </w:r>
      <w:r>
        <w:t xml:space="preserve">Юргамышского</w:t>
      </w:r>
      <w:r>
        <w:t xml:space="preserve"> муниципального округа не была разработана.</w:t>
      </w:r>
      <w:r/>
    </w:p>
    <w:p>
      <w:pPr>
        <w:pStyle w:val="1247"/>
        <w:ind w:left="119" w:right="153" w:firstLine="709"/>
        <w:jc w:val="both"/>
      </w:pPr>
      <w:r/>
      <w:r/>
    </w:p>
    <w:p>
      <w:pPr>
        <w:pStyle w:val="1248"/>
        <w:ind w:right="151" w:firstLine="733"/>
      </w:pPr>
      <w:r/>
      <w:bookmarkStart w:id="350" w:name="_bookmark192"/>
      <w:r/>
      <w:bookmarkStart w:id="351" w:name="_Toc130231976"/>
      <w:r/>
      <w:bookmarkStart w:id="352" w:name="_Toc165540756"/>
      <w:r/>
      <w:bookmarkEnd w:id="350"/>
      <w:r>
        <w:rPr>
          <w:lang w:eastAsia="ru-RU"/>
        </w:rPr>
        <w:t xml:space="preserve">2.7.1 </w:t>
      </w:r>
      <w:r>
        <w:t xml:space="preserve">Перечень объектов теплопотребления, подключённых к тепловым сетям существующих</w:t>
      </w:r>
      <w:r>
        <w:rPr>
          <w:spacing w:val="-14"/>
        </w:rPr>
        <w:t xml:space="preserve"> </w:t>
      </w:r>
      <w:r>
        <w:t xml:space="preserve">систем</w:t>
      </w:r>
      <w:r>
        <w:rPr>
          <w:spacing w:val="-14"/>
        </w:rPr>
        <w:t xml:space="preserve"> </w:t>
      </w:r>
      <w:r>
        <w:t xml:space="preserve">теплоснабжения</w:t>
      </w:r>
      <w:r>
        <w:rPr>
          <w:spacing w:val="-15"/>
        </w:rPr>
        <w:t xml:space="preserve"> </w:t>
      </w:r>
      <w:r>
        <w:t xml:space="preserve">в</w:t>
      </w:r>
      <w:r>
        <w:rPr>
          <w:spacing w:val="-15"/>
        </w:rPr>
        <w:t xml:space="preserve"> </w:t>
      </w:r>
      <w:r>
        <w:t xml:space="preserve">период,</w:t>
      </w:r>
      <w:r>
        <w:rPr>
          <w:spacing w:val="-15"/>
        </w:rPr>
        <w:t xml:space="preserve"> </w:t>
      </w:r>
      <w:r>
        <w:t xml:space="preserve">предшествующий</w:t>
      </w:r>
      <w:r>
        <w:rPr>
          <w:spacing w:val="-14"/>
        </w:rPr>
        <w:t xml:space="preserve"> </w:t>
      </w:r>
      <w:r>
        <w:t xml:space="preserve">актуализации</w:t>
      </w:r>
      <w:r>
        <w:rPr>
          <w:spacing w:val="-14"/>
        </w:rPr>
        <w:t xml:space="preserve"> </w:t>
      </w:r>
      <w:r>
        <w:t xml:space="preserve">схемы </w:t>
      </w:r>
      <w:r>
        <w:rPr>
          <w:spacing w:val="-2"/>
        </w:rPr>
        <w:t xml:space="preserve">теплоснабжения</w:t>
      </w:r>
      <w:bookmarkEnd w:id="351"/>
      <w:r/>
      <w:bookmarkEnd w:id="352"/>
      <w:r/>
      <w:r/>
    </w:p>
    <w:p>
      <w:pPr>
        <w:pStyle w:val="1247"/>
        <w:ind w:left="119" w:right="108" w:firstLine="709"/>
        <w:jc w:val="both"/>
        <w:spacing w:before="60"/>
      </w:pPr>
      <w:r>
        <w:t xml:space="preserve">Ранее схема теплоснабжения </w:t>
      </w:r>
      <w:r>
        <w:t xml:space="preserve">Юргамышского</w:t>
      </w:r>
      <w:r>
        <w:t xml:space="preserve"> муниципального округа не была разработана.</w:t>
      </w:r>
      <w:r/>
    </w:p>
    <w:p>
      <w:pPr>
        <w:pStyle w:val="1247"/>
        <w:rPr>
          <w:sz w:val="27"/>
        </w:rPr>
      </w:pPr>
      <w:r>
        <w:rPr>
          <w:sz w:val="27"/>
        </w:rPr>
      </w:r>
      <w:r>
        <w:rPr>
          <w:sz w:val="27"/>
        </w:rPr>
      </w:r>
      <w:r>
        <w:rPr>
          <w:sz w:val="27"/>
        </w:rPr>
      </w:r>
    </w:p>
    <w:p>
      <w:pPr>
        <w:pStyle w:val="1248"/>
        <w:ind w:right="143" w:firstLine="733"/>
      </w:pPr>
      <w:r/>
      <w:bookmarkStart w:id="353" w:name="_bookmark193"/>
      <w:r/>
      <w:bookmarkStart w:id="354" w:name="_Toc130231977"/>
      <w:r/>
      <w:bookmarkStart w:id="355" w:name="_Toc165540757"/>
      <w:r/>
      <w:bookmarkEnd w:id="353"/>
      <w:r>
        <w:rPr>
          <w:lang w:eastAsia="ru-RU"/>
        </w:rPr>
        <w:t xml:space="preserve">2.7.2 </w:t>
      </w:r>
      <w:r>
        <w:t xml:space="preserve">Актуализированный прогноз перспективной застройки относительно указанного в утверждённой схеме теплоснабжения прогноза перспективной застройки</w:t>
      </w:r>
      <w:bookmarkEnd w:id="354"/>
      <w:r/>
      <w:bookmarkEnd w:id="355"/>
      <w:r/>
      <w:r/>
    </w:p>
    <w:p>
      <w:pPr>
        <w:pStyle w:val="1247"/>
        <w:ind w:left="119" w:right="147" w:firstLine="709"/>
        <w:jc w:val="both"/>
        <w:spacing w:before="60"/>
      </w:pPr>
      <w:r>
        <w:t xml:space="preserve">Прогноз перспективной застройки представлен в разделе 2.2 «Прогнозы приростов площади</w:t>
      </w:r>
      <w:r>
        <w:rPr>
          <w:spacing w:val="-10"/>
        </w:rPr>
        <w:t xml:space="preserve"> </w:t>
      </w:r>
      <w:r>
        <w:t xml:space="preserve">строительных</w:t>
      </w:r>
      <w:r>
        <w:rPr>
          <w:spacing w:val="-10"/>
        </w:rPr>
        <w:t xml:space="preserve"> </w:t>
      </w:r>
      <w:r>
        <w:t xml:space="preserve">фондов,</w:t>
      </w:r>
      <w:r>
        <w:rPr>
          <w:spacing w:val="-12"/>
        </w:rPr>
        <w:t xml:space="preserve"> </w:t>
      </w:r>
      <w:r>
        <w:t xml:space="preserve">сгруппированные</w:t>
      </w:r>
      <w:r>
        <w:rPr>
          <w:spacing w:val="-13"/>
        </w:rPr>
        <w:t xml:space="preserve"> </w:t>
      </w:r>
      <w:r>
        <w:t xml:space="preserve">по</w:t>
      </w:r>
      <w:r>
        <w:rPr>
          <w:spacing w:val="-12"/>
        </w:rPr>
        <w:t xml:space="preserve"> </w:t>
      </w:r>
      <w:r>
        <w:t xml:space="preserve">расчётным</w:t>
      </w:r>
      <w:r>
        <w:rPr>
          <w:spacing w:val="-13"/>
        </w:rPr>
        <w:t xml:space="preserve"> </w:t>
      </w:r>
      <w:r>
        <w:t xml:space="preserve">элементам</w:t>
      </w:r>
      <w:r>
        <w:rPr>
          <w:spacing w:val="-13"/>
        </w:rPr>
        <w:t xml:space="preserve"> </w:t>
      </w:r>
      <w:r>
        <w:t xml:space="preserve">территориального деления и по зонам действия источников тепловой энергии с разделением объектов </w:t>
      </w:r>
      <w:r>
        <w:rPr>
          <w:spacing w:val="-2"/>
        </w:rPr>
        <w:t xml:space="preserve">строительства на многоквартирные дома, индивидуальные жилые дома, общественные здания, </w:t>
      </w:r>
      <w:r>
        <w:t xml:space="preserve">производственные здания промышленных предприятий, на каждом этапе».</w:t>
      </w:r>
      <w:r/>
    </w:p>
    <w:p>
      <w:pPr>
        <w:pStyle w:val="1247"/>
        <w:spacing w:before="1"/>
        <w:rPr>
          <w:sz w:val="27"/>
        </w:rPr>
      </w:pPr>
      <w:r>
        <w:rPr>
          <w:sz w:val="27"/>
        </w:rPr>
      </w:r>
      <w:r>
        <w:rPr>
          <w:sz w:val="27"/>
        </w:rPr>
      </w:r>
      <w:r>
        <w:rPr>
          <w:sz w:val="27"/>
        </w:rPr>
      </w:r>
    </w:p>
    <w:p>
      <w:pPr>
        <w:pStyle w:val="1248"/>
        <w:ind w:left="826" w:firstLine="25"/>
      </w:pPr>
      <w:r/>
      <w:bookmarkStart w:id="356" w:name="_bookmark194"/>
      <w:r/>
      <w:bookmarkStart w:id="357" w:name="_Toc130231978"/>
      <w:r/>
      <w:bookmarkStart w:id="358" w:name="_Toc165540758"/>
      <w:r/>
      <w:bookmarkEnd w:id="356"/>
      <w:r>
        <w:rPr>
          <w:lang w:eastAsia="ru-RU"/>
        </w:rPr>
        <w:t xml:space="preserve">2.7.3 </w:t>
      </w:r>
      <w:r>
        <w:t xml:space="preserve">Расчётная</w:t>
      </w:r>
      <w:r>
        <w:rPr>
          <w:spacing w:val="-3"/>
        </w:rPr>
        <w:t xml:space="preserve"> </w:t>
      </w:r>
      <w:r>
        <w:t xml:space="preserve">тепловая</w:t>
      </w:r>
      <w:r>
        <w:rPr>
          <w:spacing w:val="-4"/>
        </w:rPr>
        <w:t xml:space="preserve"> </w:t>
      </w:r>
      <w:r>
        <w:t xml:space="preserve">нагрузка</w:t>
      </w:r>
      <w:r>
        <w:rPr>
          <w:spacing w:val="-3"/>
        </w:rPr>
        <w:t xml:space="preserve"> </w:t>
      </w:r>
      <w:r>
        <w:t xml:space="preserve">на</w:t>
      </w:r>
      <w:r>
        <w:rPr>
          <w:spacing w:val="-1"/>
        </w:rPr>
        <w:t xml:space="preserve"> </w:t>
      </w:r>
      <w:r>
        <w:t xml:space="preserve">коллекторах</w:t>
      </w:r>
      <w:r>
        <w:rPr>
          <w:spacing w:val="-3"/>
        </w:rPr>
        <w:t xml:space="preserve"> </w:t>
      </w:r>
      <w:r>
        <w:t xml:space="preserve">источников</w:t>
      </w:r>
      <w:r>
        <w:rPr>
          <w:spacing w:val="-3"/>
        </w:rPr>
        <w:t xml:space="preserve"> </w:t>
      </w:r>
      <w:r>
        <w:t xml:space="preserve">тепловой</w:t>
      </w:r>
      <w:r>
        <w:rPr>
          <w:spacing w:val="-2"/>
        </w:rPr>
        <w:t xml:space="preserve"> энергии</w:t>
      </w:r>
      <w:bookmarkEnd w:id="357"/>
      <w:r/>
      <w:bookmarkEnd w:id="358"/>
      <w:r/>
      <w:r/>
    </w:p>
    <w:p>
      <w:pPr>
        <w:pStyle w:val="1247"/>
        <w:ind w:left="119" w:right="153" w:firstLine="709"/>
        <w:jc w:val="both"/>
        <w:spacing w:before="60"/>
      </w:pPr>
      <w:r>
        <w:t xml:space="preserve">Значения тепловых нагрузок на коллекторах источников тепловой энергии представлены в пункте 1.5.2 «Описание значений расчётных тепловых нагрузок на коллекторах источников тепловой энергии».</w:t>
      </w:r>
      <w:r/>
    </w:p>
    <w:p>
      <w:pPr>
        <w:pStyle w:val="1247"/>
        <w:ind w:left="119" w:right="153" w:firstLine="709"/>
        <w:jc w:val="both"/>
      </w:pPr>
      <w:r/>
      <w:r/>
    </w:p>
    <w:p>
      <w:pPr>
        <w:pStyle w:val="1248"/>
        <w:ind w:left="1373" w:hanging="522"/>
        <w:spacing w:before="125"/>
      </w:pPr>
      <w:r/>
      <w:bookmarkStart w:id="359" w:name="_bookmark195"/>
      <w:r/>
      <w:bookmarkStart w:id="360" w:name="_Toc130231979"/>
      <w:r/>
      <w:bookmarkStart w:id="361" w:name="_Toc165540759"/>
      <w:r/>
      <w:bookmarkEnd w:id="359"/>
      <w:r>
        <w:rPr>
          <w:lang w:eastAsia="ru-RU"/>
        </w:rPr>
        <w:t xml:space="preserve">2.7.4 </w:t>
      </w:r>
      <w:r>
        <w:t xml:space="preserve">Фактические</w:t>
      </w:r>
      <w:r>
        <w:rPr>
          <w:spacing w:val="-6"/>
        </w:rPr>
        <w:t xml:space="preserve"> </w:t>
      </w:r>
      <w:r>
        <w:t xml:space="preserve">расходы</w:t>
      </w:r>
      <w:r>
        <w:rPr>
          <w:spacing w:val="-2"/>
        </w:rPr>
        <w:t xml:space="preserve"> </w:t>
      </w:r>
      <w:r>
        <w:t xml:space="preserve">теплоносителя</w:t>
      </w:r>
      <w:r>
        <w:rPr>
          <w:spacing w:val="-4"/>
        </w:rPr>
        <w:t xml:space="preserve"> </w:t>
      </w:r>
      <w:r>
        <w:t xml:space="preserve">в</w:t>
      </w:r>
      <w:r>
        <w:rPr>
          <w:spacing w:val="-3"/>
        </w:rPr>
        <w:t xml:space="preserve"> </w:t>
      </w:r>
      <w:r>
        <w:t xml:space="preserve">отопительный</w:t>
      </w:r>
      <w:r>
        <w:rPr>
          <w:spacing w:val="-3"/>
        </w:rPr>
        <w:t xml:space="preserve"> </w:t>
      </w:r>
      <w:r>
        <w:t xml:space="preserve">и</w:t>
      </w:r>
      <w:r>
        <w:rPr>
          <w:spacing w:val="-2"/>
        </w:rPr>
        <w:t xml:space="preserve"> </w:t>
      </w:r>
      <w:r>
        <w:t xml:space="preserve">летний</w:t>
      </w:r>
      <w:r>
        <w:rPr>
          <w:spacing w:val="-4"/>
        </w:rPr>
        <w:t xml:space="preserve"> </w:t>
      </w:r>
      <w:r>
        <w:rPr>
          <w:spacing w:val="-2"/>
        </w:rPr>
        <w:t xml:space="preserve">периоды</w:t>
      </w:r>
      <w:bookmarkEnd w:id="360"/>
      <w:r/>
      <w:bookmarkEnd w:id="361"/>
      <w:r/>
      <w:r/>
    </w:p>
    <w:p>
      <w:pPr>
        <w:pStyle w:val="1247"/>
        <w:ind w:left="119" w:right="153" w:firstLine="709"/>
        <w:jc w:val="both"/>
        <w:spacing w:before="60"/>
      </w:pPr>
      <w:r>
        <w:t xml:space="preserve">Значения расходов теплоносителя представлены в разделе 1.7 «Балансы </w:t>
      </w:r>
      <w:r>
        <w:rPr>
          <w:spacing w:val="-2"/>
        </w:rPr>
        <w:t xml:space="preserve">теплоносителя».</w:t>
      </w:r>
      <w:r/>
    </w:p>
    <w:p>
      <w:pPr>
        <w:jc w:val="both"/>
        <w:sectPr>
          <w:footnotePr/>
          <w:endnotePr/>
          <w:type w:val="nextPage"/>
          <w:pgSz w:w="11910" w:h="16840" w:orient="portrait"/>
          <w:pgMar w:top="1100" w:right="700" w:bottom="940" w:left="1300" w:header="0" w:footer="758" w:gutter="0"/>
          <w:cols w:num="1" w:sep="0" w:space="720" w:equalWidth="1"/>
          <w:docGrid w:linePitch="360"/>
        </w:sectPr>
      </w:pPr>
      <w:r/>
      <w:r/>
    </w:p>
    <w:p>
      <w:pPr>
        <w:pStyle w:val="1248"/>
        <w:ind w:left="826"/>
        <w:jc w:val="left"/>
        <w:spacing w:before="71"/>
      </w:pPr>
      <w:r/>
      <w:bookmarkStart w:id="362" w:name="_bookmark196"/>
      <w:r/>
      <w:bookmarkStart w:id="363" w:name="_Toc130231980"/>
      <w:r/>
      <w:bookmarkStart w:id="364" w:name="_Toc165540760"/>
      <w:r/>
      <w:bookmarkEnd w:id="362"/>
      <w:r>
        <w:t xml:space="preserve">Глава</w:t>
      </w:r>
      <w:r>
        <w:rPr>
          <w:spacing w:val="-7"/>
        </w:rPr>
        <w:t xml:space="preserve"> </w:t>
      </w:r>
      <w:r>
        <w:t xml:space="preserve">3</w:t>
      </w:r>
      <w:r>
        <w:rPr>
          <w:spacing w:val="4"/>
        </w:rPr>
        <w:t xml:space="preserve"> </w:t>
      </w:r>
      <w:r>
        <w:t xml:space="preserve">Электронная</w:t>
      </w:r>
      <w:r>
        <w:rPr>
          <w:spacing w:val="-4"/>
        </w:rPr>
        <w:t xml:space="preserve"> </w:t>
      </w:r>
      <w:r>
        <w:t xml:space="preserve">модель</w:t>
      </w:r>
      <w:r>
        <w:rPr>
          <w:spacing w:val="-3"/>
        </w:rPr>
        <w:t xml:space="preserve"> </w:t>
      </w:r>
      <w:r>
        <w:t xml:space="preserve">системы</w:t>
      </w:r>
      <w:r>
        <w:rPr>
          <w:spacing w:val="-4"/>
        </w:rPr>
        <w:t xml:space="preserve"> </w:t>
      </w:r>
      <w:r>
        <w:t xml:space="preserve">теплоснабжения</w:t>
      </w:r>
      <w:r>
        <w:rPr>
          <w:spacing w:val="-3"/>
        </w:rPr>
        <w:t xml:space="preserve"> </w:t>
      </w:r>
      <w:r>
        <w:rPr>
          <w:spacing w:val="-2"/>
        </w:rPr>
        <w:t xml:space="preserve">поселения</w:t>
      </w:r>
      <w:bookmarkEnd w:id="363"/>
      <w:r/>
      <w:bookmarkEnd w:id="364"/>
      <w:r/>
      <w:r/>
    </w:p>
    <w:p>
      <w:pPr>
        <w:pStyle w:val="1247"/>
        <w:ind w:left="118" w:right="150" w:firstLine="707"/>
        <w:jc w:val="both"/>
        <w:spacing w:before="115"/>
        <w:rPr>
          <w:spacing w:val="-2"/>
        </w:rPr>
      </w:pPr>
      <w:r>
        <w:t xml:space="preserve">В соответствии с постановлением правительства Российской федерации №154 от 22</w:t>
      </w:r>
      <w:r>
        <w:rPr>
          <w:spacing w:val="40"/>
        </w:rPr>
        <w:t xml:space="preserve"> </w:t>
      </w:r>
      <w:r>
        <w:t xml:space="preserve">февраля</w:t>
      </w:r>
      <w:r>
        <w:rPr>
          <w:spacing w:val="40"/>
        </w:rPr>
        <w:t xml:space="preserve"> </w:t>
      </w:r>
      <w:r>
        <w:t xml:space="preserve">2012</w:t>
      </w:r>
      <w:r>
        <w:rPr>
          <w:spacing w:val="40"/>
        </w:rPr>
        <w:t xml:space="preserve"> </w:t>
      </w:r>
      <w:r>
        <w:t xml:space="preserve">года</w:t>
      </w:r>
      <w:r>
        <w:rPr>
          <w:spacing w:val="40"/>
        </w:rPr>
        <w:t xml:space="preserve"> </w:t>
      </w:r>
      <w:r>
        <w:t xml:space="preserve">«О</w:t>
      </w:r>
      <w:r>
        <w:rPr>
          <w:spacing w:val="40"/>
        </w:rPr>
        <w:t xml:space="preserve"> </w:t>
      </w:r>
      <w:r>
        <w:t xml:space="preserve">требованиях</w:t>
      </w:r>
      <w:r>
        <w:rPr>
          <w:spacing w:val="40"/>
        </w:rPr>
        <w:t xml:space="preserve"> </w:t>
      </w:r>
      <w:r>
        <w:t xml:space="preserve">к</w:t>
      </w:r>
      <w:r>
        <w:rPr>
          <w:spacing w:val="40"/>
        </w:rPr>
        <w:t xml:space="preserve"> </w:t>
      </w:r>
      <w:r>
        <w:t xml:space="preserve">схемам</w:t>
      </w:r>
      <w:r>
        <w:rPr>
          <w:spacing w:val="40"/>
        </w:rPr>
        <w:t xml:space="preserve"> </w:t>
      </w:r>
      <w:r>
        <w:t xml:space="preserve">теплоснабжения,</w:t>
      </w:r>
      <w:r>
        <w:rPr>
          <w:spacing w:val="40"/>
        </w:rPr>
        <w:t xml:space="preserve"> </w:t>
      </w:r>
      <w:r>
        <w:t xml:space="preserve">порядку</w:t>
      </w:r>
      <w:r>
        <w:rPr>
          <w:spacing w:val="40"/>
        </w:rPr>
        <w:t xml:space="preserve"> </w:t>
      </w:r>
      <w:r>
        <w:t xml:space="preserve">их</w:t>
      </w:r>
      <w:r>
        <w:rPr>
          <w:spacing w:val="40"/>
        </w:rPr>
        <w:t xml:space="preserve"> </w:t>
      </w:r>
      <w:r>
        <w:t xml:space="preserve">разработки</w:t>
      </w:r>
      <w:r>
        <w:rPr>
          <w:spacing w:val="40"/>
        </w:rPr>
        <w:t xml:space="preserve"> </w:t>
      </w:r>
      <w:r>
        <w:t xml:space="preserve">и утверждения»,</w:t>
      </w:r>
      <w:r>
        <w:rPr>
          <w:spacing w:val="80"/>
        </w:rPr>
        <w:t xml:space="preserve"> </w:t>
      </w:r>
      <w:r>
        <w:t xml:space="preserve">разработка</w:t>
      </w:r>
      <w:r>
        <w:rPr>
          <w:spacing w:val="80"/>
        </w:rPr>
        <w:t xml:space="preserve"> </w:t>
      </w:r>
      <w:r>
        <w:t xml:space="preserve">электронной</w:t>
      </w:r>
      <w:r>
        <w:rPr>
          <w:spacing w:val="80"/>
        </w:rPr>
        <w:t xml:space="preserve"> </w:t>
      </w:r>
      <w:r>
        <w:t xml:space="preserve">модели</w:t>
      </w:r>
      <w:r>
        <w:rPr>
          <w:spacing w:val="80"/>
        </w:rPr>
        <w:t xml:space="preserve"> </w:t>
      </w:r>
      <w:r>
        <w:t xml:space="preserve">системы</w:t>
      </w:r>
      <w:r>
        <w:rPr>
          <w:spacing w:val="80"/>
        </w:rPr>
        <w:t xml:space="preserve"> </w:t>
      </w:r>
      <w:r>
        <w:t xml:space="preserve">теплоснабжения</w:t>
      </w:r>
      <w:r>
        <w:rPr>
          <w:spacing w:val="80"/>
        </w:rPr>
        <w:t xml:space="preserve"> </w:t>
      </w:r>
      <w:r>
        <w:t xml:space="preserve">не</w:t>
      </w:r>
      <w:r>
        <w:rPr>
          <w:spacing w:val="80"/>
        </w:rPr>
        <w:t xml:space="preserve"> </w:t>
      </w:r>
      <w:r>
        <w:t xml:space="preserve">является</w:t>
      </w:r>
      <w:r>
        <w:rPr>
          <w:spacing w:val="80"/>
        </w:rPr>
        <w:t xml:space="preserve"> </w:t>
      </w:r>
      <w:r>
        <w:t xml:space="preserve">обязательной к выполнению для поселений численностью населения</w:t>
      </w:r>
      <w:r>
        <w:rPr>
          <w:spacing w:val="-1"/>
        </w:rPr>
        <w:t xml:space="preserve"> </w:t>
      </w:r>
      <w:r>
        <w:t xml:space="preserve">менее 100 тыс. человек.</w:t>
      </w:r>
      <w:r>
        <w:rPr>
          <w:spacing w:val="-2"/>
        </w:rPr>
      </w:r>
      <w:r>
        <w:rPr>
          <w:spacing w:val="-2"/>
        </w:rPr>
      </w:r>
    </w:p>
    <w:p>
      <w:pPr>
        <w:pStyle w:val="1247"/>
        <w:ind w:left="118"/>
        <w:spacing w:before="1"/>
      </w:pPr>
      <w:r/>
      <w:r/>
    </w:p>
    <w:p>
      <w:pPr>
        <w:sectPr>
          <w:footnotePr/>
          <w:endnotePr/>
          <w:type w:val="nextPage"/>
          <w:pgSz w:w="11910" w:h="16840" w:orient="portrait"/>
          <w:pgMar w:top="1040" w:right="700" w:bottom="940" w:left="1300" w:header="0" w:footer="758" w:gutter="0"/>
          <w:cols w:num="1" w:sep="0" w:space="720" w:equalWidth="1"/>
          <w:docGrid w:linePitch="360"/>
        </w:sectPr>
      </w:pPr>
      <w:r/>
      <w:r/>
    </w:p>
    <w:p>
      <w:pPr>
        <w:pStyle w:val="1248"/>
        <w:ind w:right="150" w:firstLine="707"/>
        <w:spacing w:before="71"/>
      </w:pPr>
      <w:r/>
      <w:bookmarkStart w:id="365" w:name="_bookmark197"/>
      <w:r/>
      <w:bookmarkStart w:id="366" w:name="_Toc130231981"/>
      <w:r/>
      <w:bookmarkStart w:id="367" w:name="_Toc165540761"/>
      <w:r/>
      <w:bookmarkEnd w:id="365"/>
      <w:r>
        <w:t xml:space="preserve">Глава</w:t>
      </w:r>
      <w:r>
        <w:rPr>
          <w:spacing w:val="-3"/>
        </w:rPr>
        <w:t xml:space="preserve"> </w:t>
      </w:r>
      <w:r>
        <w:t xml:space="preserve">4 Существующие и перспективные балансы тепловой мощности источников тепловой энергии и тепловой нагрузки потребителей</w:t>
      </w:r>
      <w:bookmarkEnd w:id="366"/>
      <w:r/>
      <w:bookmarkEnd w:id="367"/>
      <w:r/>
      <w:r/>
    </w:p>
    <w:p>
      <w:pPr>
        <w:pStyle w:val="1248"/>
        <w:ind w:right="145" w:firstLine="733"/>
        <w:spacing w:before="120"/>
      </w:pPr>
      <w:r/>
      <w:bookmarkStart w:id="368" w:name="_bookmark198"/>
      <w:r/>
      <w:bookmarkStart w:id="369" w:name="_Toc130231982"/>
      <w:r/>
      <w:bookmarkStart w:id="370" w:name="_Toc165540762"/>
      <w:r/>
      <w:bookmarkEnd w:id="368"/>
      <w:r>
        <w:rPr>
          <w:lang w:eastAsia="ru-RU"/>
        </w:rPr>
        <w:t xml:space="preserve">4.1 </w:t>
      </w:r>
      <w:r>
        <w:t xml:space="preserve">Балансы существующей на базовый период схемы теплоснабжени</w:t>
      </w:r>
      <w:r>
        <w:t xml:space="preserve">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w:t>
      </w:r>
      <w:r>
        <w:t xml:space="preserve">анавливаемых на основании величины расчётной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w:t>
      </w:r>
      <w:r>
        <w:t xml:space="preserve">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w:t>
      </w:r>
      <w:r>
        <w:rPr>
          <w:spacing w:val="-2"/>
        </w:rPr>
        <w:t xml:space="preserve">аренды</w:t>
      </w:r>
      <w:bookmarkEnd w:id="369"/>
      <w:r/>
      <w:bookmarkEnd w:id="370"/>
      <w:r/>
      <w:r/>
    </w:p>
    <w:p>
      <w:pPr>
        <w:jc w:val="right"/>
        <w:rPr>
          <w:sz w:val="24"/>
          <w:szCs w:val="24"/>
        </w:rPr>
      </w:pPr>
      <w:r/>
      <w:bookmarkStart w:id="371" w:name="_bookmark199"/>
      <w:r/>
      <w:bookmarkEnd w:id="371"/>
      <w:r>
        <w:rPr>
          <w:sz w:val="24"/>
          <w:szCs w:val="24"/>
        </w:rPr>
        <w:t xml:space="preserve">Таблица </w:t>
      </w:r>
      <w:r>
        <w:rPr>
          <w:sz w:val="24"/>
          <w:szCs w:val="24"/>
        </w:rPr>
        <w:t xml:space="preserve">4.1.1</w:t>
      </w:r>
      <w:r>
        <w:rPr>
          <w:sz w:val="24"/>
          <w:szCs w:val="24"/>
        </w:rPr>
      </w:r>
      <w:r>
        <w:rPr>
          <w:sz w:val="24"/>
          <w:szCs w:val="24"/>
        </w:rPr>
      </w:r>
    </w:p>
    <w:p>
      <w:pPr>
        <w:jc w:val="center"/>
        <w:rPr>
          <w:sz w:val="24"/>
          <w:szCs w:val="24"/>
        </w:rPr>
      </w:pPr>
      <w:r>
        <w:rPr>
          <w:sz w:val="24"/>
          <w:szCs w:val="24"/>
        </w:rPr>
        <w:t xml:space="preserve">Балансы тепловой энергии (мощности) и перспективной тепловой нагрузки источников тепловой энергии </w:t>
      </w:r>
      <w:r>
        <w:rPr>
          <w:sz w:val="24"/>
          <w:szCs w:val="24"/>
        </w:rPr>
        <w:t xml:space="preserve">Юргамышского</w:t>
      </w:r>
      <w:r>
        <w:rPr>
          <w:sz w:val="24"/>
          <w:szCs w:val="24"/>
        </w:rPr>
        <w:t xml:space="preserve"> муниципального округа</w:t>
      </w:r>
      <w:r>
        <w:rPr>
          <w:sz w:val="24"/>
          <w:szCs w:val="24"/>
        </w:rPr>
      </w:r>
      <w:r>
        <w:rPr>
          <w:sz w:val="24"/>
          <w:szCs w:val="24"/>
        </w:rPr>
      </w:r>
    </w:p>
    <w:tbl>
      <w:tblPr>
        <w:tblStyle w:val="1237"/>
        <w:tblW w:w="4888" w:type="pct"/>
        <w:tblInd w:w="137"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ook w:val="01E0" w:firstRow="1" w:lastRow="1" w:firstColumn="1" w:lastColumn="1" w:noHBand="0" w:noVBand="0"/>
      </w:tblPr>
      <w:tblGrid>
        <w:gridCol w:w="4394"/>
        <w:gridCol w:w="817"/>
        <w:gridCol w:w="889"/>
        <w:gridCol w:w="879"/>
        <w:gridCol w:w="852"/>
        <w:gridCol w:w="852"/>
        <w:gridCol w:w="956"/>
      </w:tblGrid>
      <w:tr>
        <w:tblPrEx/>
        <w:trPr>
          <w:trHeight w:val="277"/>
        </w:trPr>
        <w:tc>
          <w:tcPr>
            <w:tcW w:w="2279" w:type="pct"/>
            <w:vAlign w:val="center"/>
            <w:vMerge w:val="restart"/>
            <w:textDirection w:val="lrTb"/>
            <w:noWrap w:val="false"/>
          </w:tcPr>
          <w:p>
            <w:pPr>
              <w:pStyle w:val="1251"/>
              <w:ind w:left="11" w:right="4"/>
              <w:rPr>
                <w:sz w:val="20"/>
                <w:szCs w:val="20"/>
              </w:rPr>
            </w:pPr>
            <w:r/>
            <w:bookmarkStart w:id="372" w:name="_Toc130231983"/>
            <w:r>
              <w:rPr>
                <w:spacing w:val="-2"/>
                <w:sz w:val="20"/>
                <w:szCs w:val="20"/>
              </w:rPr>
              <w:t xml:space="preserve">Наименование</w:t>
            </w:r>
            <w:r>
              <w:rPr>
                <w:sz w:val="20"/>
                <w:szCs w:val="20"/>
              </w:rPr>
              <w:t xml:space="preserve"> </w:t>
            </w:r>
            <w:r>
              <w:rPr>
                <w:spacing w:val="-2"/>
                <w:sz w:val="20"/>
                <w:szCs w:val="20"/>
              </w:rPr>
              <w:t xml:space="preserve">показателя</w:t>
            </w:r>
            <w:r>
              <w:rPr>
                <w:sz w:val="20"/>
                <w:szCs w:val="20"/>
              </w:rPr>
            </w:r>
            <w:r>
              <w:rPr>
                <w:sz w:val="20"/>
                <w:szCs w:val="20"/>
              </w:rPr>
            </w:r>
          </w:p>
        </w:tc>
        <w:tc>
          <w:tcPr>
            <w:gridSpan w:val="6"/>
            <w:tcW w:w="2721" w:type="pct"/>
            <w:vAlign w:val="center"/>
            <w:textDirection w:val="lrTb"/>
            <w:noWrap w:val="false"/>
          </w:tcPr>
          <w:p>
            <w:pPr>
              <w:pStyle w:val="1251"/>
              <w:ind w:left="11" w:right="4"/>
              <w:rPr>
                <w:sz w:val="20"/>
                <w:szCs w:val="20"/>
              </w:rPr>
            </w:pPr>
            <w:r>
              <w:rPr>
                <w:sz w:val="20"/>
                <w:szCs w:val="20"/>
              </w:rPr>
              <w:t xml:space="preserve">Значение</w:t>
            </w:r>
            <w:r>
              <w:rPr>
                <w:spacing w:val="-3"/>
                <w:sz w:val="20"/>
                <w:szCs w:val="20"/>
              </w:rPr>
              <w:t xml:space="preserve"> </w:t>
            </w:r>
            <w:r>
              <w:rPr>
                <w:sz w:val="20"/>
                <w:szCs w:val="20"/>
              </w:rPr>
              <w:t xml:space="preserve">показателя</w:t>
            </w:r>
            <w:r>
              <w:rPr>
                <w:sz w:val="20"/>
                <w:szCs w:val="20"/>
              </w:rPr>
            </w:r>
            <w:r>
              <w:rPr>
                <w:sz w:val="20"/>
                <w:szCs w:val="20"/>
              </w:rPr>
            </w:r>
          </w:p>
        </w:tc>
      </w:tr>
      <w:tr>
        <w:tblPrEx/>
        <w:trPr>
          <w:trHeight w:val="275"/>
        </w:trPr>
        <w:tc>
          <w:tcPr>
            <w:tcBorders>
              <w:top w:val="none" w:color="000000" w:sz="4" w:space="0"/>
            </w:tcBorders>
            <w:tcW w:w="2279" w:type="pct"/>
            <w:vAlign w:val="center"/>
            <w:vMerge w:val="continue"/>
            <w:textDirection w:val="lrTb"/>
            <w:noWrap w:val="false"/>
          </w:tcPr>
          <w:p>
            <w:pPr>
              <w:ind w:left="11" w:right="4"/>
              <w:jc w:val="center"/>
              <w:rPr>
                <w:sz w:val="20"/>
                <w:szCs w:val="20"/>
              </w:rPr>
            </w:pPr>
            <w:r>
              <w:rPr>
                <w:sz w:val="20"/>
                <w:szCs w:val="20"/>
              </w:rPr>
            </w:r>
            <w:r>
              <w:rPr>
                <w:sz w:val="20"/>
                <w:szCs w:val="20"/>
              </w:rPr>
            </w:r>
            <w:r>
              <w:rPr>
                <w:sz w:val="20"/>
                <w:szCs w:val="20"/>
              </w:rPr>
            </w:r>
          </w:p>
        </w:tc>
        <w:tc>
          <w:tcPr>
            <w:tcW w:w="424" w:type="pct"/>
            <w:vAlign w:val="center"/>
            <w:textDirection w:val="lrTb"/>
            <w:noWrap w:val="false"/>
          </w:tcPr>
          <w:p>
            <w:pPr>
              <w:pStyle w:val="1251"/>
              <w:ind w:left="11" w:right="4"/>
              <w:rPr>
                <w:sz w:val="20"/>
                <w:szCs w:val="20"/>
              </w:rPr>
            </w:pPr>
            <w:r>
              <w:rPr>
                <w:sz w:val="20"/>
                <w:szCs w:val="20"/>
              </w:rPr>
              <w:t xml:space="preserve">2024</w:t>
            </w:r>
            <w:r>
              <w:rPr>
                <w:sz w:val="20"/>
                <w:szCs w:val="20"/>
              </w:rPr>
            </w:r>
            <w:r>
              <w:rPr>
                <w:sz w:val="20"/>
                <w:szCs w:val="20"/>
              </w:rPr>
            </w:r>
          </w:p>
        </w:tc>
        <w:tc>
          <w:tcPr>
            <w:tcW w:w="461" w:type="pct"/>
            <w:vAlign w:val="center"/>
            <w:textDirection w:val="lrTb"/>
            <w:noWrap w:val="false"/>
          </w:tcPr>
          <w:p>
            <w:pPr>
              <w:pStyle w:val="1251"/>
              <w:ind w:left="11" w:right="4"/>
              <w:rPr>
                <w:sz w:val="20"/>
                <w:szCs w:val="20"/>
              </w:rPr>
            </w:pPr>
            <w:r>
              <w:rPr>
                <w:sz w:val="20"/>
                <w:szCs w:val="20"/>
              </w:rPr>
              <w:t xml:space="preserve">2025</w:t>
            </w:r>
            <w:r>
              <w:rPr>
                <w:sz w:val="20"/>
                <w:szCs w:val="20"/>
              </w:rPr>
            </w:r>
            <w:r>
              <w:rPr>
                <w:sz w:val="20"/>
                <w:szCs w:val="20"/>
              </w:rPr>
            </w:r>
          </w:p>
        </w:tc>
        <w:tc>
          <w:tcPr>
            <w:tcW w:w="456" w:type="pct"/>
            <w:vAlign w:val="center"/>
            <w:textDirection w:val="lrTb"/>
            <w:noWrap w:val="false"/>
          </w:tcPr>
          <w:p>
            <w:pPr>
              <w:pStyle w:val="1251"/>
              <w:ind w:left="11" w:right="4"/>
              <w:rPr>
                <w:sz w:val="20"/>
                <w:szCs w:val="20"/>
              </w:rPr>
            </w:pPr>
            <w:r>
              <w:rPr>
                <w:sz w:val="20"/>
                <w:szCs w:val="20"/>
              </w:rPr>
              <w:t xml:space="preserve">2026</w:t>
            </w:r>
            <w:r>
              <w:rPr>
                <w:sz w:val="20"/>
                <w:szCs w:val="20"/>
              </w:rPr>
            </w:r>
            <w:r>
              <w:rPr>
                <w:sz w:val="20"/>
                <w:szCs w:val="20"/>
              </w:rPr>
            </w:r>
          </w:p>
        </w:tc>
        <w:tc>
          <w:tcPr>
            <w:tcW w:w="442" w:type="pct"/>
            <w:vAlign w:val="center"/>
            <w:textDirection w:val="lrTb"/>
            <w:noWrap w:val="false"/>
          </w:tcPr>
          <w:p>
            <w:pPr>
              <w:pStyle w:val="1251"/>
              <w:ind w:left="11" w:right="4"/>
              <w:rPr>
                <w:sz w:val="20"/>
                <w:szCs w:val="20"/>
              </w:rPr>
            </w:pPr>
            <w:r>
              <w:rPr>
                <w:sz w:val="20"/>
                <w:szCs w:val="20"/>
              </w:rPr>
              <w:t xml:space="preserve">2027</w:t>
            </w:r>
            <w:r>
              <w:rPr>
                <w:sz w:val="20"/>
                <w:szCs w:val="20"/>
              </w:rPr>
            </w:r>
            <w:r>
              <w:rPr>
                <w:sz w:val="20"/>
                <w:szCs w:val="20"/>
              </w:rPr>
            </w:r>
          </w:p>
        </w:tc>
        <w:tc>
          <w:tcPr>
            <w:tcW w:w="442" w:type="pct"/>
            <w:vAlign w:val="center"/>
            <w:textDirection w:val="lrTb"/>
            <w:noWrap w:val="false"/>
          </w:tcPr>
          <w:p>
            <w:pPr>
              <w:pStyle w:val="1251"/>
              <w:ind w:left="11" w:right="4"/>
              <w:rPr>
                <w:sz w:val="20"/>
                <w:szCs w:val="20"/>
              </w:rPr>
            </w:pPr>
            <w:r>
              <w:rPr>
                <w:sz w:val="20"/>
                <w:szCs w:val="20"/>
              </w:rPr>
              <w:t xml:space="preserve">2028</w:t>
            </w:r>
            <w:r>
              <w:rPr>
                <w:sz w:val="20"/>
                <w:szCs w:val="20"/>
              </w:rPr>
            </w:r>
            <w:r>
              <w:rPr>
                <w:sz w:val="20"/>
                <w:szCs w:val="20"/>
              </w:rPr>
            </w:r>
          </w:p>
        </w:tc>
        <w:tc>
          <w:tcPr>
            <w:tcW w:w="494" w:type="pct"/>
            <w:vAlign w:val="center"/>
            <w:textDirection w:val="lrTb"/>
            <w:noWrap w:val="false"/>
          </w:tcPr>
          <w:p>
            <w:pPr>
              <w:pStyle w:val="1251"/>
              <w:ind w:left="11" w:right="4"/>
              <w:rPr>
                <w:sz w:val="20"/>
                <w:szCs w:val="20"/>
              </w:rPr>
            </w:pPr>
            <w:r>
              <w:rPr>
                <w:sz w:val="20"/>
                <w:szCs w:val="20"/>
              </w:rPr>
              <w:t xml:space="preserve">2029-2039</w:t>
            </w:r>
            <w:r>
              <w:rPr>
                <w:sz w:val="20"/>
                <w:szCs w:val="20"/>
              </w:rPr>
            </w:r>
            <w:r>
              <w:rPr>
                <w:sz w:val="20"/>
                <w:szCs w:val="20"/>
              </w:rPr>
            </w:r>
          </w:p>
        </w:tc>
      </w:tr>
      <w:tr>
        <w:tblPrEx/>
        <w:trPr>
          <w:trHeight w:val="275"/>
        </w:trPr>
        <w:tc>
          <w:tcPr>
            <w:gridSpan w:val="7"/>
            <w:tcW w:w="5000" w:type="pct"/>
            <w:vAlign w:val="center"/>
            <w:textDirection w:val="lrTb"/>
            <w:noWrap w:val="false"/>
          </w:tcPr>
          <w:p>
            <w:pPr>
              <w:pStyle w:val="1251"/>
              <w:ind w:left="11" w:right="4"/>
              <w:rPr>
                <w:sz w:val="20"/>
                <w:szCs w:val="20"/>
              </w:rPr>
            </w:pPr>
            <w:r>
              <w:rPr>
                <w:color w:val="000000"/>
                <w:sz w:val="20"/>
                <w:szCs w:val="20"/>
              </w:rPr>
              <w:t xml:space="preserve">Котельная </w:t>
            </w:r>
            <w:r>
              <w:rPr>
                <w:rFonts w:ascii="Liberation Serif" w:hAnsi="Liberation Serif" w:cs="Calibri"/>
                <w:color w:val="000000"/>
                <w:sz w:val="20"/>
                <w:szCs w:val="20"/>
              </w:rPr>
              <w:t xml:space="preserve">п. Новый Мир, ЛПДС «Юргамыш»</w:t>
            </w:r>
            <w:r>
              <w:rPr>
                <w:sz w:val="20"/>
                <w:szCs w:val="20"/>
              </w:rPr>
            </w:r>
            <w:r>
              <w:rPr>
                <w:sz w:val="20"/>
                <w:szCs w:val="20"/>
              </w:rPr>
            </w:r>
          </w:p>
        </w:tc>
      </w:tr>
      <w:tr>
        <w:tblPrEx/>
        <w:trPr>
          <w:trHeight w:val="85"/>
        </w:trPr>
        <w:tc>
          <w:tcPr>
            <w:tcW w:w="2279" w:type="pct"/>
            <w:vAlign w:val="center"/>
            <w:textDirection w:val="lrTb"/>
            <w:noWrap w:val="false"/>
          </w:tcPr>
          <w:p>
            <w:pPr>
              <w:pStyle w:val="1251"/>
              <w:ind w:left="161" w:right="4"/>
              <w:jc w:val="left"/>
              <w:rPr>
                <w:sz w:val="20"/>
                <w:szCs w:val="20"/>
              </w:rPr>
            </w:pPr>
            <w:r>
              <w:rPr>
                <w:spacing w:val="-2"/>
                <w:sz w:val="20"/>
              </w:rPr>
              <w:t xml:space="preserve">Располагаемая</w:t>
            </w:r>
            <w:r>
              <w:rPr>
                <w:spacing w:val="12"/>
                <w:sz w:val="20"/>
              </w:rPr>
              <w:t xml:space="preserve"> </w:t>
            </w:r>
            <w:r>
              <w:rPr>
                <w:spacing w:val="-2"/>
                <w:sz w:val="20"/>
              </w:rPr>
              <w:t xml:space="preserve">мощность</w:t>
            </w:r>
            <w:r>
              <w:rPr>
                <w:sz w:val="20"/>
                <w:szCs w:val="20"/>
              </w:rPr>
            </w:r>
            <w:r>
              <w:rPr>
                <w:sz w:val="20"/>
                <w:szCs w:val="20"/>
              </w:rPr>
            </w:r>
          </w:p>
        </w:tc>
        <w:tc>
          <w:tcPr>
            <w:tcW w:w="424" w:type="pct"/>
            <w:vAlign w:val="center"/>
            <w:textDirection w:val="lrTb"/>
            <w:noWrap w:val="false"/>
          </w:tcPr>
          <w:p>
            <w:pPr>
              <w:pStyle w:val="1251"/>
              <w:ind w:left="11" w:right="4"/>
              <w:rPr>
                <w:sz w:val="20"/>
                <w:szCs w:val="20"/>
              </w:rPr>
            </w:pPr>
            <w:r>
              <w:rPr>
                <w:sz w:val="20"/>
                <w:szCs w:val="20"/>
              </w:rPr>
              <w:t xml:space="preserve">13,20</w:t>
            </w:r>
            <w:r>
              <w:rPr>
                <w:sz w:val="20"/>
                <w:szCs w:val="20"/>
              </w:rPr>
            </w:r>
            <w:r>
              <w:rPr>
                <w:sz w:val="20"/>
                <w:szCs w:val="20"/>
              </w:rPr>
            </w:r>
          </w:p>
        </w:tc>
        <w:tc>
          <w:tcPr>
            <w:tcW w:w="461" w:type="pct"/>
            <w:vAlign w:val="center"/>
            <w:textDirection w:val="lrTb"/>
            <w:noWrap w:val="false"/>
          </w:tcPr>
          <w:p>
            <w:pPr>
              <w:pStyle w:val="1251"/>
              <w:ind w:left="11" w:right="4"/>
              <w:rPr>
                <w:sz w:val="20"/>
                <w:szCs w:val="20"/>
              </w:rPr>
            </w:pPr>
            <w:r>
              <w:rPr>
                <w:sz w:val="20"/>
                <w:szCs w:val="20"/>
              </w:rPr>
              <w:t xml:space="preserve">13,20</w:t>
            </w:r>
            <w:r>
              <w:rPr>
                <w:sz w:val="20"/>
                <w:szCs w:val="20"/>
              </w:rPr>
            </w:r>
            <w:r>
              <w:rPr>
                <w:sz w:val="20"/>
                <w:szCs w:val="20"/>
              </w:rPr>
            </w:r>
          </w:p>
        </w:tc>
        <w:tc>
          <w:tcPr>
            <w:tcW w:w="456" w:type="pct"/>
            <w:vAlign w:val="center"/>
            <w:textDirection w:val="lrTb"/>
            <w:noWrap w:val="false"/>
          </w:tcPr>
          <w:p>
            <w:pPr>
              <w:pStyle w:val="1251"/>
              <w:ind w:left="11" w:right="4"/>
              <w:rPr>
                <w:sz w:val="20"/>
                <w:szCs w:val="20"/>
              </w:rPr>
            </w:pPr>
            <w:r>
              <w:rPr>
                <w:sz w:val="20"/>
                <w:szCs w:val="20"/>
              </w:rPr>
              <w:t xml:space="preserve">13,20</w:t>
            </w:r>
            <w:r>
              <w:rPr>
                <w:sz w:val="20"/>
                <w:szCs w:val="20"/>
              </w:rPr>
            </w:r>
            <w:r>
              <w:rPr>
                <w:sz w:val="20"/>
                <w:szCs w:val="20"/>
              </w:rPr>
            </w:r>
          </w:p>
        </w:tc>
        <w:tc>
          <w:tcPr>
            <w:tcW w:w="442" w:type="pct"/>
            <w:vAlign w:val="center"/>
            <w:textDirection w:val="lrTb"/>
            <w:noWrap w:val="false"/>
          </w:tcPr>
          <w:p>
            <w:pPr>
              <w:pStyle w:val="1251"/>
              <w:ind w:left="11" w:right="4"/>
              <w:rPr>
                <w:sz w:val="20"/>
                <w:szCs w:val="20"/>
              </w:rPr>
            </w:pPr>
            <w:r>
              <w:rPr>
                <w:sz w:val="20"/>
                <w:szCs w:val="20"/>
              </w:rPr>
              <w:t xml:space="preserve">13,20</w:t>
            </w:r>
            <w:r>
              <w:rPr>
                <w:sz w:val="20"/>
                <w:szCs w:val="20"/>
              </w:rPr>
            </w:r>
            <w:r>
              <w:rPr>
                <w:sz w:val="20"/>
                <w:szCs w:val="20"/>
              </w:rPr>
            </w:r>
          </w:p>
        </w:tc>
        <w:tc>
          <w:tcPr>
            <w:tcW w:w="442" w:type="pct"/>
            <w:vAlign w:val="center"/>
            <w:textDirection w:val="lrTb"/>
            <w:noWrap w:val="false"/>
          </w:tcPr>
          <w:p>
            <w:pPr>
              <w:pStyle w:val="1251"/>
              <w:ind w:left="11" w:right="4"/>
              <w:rPr>
                <w:sz w:val="20"/>
                <w:szCs w:val="20"/>
              </w:rPr>
            </w:pPr>
            <w:r>
              <w:rPr>
                <w:sz w:val="20"/>
                <w:szCs w:val="20"/>
              </w:rPr>
              <w:t xml:space="preserve">13,20</w:t>
            </w:r>
            <w:r>
              <w:rPr>
                <w:sz w:val="20"/>
                <w:szCs w:val="20"/>
              </w:rPr>
            </w:r>
            <w:r>
              <w:rPr>
                <w:sz w:val="20"/>
                <w:szCs w:val="20"/>
              </w:rPr>
            </w:r>
          </w:p>
        </w:tc>
        <w:tc>
          <w:tcPr>
            <w:tcW w:w="494" w:type="pct"/>
            <w:vAlign w:val="center"/>
            <w:textDirection w:val="lrTb"/>
            <w:noWrap w:val="false"/>
          </w:tcPr>
          <w:p>
            <w:pPr>
              <w:pStyle w:val="1251"/>
              <w:ind w:left="11" w:right="4"/>
              <w:rPr>
                <w:sz w:val="20"/>
                <w:szCs w:val="20"/>
              </w:rPr>
            </w:pPr>
            <w:r>
              <w:rPr>
                <w:sz w:val="20"/>
                <w:szCs w:val="20"/>
              </w:rPr>
              <w:t xml:space="preserve">13,20</w:t>
            </w:r>
            <w:r>
              <w:rPr>
                <w:sz w:val="20"/>
                <w:szCs w:val="20"/>
              </w:rPr>
            </w:r>
            <w:r>
              <w:rPr>
                <w:sz w:val="20"/>
                <w:szCs w:val="20"/>
              </w:rPr>
            </w:r>
          </w:p>
        </w:tc>
      </w:tr>
      <w:tr>
        <w:tblPrEx/>
        <w:trPr>
          <w:trHeight w:val="85"/>
        </w:trPr>
        <w:tc>
          <w:tcPr>
            <w:tcW w:w="2279" w:type="pct"/>
            <w:vAlign w:val="center"/>
            <w:textDirection w:val="lrTb"/>
            <w:noWrap w:val="false"/>
          </w:tcPr>
          <w:p>
            <w:pPr>
              <w:pStyle w:val="1251"/>
              <w:ind w:left="161" w:right="4"/>
              <w:jc w:val="left"/>
              <w:rPr>
                <w:sz w:val="20"/>
                <w:szCs w:val="20"/>
              </w:rPr>
            </w:pPr>
            <w:r>
              <w:rPr>
                <w:spacing w:val="-2"/>
                <w:sz w:val="20"/>
                <w:szCs w:val="20"/>
              </w:rPr>
              <w:t xml:space="preserve">Присоединенная</w:t>
            </w:r>
            <w:r>
              <w:rPr>
                <w:sz w:val="20"/>
                <w:szCs w:val="20"/>
              </w:rPr>
              <w:t xml:space="preserve"> нагрузка,</w:t>
            </w:r>
            <w:r>
              <w:rPr>
                <w:spacing w:val="-8"/>
                <w:sz w:val="20"/>
                <w:szCs w:val="20"/>
              </w:rPr>
              <w:t xml:space="preserve"> </w:t>
            </w:r>
            <w:r>
              <w:rPr>
                <w:spacing w:val="-2"/>
                <w:sz w:val="20"/>
                <w:szCs w:val="20"/>
              </w:rPr>
              <w:t xml:space="preserve">Гкал\час</w:t>
            </w:r>
            <w:r>
              <w:rPr>
                <w:sz w:val="20"/>
                <w:szCs w:val="20"/>
              </w:rPr>
            </w:r>
            <w:r>
              <w:rPr>
                <w:sz w:val="20"/>
                <w:szCs w:val="20"/>
              </w:rPr>
            </w:r>
          </w:p>
        </w:tc>
        <w:tc>
          <w:tcPr>
            <w:tcW w:w="424" w:type="pct"/>
            <w:vAlign w:val="center"/>
            <w:textDirection w:val="lrTb"/>
            <w:noWrap w:val="false"/>
          </w:tcPr>
          <w:p>
            <w:pPr>
              <w:pStyle w:val="1251"/>
              <w:ind w:left="11" w:right="4"/>
              <w:rPr>
                <w:sz w:val="20"/>
                <w:szCs w:val="20"/>
              </w:rPr>
            </w:pPr>
            <w:r>
              <w:rPr>
                <w:sz w:val="20"/>
                <w:szCs w:val="20"/>
              </w:rPr>
              <w:t xml:space="preserve">7,798</w:t>
            </w:r>
            <w:r>
              <w:rPr>
                <w:sz w:val="20"/>
                <w:szCs w:val="20"/>
              </w:rPr>
            </w:r>
            <w:r>
              <w:rPr>
                <w:sz w:val="20"/>
                <w:szCs w:val="20"/>
              </w:rPr>
            </w:r>
          </w:p>
        </w:tc>
        <w:tc>
          <w:tcPr>
            <w:tcW w:w="461" w:type="pct"/>
            <w:vAlign w:val="center"/>
            <w:textDirection w:val="lrTb"/>
            <w:noWrap w:val="false"/>
          </w:tcPr>
          <w:p>
            <w:pPr>
              <w:pStyle w:val="1251"/>
              <w:ind w:left="11" w:right="4"/>
              <w:rPr>
                <w:sz w:val="20"/>
                <w:szCs w:val="20"/>
              </w:rPr>
            </w:pPr>
            <w:r>
              <w:rPr>
                <w:sz w:val="20"/>
                <w:szCs w:val="20"/>
              </w:rPr>
              <w:t xml:space="preserve">7,798</w:t>
            </w:r>
            <w:r>
              <w:rPr>
                <w:sz w:val="20"/>
                <w:szCs w:val="20"/>
              </w:rPr>
            </w:r>
            <w:r>
              <w:rPr>
                <w:sz w:val="20"/>
                <w:szCs w:val="20"/>
              </w:rPr>
            </w:r>
          </w:p>
        </w:tc>
        <w:tc>
          <w:tcPr>
            <w:tcW w:w="456" w:type="pct"/>
            <w:vAlign w:val="center"/>
            <w:textDirection w:val="lrTb"/>
            <w:noWrap w:val="false"/>
          </w:tcPr>
          <w:p>
            <w:pPr>
              <w:pStyle w:val="1251"/>
              <w:ind w:left="11" w:right="4"/>
              <w:rPr>
                <w:sz w:val="20"/>
                <w:szCs w:val="20"/>
              </w:rPr>
            </w:pPr>
            <w:r>
              <w:rPr>
                <w:sz w:val="20"/>
                <w:szCs w:val="20"/>
              </w:rPr>
              <w:t xml:space="preserve">7,798</w:t>
            </w:r>
            <w:r>
              <w:rPr>
                <w:sz w:val="20"/>
                <w:szCs w:val="20"/>
              </w:rPr>
            </w:r>
            <w:r>
              <w:rPr>
                <w:sz w:val="20"/>
                <w:szCs w:val="20"/>
              </w:rPr>
            </w:r>
          </w:p>
        </w:tc>
        <w:tc>
          <w:tcPr>
            <w:tcW w:w="442" w:type="pct"/>
            <w:vAlign w:val="center"/>
            <w:textDirection w:val="lrTb"/>
            <w:noWrap w:val="false"/>
          </w:tcPr>
          <w:p>
            <w:pPr>
              <w:pStyle w:val="1251"/>
              <w:ind w:left="11" w:right="4"/>
              <w:rPr>
                <w:sz w:val="20"/>
                <w:szCs w:val="20"/>
              </w:rPr>
            </w:pPr>
            <w:r>
              <w:rPr>
                <w:sz w:val="20"/>
                <w:szCs w:val="20"/>
              </w:rPr>
              <w:t xml:space="preserve">7,798</w:t>
            </w:r>
            <w:r>
              <w:rPr>
                <w:sz w:val="20"/>
                <w:szCs w:val="20"/>
              </w:rPr>
            </w:r>
            <w:r>
              <w:rPr>
                <w:sz w:val="20"/>
                <w:szCs w:val="20"/>
              </w:rPr>
            </w:r>
          </w:p>
        </w:tc>
        <w:tc>
          <w:tcPr>
            <w:tcW w:w="442" w:type="pct"/>
            <w:vAlign w:val="center"/>
            <w:textDirection w:val="lrTb"/>
            <w:noWrap w:val="false"/>
          </w:tcPr>
          <w:p>
            <w:pPr>
              <w:pStyle w:val="1251"/>
              <w:ind w:left="11" w:right="4"/>
              <w:rPr>
                <w:sz w:val="20"/>
                <w:szCs w:val="20"/>
              </w:rPr>
            </w:pPr>
            <w:r>
              <w:rPr>
                <w:sz w:val="20"/>
                <w:szCs w:val="20"/>
              </w:rPr>
              <w:t xml:space="preserve">7,798</w:t>
            </w:r>
            <w:r>
              <w:rPr>
                <w:sz w:val="20"/>
                <w:szCs w:val="20"/>
              </w:rPr>
            </w:r>
            <w:r>
              <w:rPr>
                <w:sz w:val="20"/>
                <w:szCs w:val="20"/>
              </w:rPr>
            </w:r>
          </w:p>
        </w:tc>
        <w:tc>
          <w:tcPr>
            <w:tcW w:w="494" w:type="pct"/>
            <w:vAlign w:val="center"/>
            <w:textDirection w:val="lrTb"/>
            <w:noWrap w:val="false"/>
          </w:tcPr>
          <w:p>
            <w:pPr>
              <w:pStyle w:val="1251"/>
              <w:ind w:left="11" w:right="4"/>
              <w:rPr>
                <w:sz w:val="20"/>
                <w:szCs w:val="20"/>
              </w:rPr>
            </w:pPr>
            <w:r>
              <w:rPr>
                <w:sz w:val="20"/>
                <w:szCs w:val="20"/>
              </w:rPr>
              <w:t xml:space="preserve">7,798</w:t>
            </w:r>
            <w:r>
              <w:rPr>
                <w:sz w:val="20"/>
                <w:szCs w:val="20"/>
              </w:rPr>
            </w:r>
            <w:r>
              <w:rPr>
                <w:sz w:val="20"/>
                <w:szCs w:val="20"/>
              </w:rPr>
            </w:r>
          </w:p>
        </w:tc>
      </w:tr>
      <w:tr>
        <w:tblPrEx/>
        <w:trPr>
          <w:trHeight w:val="85"/>
        </w:trPr>
        <w:tc>
          <w:tcPr>
            <w:tcW w:w="2279" w:type="pct"/>
            <w:vAlign w:val="center"/>
            <w:textDirection w:val="lrTb"/>
            <w:noWrap w:val="false"/>
          </w:tcPr>
          <w:p>
            <w:pPr>
              <w:pStyle w:val="1251"/>
              <w:ind w:left="161"/>
              <w:jc w:val="left"/>
              <w:spacing w:line="224" w:lineRule="exact"/>
              <w:rPr>
                <w:sz w:val="20"/>
              </w:rPr>
            </w:pPr>
            <w:r>
              <w:rPr>
                <w:sz w:val="20"/>
              </w:rPr>
              <w:t xml:space="preserve">Резерв</w:t>
            </w:r>
            <w:r>
              <w:rPr>
                <w:spacing w:val="-9"/>
                <w:sz w:val="20"/>
              </w:rPr>
              <w:t xml:space="preserve"> </w:t>
            </w:r>
            <w:r>
              <w:rPr>
                <w:sz w:val="20"/>
              </w:rPr>
              <w:t xml:space="preserve">(+)/Дефицит</w:t>
            </w:r>
            <w:r>
              <w:rPr>
                <w:spacing w:val="-8"/>
                <w:sz w:val="20"/>
              </w:rPr>
              <w:t xml:space="preserve"> </w:t>
            </w:r>
            <w:r>
              <w:rPr>
                <w:sz w:val="20"/>
              </w:rPr>
              <w:t xml:space="preserve">(-)</w:t>
            </w:r>
            <w:r>
              <w:rPr>
                <w:spacing w:val="-7"/>
                <w:sz w:val="20"/>
              </w:rPr>
              <w:t xml:space="preserve"> </w:t>
            </w:r>
            <w:r>
              <w:rPr>
                <w:spacing w:val="-2"/>
                <w:sz w:val="20"/>
              </w:rPr>
              <w:t xml:space="preserve">располагаемой</w:t>
            </w:r>
            <w:r>
              <w:rPr>
                <w:sz w:val="20"/>
              </w:rPr>
            </w:r>
            <w:r>
              <w:rPr>
                <w:sz w:val="20"/>
              </w:rPr>
            </w:r>
          </w:p>
          <w:p>
            <w:pPr>
              <w:pStyle w:val="1251"/>
              <w:ind w:left="161" w:right="4"/>
              <w:jc w:val="left"/>
              <w:rPr>
                <w:sz w:val="20"/>
                <w:szCs w:val="20"/>
              </w:rPr>
            </w:pPr>
            <w:r>
              <w:rPr>
                <w:spacing w:val="-2"/>
                <w:sz w:val="20"/>
              </w:rPr>
              <w:t xml:space="preserve">мощности</w:t>
            </w:r>
            <w:r>
              <w:rPr>
                <w:sz w:val="20"/>
                <w:szCs w:val="20"/>
              </w:rPr>
            </w:r>
            <w:r>
              <w:rPr>
                <w:sz w:val="20"/>
                <w:szCs w:val="20"/>
              </w:rPr>
            </w:r>
          </w:p>
        </w:tc>
        <w:tc>
          <w:tcPr>
            <w:tcW w:w="424" w:type="pct"/>
            <w:vAlign w:val="center"/>
            <w:textDirection w:val="lrTb"/>
            <w:noWrap w:val="false"/>
          </w:tcPr>
          <w:p>
            <w:pPr>
              <w:pStyle w:val="1251"/>
              <w:ind w:left="11" w:right="4"/>
              <w:rPr>
                <w:sz w:val="20"/>
                <w:szCs w:val="20"/>
              </w:rPr>
            </w:pPr>
            <w:r>
              <w:rPr>
                <w:sz w:val="20"/>
                <w:szCs w:val="20"/>
              </w:rPr>
              <w:t xml:space="preserve">5,402</w:t>
            </w:r>
            <w:r>
              <w:rPr>
                <w:sz w:val="20"/>
                <w:szCs w:val="20"/>
              </w:rPr>
            </w:r>
            <w:r>
              <w:rPr>
                <w:sz w:val="20"/>
                <w:szCs w:val="20"/>
              </w:rPr>
            </w:r>
          </w:p>
        </w:tc>
        <w:tc>
          <w:tcPr>
            <w:tcW w:w="461" w:type="pct"/>
            <w:vAlign w:val="center"/>
            <w:textDirection w:val="lrTb"/>
            <w:noWrap w:val="false"/>
          </w:tcPr>
          <w:p>
            <w:pPr>
              <w:pStyle w:val="1251"/>
              <w:ind w:left="11" w:right="4"/>
              <w:rPr>
                <w:sz w:val="20"/>
                <w:szCs w:val="20"/>
              </w:rPr>
            </w:pPr>
            <w:r>
              <w:rPr>
                <w:sz w:val="20"/>
                <w:szCs w:val="20"/>
              </w:rPr>
              <w:t xml:space="preserve">5,402</w:t>
            </w:r>
            <w:r>
              <w:rPr>
                <w:sz w:val="20"/>
                <w:szCs w:val="20"/>
              </w:rPr>
            </w:r>
            <w:r>
              <w:rPr>
                <w:sz w:val="20"/>
                <w:szCs w:val="20"/>
              </w:rPr>
            </w:r>
          </w:p>
        </w:tc>
        <w:tc>
          <w:tcPr>
            <w:tcW w:w="456" w:type="pct"/>
            <w:vAlign w:val="center"/>
            <w:textDirection w:val="lrTb"/>
            <w:noWrap w:val="false"/>
          </w:tcPr>
          <w:p>
            <w:pPr>
              <w:pStyle w:val="1251"/>
              <w:ind w:left="11" w:right="4"/>
              <w:rPr>
                <w:sz w:val="20"/>
                <w:szCs w:val="20"/>
              </w:rPr>
            </w:pPr>
            <w:r>
              <w:rPr>
                <w:sz w:val="20"/>
                <w:szCs w:val="20"/>
              </w:rPr>
              <w:t xml:space="preserve">5,402</w:t>
            </w:r>
            <w:r>
              <w:rPr>
                <w:sz w:val="20"/>
                <w:szCs w:val="20"/>
              </w:rPr>
            </w:r>
            <w:r>
              <w:rPr>
                <w:sz w:val="20"/>
                <w:szCs w:val="20"/>
              </w:rPr>
            </w:r>
          </w:p>
        </w:tc>
        <w:tc>
          <w:tcPr>
            <w:tcW w:w="442" w:type="pct"/>
            <w:vAlign w:val="center"/>
            <w:textDirection w:val="lrTb"/>
            <w:noWrap w:val="false"/>
          </w:tcPr>
          <w:p>
            <w:pPr>
              <w:pStyle w:val="1251"/>
              <w:ind w:left="11" w:right="4"/>
              <w:rPr>
                <w:sz w:val="20"/>
                <w:szCs w:val="20"/>
              </w:rPr>
            </w:pPr>
            <w:r>
              <w:rPr>
                <w:sz w:val="20"/>
                <w:szCs w:val="20"/>
              </w:rPr>
              <w:t xml:space="preserve">5,402</w:t>
            </w:r>
            <w:r>
              <w:rPr>
                <w:sz w:val="20"/>
                <w:szCs w:val="20"/>
              </w:rPr>
            </w:r>
            <w:r>
              <w:rPr>
                <w:sz w:val="20"/>
                <w:szCs w:val="20"/>
              </w:rPr>
            </w:r>
          </w:p>
        </w:tc>
        <w:tc>
          <w:tcPr>
            <w:tcW w:w="442" w:type="pct"/>
            <w:vAlign w:val="center"/>
            <w:textDirection w:val="lrTb"/>
            <w:noWrap w:val="false"/>
          </w:tcPr>
          <w:p>
            <w:pPr>
              <w:pStyle w:val="1251"/>
              <w:ind w:left="11" w:right="4"/>
              <w:rPr>
                <w:sz w:val="20"/>
                <w:szCs w:val="20"/>
              </w:rPr>
            </w:pPr>
            <w:r>
              <w:rPr>
                <w:sz w:val="20"/>
                <w:szCs w:val="20"/>
              </w:rPr>
              <w:t xml:space="preserve">5,402</w:t>
            </w:r>
            <w:r>
              <w:rPr>
                <w:sz w:val="20"/>
                <w:szCs w:val="20"/>
              </w:rPr>
            </w:r>
            <w:r>
              <w:rPr>
                <w:sz w:val="20"/>
                <w:szCs w:val="20"/>
              </w:rPr>
            </w:r>
          </w:p>
        </w:tc>
        <w:tc>
          <w:tcPr>
            <w:tcW w:w="494" w:type="pct"/>
            <w:vAlign w:val="center"/>
            <w:textDirection w:val="lrTb"/>
            <w:noWrap w:val="false"/>
          </w:tcPr>
          <w:p>
            <w:pPr>
              <w:pStyle w:val="1251"/>
              <w:ind w:left="11" w:right="4"/>
              <w:rPr>
                <w:sz w:val="20"/>
                <w:szCs w:val="20"/>
              </w:rPr>
            </w:pPr>
            <w:r>
              <w:rPr>
                <w:sz w:val="20"/>
                <w:szCs w:val="20"/>
              </w:rPr>
              <w:t xml:space="preserve">5,402</w:t>
            </w:r>
            <w:r>
              <w:rPr>
                <w:sz w:val="20"/>
                <w:szCs w:val="20"/>
              </w:rPr>
            </w:r>
            <w:r>
              <w:rPr>
                <w:sz w:val="20"/>
                <w:szCs w:val="20"/>
              </w:rPr>
            </w:r>
          </w:p>
        </w:tc>
      </w:tr>
      <w:tr>
        <w:tblPrEx/>
        <w:trPr>
          <w:trHeight w:val="275"/>
        </w:trPr>
        <w:tc>
          <w:tcPr>
            <w:gridSpan w:val="7"/>
            <w:tcW w:w="5000" w:type="pct"/>
            <w:vAlign w:val="center"/>
            <w:textDirection w:val="lrTb"/>
            <w:noWrap w:val="false"/>
          </w:tcPr>
          <w:p>
            <w:pPr>
              <w:pStyle w:val="1251"/>
              <w:ind w:left="11" w:right="4"/>
              <w:rPr>
                <w:sz w:val="20"/>
                <w:szCs w:val="20"/>
              </w:rPr>
            </w:pPr>
            <w:r>
              <w:rPr>
                <w:color w:val="000000"/>
                <w:sz w:val="20"/>
                <w:szCs w:val="20"/>
              </w:rPr>
              <w:t xml:space="preserve">Котельная </w:t>
            </w:r>
            <w:r>
              <w:rPr>
                <w:rFonts w:ascii="Liberation Serif" w:hAnsi="Liberation Serif" w:cs="Calibri"/>
                <w:color w:val="000000"/>
                <w:sz w:val="20"/>
                <w:szCs w:val="20"/>
              </w:rPr>
              <w:t xml:space="preserve">р.п.  Юргамыш, ул. Железнодорожная, территория тягловой подстанции ОАО «РЖД»</w:t>
            </w:r>
            <w:r>
              <w:rPr>
                <w:sz w:val="20"/>
                <w:szCs w:val="20"/>
              </w:rPr>
            </w:r>
            <w:r>
              <w:rPr>
                <w:sz w:val="20"/>
                <w:szCs w:val="20"/>
              </w:rPr>
            </w:r>
          </w:p>
        </w:tc>
      </w:tr>
      <w:tr>
        <w:tblPrEx/>
        <w:trPr>
          <w:trHeight w:val="85"/>
        </w:trPr>
        <w:tc>
          <w:tcPr>
            <w:tcW w:w="2279" w:type="pct"/>
            <w:vAlign w:val="center"/>
            <w:textDirection w:val="lrTb"/>
            <w:noWrap w:val="false"/>
          </w:tcPr>
          <w:p>
            <w:pPr>
              <w:pStyle w:val="1251"/>
              <w:ind w:left="161" w:right="4"/>
              <w:jc w:val="left"/>
              <w:rPr>
                <w:sz w:val="20"/>
                <w:szCs w:val="20"/>
              </w:rPr>
            </w:pPr>
            <w:r>
              <w:rPr>
                <w:spacing w:val="-2"/>
                <w:sz w:val="20"/>
              </w:rPr>
              <w:t xml:space="preserve">Располагаемая</w:t>
            </w:r>
            <w:r>
              <w:rPr>
                <w:spacing w:val="12"/>
                <w:sz w:val="20"/>
              </w:rPr>
              <w:t xml:space="preserve"> </w:t>
            </w:r>
            <w:r>
              <w:rPr>
                <w:spacing w:val="-2"/>
                <w:sz w:val="20"/>
              </w:rPr>
              <w:t xml:space="preserve">мощность</w:t>
            </w:r>
            <w:r>
              <w:rPr>
                <w:sz w:val="20"/>
                <w:szCs w:val="20"/>
              </w:rPr>
            </w:r>
            <w:r>
              <w:rPr>
                <w:sz w:val="20"/>
                <w:szCs w:val="20"/>
              </w:rPr>
            </w:r>
          </w:p>
        </w:tc>
        <w:tc>
          <w:tcPr>
            <w:tcW w:w="424" w:type="pct"/>
            <w:vAlign w:val="center"/>
            <w:textDirection w:val="lrTb"/>
            <w:noWrap w:val="false"/>
          </w:tcPr>
          <w:p>
            <w:pPr>
              <w:pStyle w:val="1251"/>
              <w:ind w:left="11" w:right="4"/>
              <w:rPr>
                <w:sz w:val="20"/>
                <w:szCs w:val="20"/>
              </w:rPr>
            </w:pPr>
            <w:r>
              <w:rPr>
                <w:sz w:val="20"/>
                <w:szCs w:val="20"/>
              </w:rPr>
              <w:t xml:space="preserve">0,915</w:t>
            </w:r>
            <w:r>
              <w:rPr>
                <w:sz w:val="20"/>
                <w:szCs w:val="20"/>
              </w:rPr>
            </w:r>
            <w:r>
              <w:rPr>
                <w:sz w:val="20"/>
                <w:szCs w:val="20"/>
              </w:rPr>
            </w:r>
          </w:p>
        </w:tc>
        <w:tc>
          <w:tcPr>
            <w:tcW w:w="461" w:type="pct"/>
            <w:vAlign w:val="center"/>
            <w:textDirection w:val="lrTb"/>
            <w:noWrap w:val="false"/>
          </w:tcPr>
          <w:p>
            <w:pPr>
              <w:pStyle w:val="1251"/>
              <w:ind w:left="11" w:right="4"/>
              <w:rPr>
                <w:sz w:val="20"/>
                <w:szCs w:val="20"/>
              </w:rPr>
            </w:pPr>
            <w:r>
              <w:rPr>
                <w:sz w:val="20"/>
                <w:szCs w:val="20"/>
              </w:rPr>
              <w:t xml:space="preserve">0,915</w:t>
            </w:r>
            <w:r>
              <w:rPr>
                <w:sz w:val="20"/>
                <w:szCs w:val="20"/>
              </w:rPr>
            </w:r>
            <w:r>
              <w:rPr>
                <w:sz w:val="20"/>
                <w:szCs w:val="20"/>
              </w:rPr>
            </w:r>
          </w:p>
        </w:tc>
        <w:tc>
          <w:tcPr>
            <w:tcW w:w="456" w:type="pct"/>
            <w:vAlign w:val="center"/>
            <w:textDirection w:val="lrTb"/>
            <w:noWrap w:val="false"/>
          </w:tcPr>
          <w:p>
            <w:pPr>
              <w:pStyle w:val="1251"/>
              <w:ind w:left="11" w:right="4"/>
              <w:rPr>
                <w:sz w:val="20"/>
                <w:szCs w:val="20"/>
              </w:rPr>
            </w:pPr>
            <w:r>
              <w:rPr>
                <w:sz w:val="20"/>
                <w:szCs w:val="20"/>
              </w:rPr>
              <w:t xml:space="preserve">0,915</w:t>
            </w:r>
            <w:r>
              <w:rPr>
                <w:sz w:val="20"/>
                <w:szCs w:val="20"/>
              </w:rPr>
            </w:r>
            <w:r>
              <w:rPr>
                <w:sz w:val="20"/>
                <w:szCs w:val="20"/>
              </w:rPr>
            </w:r>
          </w:p>
        </w:tc>
        <w:tc>
          <w:tcPr>
            <w:tcW w:w="442" w:type="pct"/>
            <w:vAlign w:val="center"/>
            <w:textDirection w:val="lrTb"/>
            <w:noWrap w:val="false"/>
          </w:tcPr>
          <w:p>
            <w:pPr>
              <w:pStyle w:val="1251"/>
              <w:ind w:left="11" w:right="4"/>
              <w:rPr>
                <w:sz w:val="20"/>
                <w:szCs w:val="20"/>
              </w:rPr>
            </w:pPr>
            <w:r>
              <w:rPr>
                <w:sz w:val="20"/>
                <w:szCs w:val="20"/>
              </w:rPr>
              <w:t xml:space="preserve">0,915</w:t>
            </w:r>
            <w:r>
              <w:rPr>
                <w:sz w:val="20"/>
                <w:szCs w:val="20"/>
              </w:rPr>
            </w:r>
            <w:r>
              <w:rPr>
                <w:sz w:val="20"/>
                <w:szCs w:val="20"/>
              </w:rPr>
            </w:r>
          </w:p>
        </w:tc>
        <w:tc>
          <w:tcPr>
            <w:tcW w:w="442" w:type="pct"/>
            <w:vAlign w:val="center"/>
            <w:textDirection w:val="lrTb"/>
            <w:noWrap w:val="false"/>
          </w:tcPr>
          <w:p>
            <w:pPr>
              <w:pStyle w:val="1251"/>
              <w:ind w:left="11" w:right="4"/>
              <w:rPr>
                <w:sz w:val="20"/>
                <w:szCs w:val="20"/>
              </w:rPr>
            </w:pPr>
            <w:r>
              <w:rPr>
                <w:sz w:val="20"/>
                <w:szCs w:val="20"/>
              </w:rPr>
              <w:t xml:space="preserve">0,915</w:t>
            </w:r>
            <w:r>
              <w:rPr>
                <w:sz w:val="20"/>
                <w:szCs w:val="20"/>
              </w:rPr>
            </w:r>
            <w:r>
              <w:rPr>
                <w:sz w:val="20"/>
                <w:szCs w:val="20"/>
              </w:rPr>
            </w:r>
          </w:p>
        </w:tc>
        <w:tc>
          <w:tcPr>
            <w:tcW w:w="494" w:type="pct"/>
            <w:vAlign w:val="center"/>
            <w:textDirection w:val="lrTb"/>
            <w:noWrap w:val="false"/>
          </w:tcPr>
          <w:p>
            <w:pPr>
              <w:pStyle w:val="1251"/>
              <w:ind w:left="11" w:right="4"/>
              <w:rPr>
                <w:sz w:val="20"/>
                <w:szCs w:val="20"/>
              </w:rPr>
            </w:pPr>
            <w:r>
              <w:rPr>
                <w:sz w:val="20"/>
                <w:szCs w:val="20"/>
              </w:rPr>
              <w:t xml:space="preserve">0,915</w:t>
            </w:r>
            <w:r>
              <w:rPr>
                <w:sz w:val="20"/>
                <w:szCs w:val="20"/>
              </w:rPr>
            </w:r>
            <w:r>
              <w:rPr>
                <w:sz w:val="20"/>
                <w:szCs w:val="20"/>
              </w:rPr>
            </w:r>
          </w:p>
        </w:tc>
      </w:tr>
      <w:tr>
        <w:tblPrEx/>
        <w:trPr>
          <w:trHeight w:val="85"/>
        </w:trPr>
        <w:tc>
          <w:tcPr>
            <w:tcW w:w="2279" w:type="pct"/>
            <w:vAlign w:val="center"/>
            <w:textDirection w:val="lrTb"/>
            <w:noWrap w:val="false"/>
          </w:tcPr>
          <w:p>
            <w:pPr>
              <w:pStyle w:val="1251"/>
              <w:ind w:left="161" w:right="4"/>
              <w:jc w:val="left"/>
              <w:rPr>
                <w:sz w:val="20"/>
                <w:szCs w:val="20"/>
              </w:rPr>
            </w:pPr>
            <w:r>
              <w:rPr>
                <w:spacing w:val="-2"/>
                <w:sz w:val="20"/>
                <w:szCs w:val="20"/>
              </w:rPr>
              <w:t xml:space="preserve">Присоединенная</w:t>
            </w:r>
            <w:r>
              <w:rPr>
                <w:sz w:val="20"/>
                <w:szCs w:val="20"/>
              </w:rPr>
              <w:t xml:space="preserve"> нагрузка,</w:t>
            </w:r>
            <w:r>
              <w:rPr>
                <w:spacing w:val="-8"/>
                <w:sz w:val="20"/>
                <w:szCs w:val="20"/>
              </w:rPr>
              <w:t xml:space="preserve"> </w:t>
            </w:r>
            <w:r>
              <w:rPr>
                <w:spacing w:val="-2"/>
                <w:sz w:val="20"/>
                <w:szCs w:val="20"/>
              </w:rPr>
              <w:t xml:space="preserve">Гкал\час</w:t>
            </w:r>
            <w:r>
              <w:rPr>
                <w:sz w:val="20"/>
                <w:szCs w:val="20"/>
              </w:rPr>
            </w:r>
            <w:r>
              <w:rPr>
                <w:sz w:val="20"/>
                <w:szCs w:val="20"/>
              </w:rPr>
            </w:r>
          </w:p>
        </w:tc>
        <w:tc>
          <w:tcPr>
            <w:tcW w:w="424" w:type="pct"/>
            <w:vAlign w:val="center"/>
            <w:textDirection w:val="lrTb"/>
            <w:noWrap w:val="false"/>
          </w:tcPr>
          <w:p>
            <w:pPr>
              <w:pStyle w:val="1251"/>
              <w:ind w:left="11" w:right="4"/>
              <w:rPr>
                <w:sz w:val="20"/>
                <w:szCs w:val="20"/>
              </w:rPr>
            </w:pPr>
            <w:r>
              <w:rPr>
                <w:sz w:val="20"/>
                <w:szCs w:val="20"/>
              </w:rPr>
              <w:t xml:space="preserve">0,3732</w:t>
            </w:r>
            <w:r>
              <w:rPr>
                <w:sz w:val="20"/>
                <w:szCs w:val="20"/>
              </w:rPr>
            </w:r>
            <w:r>
              <w:rPr>
                <w:sz w:val="20"/>
                <w:szCs w:val="20"/>
              </w:rPr>
            </w:r>
          </w:p>
        </w:tc>
        <w:tc>
          <w:tcPr>
            <w:tcW w:w="461" w:type="pct"/>
            <w:vAlign w:val="center"/>
            <w:textDirection w:val="lrTb"/>
            <w:noWrap w:val="false"/>
          </w:tcPr>
          <w:p>
            <w:pPr>
              <w:pStyle w:val="1251"/>
              <w:ind w:left="11" w:right="4"/>
              <w:rPr>
                <w:sz w:val="20"/>
                <w:szCs w:val="20"/>
              </w:rPr>
            </w:pPr>
            <w:r>
              <w:rPr>
                <w:sz w:val="20"/>
                <w:szCs w:val="20"/>
              </w:rPr>
              <w:t xml:space="preserve">0,3732</w:t>
            </w:r>
            <w:r>
              <w:rPr>
                <w:sz w:val="20"/>
                <w:szCs w:val="20"/>
              </w:rPr>
            </w:r>
            <w:r>
              <w:rPr>
                <w:sz w:val="20"/>
                <w:szCs w:val="20"/>
              </w:rPr>
            </w:r>
          </w:p>
        </w:tc>
        <w:tc>
          <w:tcPr>
            <w:tcW w:w="456" w:type="pct"/>
            <w:vAlign w:val="center"/>
            <w:textDirection w:val="lrTb"/>
            <w:noWrap w:val="false"/>
          </w:tcPr>
          <w:p>
            <w:pPr>
              <w:pStyle w:val="1251"/>
              <w:ind w:left="11" w:right="4"/>
              <w:rPr>
                <w:sz w:val="20"/>
                <w:szCs w:val="20"/>
              </w:rPr>
            </w:pPr>
            <w:r>
              <w:rPr>
                <w:sz w:val="20"/>
                <w:szCs w:val="20"/>
              </w:rPr>
              <w:t xml:space="preserve">0,3732</w:t>
            </w:r>
            <w:r>
              <w:rPr>
                <w:sz w:val="20"/>
                <w:szCs w:val="20"/>
              </w:rPr>
            </w:r>
            <w:r>
              <w:rPr>
                <w:sz w:val="20"/>
                <w:szCs w:val="20"/>
              </w:rPr>
            </w:r>
          </w:p>
        </w:tc>
        <w:tc>
          <w:tcPr>
            <w:tcW w:w="442" w:type="pct"/>
            <w:vAlign w:val="center"/>
            <w:textDirection w:val="lrTb"/>
            <w:noWrap w:val="false"/>
          </w:tcPr>
          <w:p>
            <w:pPr>
              <w:pStyle w:val="1251"/>
              <w:ind w:left="11" w:right="4"/>
              <w:rPr>
                <w:sz w:val="20"/>
                <w:szCs w:val="20"/>
              </w:rPr>
            </w:pPr>
            <w:r>
              <w:rPr>
                <w:sz w:val="20"/>
                <w:szCs w:val="20"/>
              </w:rPr>
              <w:t xml:space="preserve">0,3732</w:t>
            </w:r>
            <w:r>
              <w:rPr>
                <w:sz w:val="20"/>
                <w:szCs w:val="20"/>
              </w:rPr>
            </w:r>
            <w:r>
              <w:rPr>
                <w:sz w:val="20"/>
                <w:szCs w:val="20"/>
              </w:rPr>
            </w:r>
          </w:p>
        </w:tc>
        <w:tc>
          <w:tcPr>
            <w:tcW w:w="442" w:type="pct"/>
            <w:vAlign w:val="center"/>
            <w:textDirection w:val="lrTb"/>
            <w:noWrap w:val="false"/>
          </w:tcPr>
          <w:p>
            <w:pPr>
              <w:pStyle w:val="1251"/>
              <w:ind w:left="11" w:right="4"/>
              <w:rPr>
                <w:sz w:val="20"/>
                <w:szCs w:val="20"/>
              </w:rPr>
            </w:pPr>
            <w:r>
              <w:rPr>
                <w:sz w:val="20"/>
                <w:szCs w:val="20"/>
              </w:rPr>
              <w:t xml:space="preserve">0,3732</w:t>
            </w:r>
            <w:r>
              <w:rPr>
                <w:sz w:val="20"/>
                <w:szCs w:val="20"/>
              </w:rPr>
            </w:r>
            <w:r>
              <w:rPr>
                <w:sz w:val="20"/>
                <w:szCs w:val="20"/>
              </w:rPr>
            </w:r>
          </w:p>
        </w:tc>
        <w:tc>
          <w:tcPr>
            <w:tcW w:w="494" w:type="pct"/>
            <w:vAlign w:val="center"/>
            <w:textDirection w:val="lrTb"/>
            <w:noWrap w:val="false"/>
          </w:tcPr>
          <w:p>
            <w:pPr>
              <w:pStyle w:val="1251"/>
              <w:ind w:left="11" w:right="4"/>
              <w:rPr>
                <w:sz w:val="20"/>
                <w:szCs w:val="20"/>
              </w:rPr>
            </w:pPr>
            <w:r>
              <w:rPr>
                <w:sz w:val="20"/>
                <w:szCs w:val="20"/>
              </w:rPr>
              <w:t xml:space="preserve">0,3732</w:t>
            </w:r>
            <w:r>
              <w:rPr>
                <w:sz w:val="20"/>
                <w:szCs w:val="20"/>
              </w:rPr>
            </w:r>
            <w:r>
              <w:rPr>
                <w:sz w:val="20"/>
                <w:szCs w:val="20"/>
              </w:rPr>
            </w:r>
          </w:p>
        </w:tc>
      </w:tr>
      <w:tr>
        <w:tblPrEx/>
        <w:trPr>
          <w:trHeight w:val="85"/>
        </w:trPr>
        <w:tc>
          <w:tcPr>
            <w:tcW w:w="2279" w:type="pct"/>
            <w:vAlign w:val="center"/>
            <w:textDirection w:val="lrTb"/>
            <w:noWrap w:val="false"/>
          </w:tcPr>
          <w:p>
            <w:pPr>
              <w:pStyle w:val="1251"/>
              <w:ind w:left="161"/>
              <w:jc w:val="left"/>
              <w:spacing w:line="224" w:lineRule="exact"/>
              <w:rPr>
                <w:sz w:val="20"/>
              </w:rPr>
            </w:pPr>
            <w:r>
              <w:rPr>
                <w:sz w:val="20"/>
              </w:rPr>
              <w:t xml:space="preserve">Резерв</w:t>
            </w:r>
            <w:r>
              <w:rPr>
                <w:spacing w:val="-9"/>
                <w:sz w:val="20"/>
              </w:rPr>
              <w:t xml:space="preserve"> </w:t>
            </w:r>
            <w:r>
              <w:rPr>
                <w:sz w:val="20"/>
              </w:rPr>
              <w:t xml:space="preserve">(+)/Дефицит</w:t>
            </w:r>
            <w:r>
              <w:rPr>
                <w:spacing w:val="-8"/>
                <w:sz w:val="20"/>
              </w:rPr>
              <w:t xml:space="preserve"> </w:t>
            </w:r>
            <w:r>
              <w:rPr>
                <w:sz w:val="20"/>
              </w:rPr>
              <w:t xml:space="preserve">(-)</w:t>
            </w:r>
            <w:r>
              <w:rPr>
                <w:spacing w:val="-7"/>
                <w:sz w:val="20"/>
              </w:rPr>
              <w:t xml:space="preserve"> </w:t>
            </w:r>
            <w:r>
              <w:rPr>
                <w:spacing w:val="-2"/>
                <w:sz w:val="20"/>
              </w:rPr>
              <w:t xml:space="preserve">располагаемой</w:t>
            </w:r>
            <w:r>
              <w:rPr>
                <w:sz w:val="20"/>
              </w:rPr>
            </w:r>
            <w:r>
              <w:rPr>
                <w:sz w:val="20"/>
              </w:rPr>
            </w:r>
          </w:p>
          <w:p>
            <w:pPr>
              <w:pStyle w:val="1251"/>
              <w:ind w:left="161" w:right="4"/>
              <w:jc w:val="left"/>
              <w:rPr>
                <w:sz w:val="20"/>
                <w:szCs w:val="20"/>
              </w:rPr>
            </w:pPr>
            <w:r>
              <w:rPr>
                <w:spacing w:val="-2"/>
                <w:sz w:val="20"/>
              </w:rPr>
              <w:t xml:space="preserve">мощности</w:t>
            </w:r>
            <w:r>
              <w:rPr>
                <w:sz w:val="20"/>
                <w:szCs w:val="20"/>
              </w:rPr>
            </w:r>
            <w:r>
              <w:rPr>
                <w:sz w:val="20"/>
                <w:szCs w:val="20"/>
              </w:rPr>
            </w:r>
          </w:p>
        </w:tc>
        <w:tc>
          <w:tcPr>
            <w:tcW w:w="424" w:type="pct"/>
            <w:vAlign w:val="center"/>
            <w:textDirection w:val="lrTb"/>
            <w:noWrap w:val="false"/>
          </w:tcPr>
          <w:p>
            <w:pPr>
              <w:pStyle w:val="1251"/>
              <w:ind w:right="4"/>
              <w:rPr>
                <w:sz w:val="20"/>
                <w:szCs w:val="20"/>
              </w:rPr>
            </w:pPr>
            <w:r>
              <w:rPr>
                <w:sz w:val="20"/>
                <w:szCs w:val="20"/>
              </w:rPr>
              <w:t xml:space="preserve">0,5418</w:t>
            </w:r>
            <w:r>
              <w:rPr>
                <w:sz w:val="20"/>
                <w:szCs w:val="20"/>
              </w:rPr>
            </w:r>
            <w:r>
              <w:rPr>
                <w:sz w:val="20"/>
                <w:szCs w:val="20"/>
              </w:rPr>
            </w:r>
          </w:p>
        </w:tc>
        <w:tc>
          <w:tcPr>
            <w:tcW w:w="461" w:type="pct"/>
            <w:vAlign w:val="center"/>
            <w:textDirection w:val="lrTb"/>
            <w:noWrap w:val="false"/>
          </w:tcPr>
          <w:p>
            <w:pPr>
              <w:pStyle w:val="1251"/>
              <w:ind w:right="4"/>
              <w:rPr>
                <w:sz w:val="20"/>
                <w:szCs w:val="20"/>
              </w:rPr>
            </w:pPr>
            <w:r>
              <w:rPr>
                <w:sz w:val="20"/>
                <w:szCs w:val="20"/>
              </w:rPr>
              <w:t xml:space="preserve">0,5418</w:t>
            </w:r>
            <w:r>
              <w:rPr>
                <w:sz w:val="20"/>
                <w:szCs w:val="20"/>
              </w:rPr>
            </w:r>
            <w:r>
              <w:rPr>
                <w:sz w:val="20"/>
                <w:szCs w:val="20"/>
              </w:rPr>
            </w:r>
          </w:p>
        </w:tc>
        <w:tc>
          <w:tcPr>
            <w:tcW w:w="456" w:type="pct"/>
            <w:vAlign w:val="center"/>
            <w:textDirection w:val="lrTb"/>
            <w:noWrap w:val="false"/>
          </w:tcPr>
          <w:p>
            <w:pPr>
              <w:pStyle w:val="1251"/>
              <w:ind w:right="4"/>
              <w:rPr>
                <w:sz w:val="20"/>
                <w:szCs w:val="20"/>
              </w:rPr>
            </w:pPr>
            <w:r>
              <w:rPr>
                <w:sz w:val="20"/>
                <w:szCs w:val="20"/>
              </w:rPr>
              <w:t xml:space="preserve">0,5418</w:t>
            </w:r>
            <w:r>
              <w:rPr>
                <w:sz w:val="20"/>
                <w:szCs w:val="20"/>
              </w:rPr>
            </w:r>
            <w:r>
              <w:rPr>
                <w:sz w:val="20"/>
                <w:szCs w:val="20"/>
              </w:rPr>
            </w:r>
          </w:p>
        </w:tc>
        <w:tc>
          <w:tcPr>
            <w:tcW w:w="442" w:type="pct"/>
            <w:vAlign w:val="center"/>
            <w:textDirection w:val="lrTb"/>
            <w:noWrap w:val="false"/>
          </w:tcPr>
          <w:p>
            <w:pPr>
              <w:pStyle w:val="1251"/>
              <w:ind w:right="4"/>
              <w:rPr>
                <w:sz w:val="20"/>
                <w:szCs w:val="20"/>
              </w:rPr>
            </w:pPr>
            <w:r>
              <w:rPr>
                <w:sz w:val="20"/>
                <w:szCs w:val="20"/>
              </w:rPr>
              <w:t xml:space="preserve">0,5418</w:t>
            </w:r>
            <w:r>
              <w:rPr>
                <w:sz w:val="20"/>
                <w:szCs w:val="20"/>
              </w:rPr>
            </w:r>
            <w:r>
              <w:rPr>
                <w:sz w:val="20"/>
                <w:szCs w:val="20"/>
              </w:rPr>
            </w:r>
          </w:p>
        </w:tc>
        <w:tc>
          <w:tcPr>
            <w:tcW w:w="442" w:type="pct"/>
            <w:vAlign w:val="center"/>
            <w:textDirection w:val="lrTb"/>
            <w:noWrap w:val="false"/>
          </w:tcPr>
          <w:p>
            <w:pPr>
              <w:pStyle w:val="1251"/>
              <w:ind w:right="4"/>
              <w:rPr>
                <w:sz w:val="20"/>
                <w:szCs w:val="20"/>
              </w:rPr>
            </w:pPr>
            <w:r>
              <w:rPr>
                <w:sz w:val="20"/>
                <w:szCs w:val="20"/>
              </w:rPr>
              <w:t xml:space="preserve">0,5418</w:t>
            </w:r>
            <w:r>
              <w:rPr>
                <w:sz w:val="20"/>
                <w:szCs w:val="20"/>
              </w:rPr>
            </w:r>
            <w:r>
              <w:rPr>
                <w:sz w:val="20"/>
                <w:szCs w:val="20"/>
              </w:rPr>
            </w:r>
          </w:p>
        </w:tc>
        <w:tc>
          <w:tcPr>
            <w:tcW w:w="494" w:type="pct"/>
            <w:vAlign w:val="center"/>
            <w:textDirection w:val="lrTb"/>
            <w:noWrap w:val="false"/>
          </w:tcPr>
          <w:p>
            <w:pPr>
              <w:pStyle w:val="1251"/>
              <w:ind w:right="4"/>
              <w:rPr>
                <w:sz w:val="20"/>
                <w:szCs w:val="20"/>
              </w:rPr>
            </w:pPr>
            <w:r>
              <w:rPr>
                <w:sz w:val="20"/>
                <w:szCs w:val="20"/>
              </w:rPr>
              <w:t xml:space="preserve">0,5418</w:t>
            </w:r>
            <w:r>
              <w:rPr>
                <w:sz w:val="20"/>
                <w:szCs w:val="20"/>
              </w:rPr>
            </w:r>
            <w:r>
              <w:rPr>
                <w:sz w:val="20"/>
                <w:szCs w:val="20"/>
              </w:rPr>
            </w:r>
          </w:p>
        </w:tc>
      </w:tr>
      <w:tr>
        <w:tblPrEx/>
        <w:trPr>
          <w:trHeight w:val="85"/>
        </w:trPr>
        <w:tc>
          <w:tcPr>
            <w:gridSpan w:val="7"/>
            <w:tcW w:w="5000" w:type="pct"/>
            <w:vAlign w:val="center"/>
            <w:textDirection w:val="lrTb"/>
            <w:noWrap w:val="false"/>
          </w:tcPr>
          <w:p>
            <w:pPr>
              <w:pStyle w:val="1251"/>
              <w:ind w:left="11" w:right="4"/>
              <w:rPr>
                <w:spacing w:val="-4"/>
                <w:sz w:val="20"/>
                <w:szCs w:val="20"/>
              </w:rPr>
            </w:pPr>
            <w:r>
              <w:rPr>
                <w:sz w:val="20"/>
                <w:szCs w:val="20"/>
              </w:rPr>
              <w:t xml:space="preserve">Котельная ФКУ ИК №7 УФСИН России по Курганской области,</w:t>
            </w:r>
            <w:r>
              <w:rPr>
                <w:rFonts w:ascii="Liberation Serif" w:hAnsi="Liberation Serif" w:cs="Calibri"/>
                <w:color w:val="000000"/>
                <w:sz w:val="20"/>
                <w:szCs w:val="20"/>
              </w:rPr>
              <w:t xml:space="preserve"> Курганская область, р.п. Юргамыш, ул. Труда, 147</w:t>
            </w:r>
            <w:r>
              <w:rPr>
                <w:spacing w:val="-4"/>
                <w:sz w:val="20"/>
                <w:szCs w:val="20"/>
              </w:rPr>
            </w:r>
            <w:r>
              <w:rPr>
                <w:spacing w:val="-4"/>
                <w:sz w:val="20"/>
                <w:szCs w:val="20"/>
              </w:rPr>
            </w:r>
          </w:p>
        </w:tc>
      </w:tr>
      <w:tr>
        <w:tblPrEx/>
        <w:trPr>
          <w:trHeight w:val="85"/>
        </w:trPr>
        <w:tc>
          <w:tcPr>
            <w:tcW w:w="2279" w:type="pct"/>
            <w:vAlign w:val="center"/>
            <w:textDirection w:val="lrTb"/>
            <w:noWrap w:val="false"/>
          </w:tcPr>
          <w:p>
            <w:pPr>
              <w:pStyle w:val="1251"/>
              <w:ind w:left="161" w:right="4"/>
              <w:jc w:val="left"/>
              <w:rPr>
                <w:sz w:val="20"/>
                <w:szCs w:val="20"/>
              </w:rPr>
            </w:pPr>
            <w:r>
              <w:rPr>
                <w:spacing w:val="-2"/>
                <w:sz w:val="20"/>
              </w:rPr>
              <w:t xml:space="preserve">Располагаемая</w:t>
            </w:r>
            <w:r>
              <w:rPr>
                <w:spacing w:val="12"/>
                <w:sz w:val="20"/>
              </w:rPr>
              <w:t xml:space="preserve"> </w:t>
            </w:r>
            <w:r>
              <w:rPr>
                <w:spacing w:val="-2"/>
                <w:sz w:val="20"/>
              </w:rPr>
              <w:t xml:space="preserve">мощность</w:t>
            </w:r>
            <w:r>
              <w:rPr>
                <w:sz w:val="20"/>
                <w:szCs w:val="20"/>
              </w:rPr>
            </w:r>
            <w:r>
              <w:rPr>
                <w:sz w:val="20"/>
                <w:szCs w:val="20"/>
              </w:rPr>
            </w:r>
          </w:p>
        </w:tc>
        <w:tc>
          <w:tcPr>
            <w:tcW w:w="424" w:type="pct"/>
            <w:vAlign w:val="center"/>
            <w:textDirection w:val="lrTb"/>
            <w:noWrap w:val="false"/>
          </w:tcPr>
          <w:p>
            <w:pPr>
              <w:pStyle w:val="1251"/>
              <w:ind w:right="4"/>
              <w:rPr>
                <w:sz w:val="20"/>
                <w:szCs w:val="20"/>
              </w:rPr>
            </w:pPr>
            <w:r>
              <w:rPr>
                <w:sz w:val="20"/>
                <w:szCs w:val="20"/>
              </w:rPr>
              <w:t xml:space="preserve">6,15</w:t>
            </w:r>
            <w:r>
              <w:rPr>
                <w:sz w:val="20"/>
                <w:szCs w:val="20"/>
              </w:rPr>
            </w:r>
            <w:r>
              <w:rPr>
                <w:sz w:val="20"/>
                <w:szCs w:val="20"/>
              </w:rPr>
            </w:r>
          </w:p>
        </w:tc>
        <w:tc>
          <w:tcPr>
            <w:tcW w:w="461" w:type="pct"/>
            <w:vAlign w:val="center"/>
            <w:textDirection w:val="lrTb"/>
            <w:noWrap w:val="false"/>
          </w:tcPr>
          <w:p>
            <w:pPr>
              <w:pStyle w:val="1251"/>
              <w:ind w:right="4"/>
              <w:rPr>
                <w:sz w:val="20"/>
                <w:szCs w:val="20"/>
              </w:rPr>
            </w:pPr>
            <w:r>
              <w:rPr>
                <w:sz w:val="20"/>
                <w:szCs w:val="20"/>
              </w:rPr>
              <w:t xml:space="preserve">6,15</w:t>
            </w:r>
            <w:r>
              <w:rPr>
                <w:sz w:val="20"/>
                <w:szCs w:val="20"/>
              </w:rPr>
            </w:r>
            <w:r>
              <w:rPr>
                <w:sz w:val="20"/>
                <w:szCs w:val="20"/>
              </w:rPr>
            </w:r>
          </w:p>
        </w:tc>
        <w:tc>
          <w:tcPr>
            <w:tcW w:w="456" w:type="pct"/>
            <w:vAlign w:val="center"/>
            <w:textDirection w:val="lrTb"/>
            <w:noWrap w:val="false"/>
          </w:tcPr>
          <w:p>
            <w:pPr>
              <w:pStyle w:val="1251"/>
              <w:ind w:right="4"/>
              <w:rPr>
                <w:sz w:val="20"/>
                <w:szCs w:val="20"/>
              </w:rPr>
            </w:pPr>
            <w:r>
              <w:rPr>
                <w:sz w:val="20"/>
                <w:szCs w:val="20"/>
              </w:rPr>
              <w:t xml:space="preserve">6,15</w:t>
            </w:r>
            <w:r>
              <w:rPr>
                <w:sz w:val="20"/>
                <w:szCs w:val="20"/>
              </w:rPr>
            </w:r>
            <w:r>
              <w:rPr>
                <w:sz w:val="20"/>
                <w:szCs w:val="20"/>
              </w:rPr>
            </w:r>
          </w:p>
        </w:tc>
        <w:tc>
          <w:tcPr>
            <w:tcW w:w="442" w:type="pct"/>
            <w:vAlign w:val="center"/>
            <w:textDirection w:val="lrTb"/>
            <w:noWrap w:val="false"/>
          </w:tcPr>
          <w:p>
            <w:pPr>
              <w:pStyle w:val="1251"/>
              <w:ind w:right="4"/>
              <w:rPr>
                <w:sz w:val="20"/>
                <w:szCs w:val="20"/>
              </w:rPr>
            </w:pPr>
            <w:r>
              <w:rPr>
                <w:sz w:val="20"/>
                <w:szCs w:val="20"/>
              </w:rPr>
              <w:t xml:space="preserve">6,15</w:t>
            </w:r>
            <w:r>
              <w:rPr>
                <w:sz w:val="20"/>
                <w:szCs w:val="20"/>
              </w:rPr>
            </w:r>
            <w:r>
              <w:rPr>
                <w:sz w:val="20"/>
                <w:szCs w:val="20"/>
              </w:rPr>
            </w:r>
          </w:p>
        </w:tc>
        <w:tc>
          <w:tcPr>
            <w:tcW w:w="442" w:type="pct"/>
            <w:vAlign w:val="center"/>
            <w:textDirection w:val="lrTb"/>
            <w:noWrap w:val="false"/>
          </w:tcPr>
          <w:p>
            <w:pPr>
              <w:pStyle w:val="1251"/>
              <w:ind w:right="4"/>
              <w:rPr>
                <w:sz w:val="20"/>
                <w:szCs w:val="20"/>
              </w:rPr>
            </w:pPr>
            <w:r>
              <w:rPr>
                <w:sz w:val="20"/>
                <w:szCs w:val="20"/>
              </w:rPr>
              <w:t xml:space="preserve">6,15</w:t>
            </w:r>
            <w:r>
              <w:rPr>
                <w:sz w:val="20"/>
                <w:szCs w:val="20"/>
              </w:rPr>
            </w:r>
            <w:r>
              <w:rPr>
                <w:sz w:val="20"/>
                <w:szCs w:val="20"/>
              </w:rPr>
            </w:r>
          </w:p>
        </w:tc>
        <w:tc>
          <w:tcPr>
            <w:tcW w:w="494" w:type="pct"/>
            <w:vAlign w:val="center"/>
            <w:textDirection w:val="lrTb"/>
            <w:noWrap w:val="false"/>
          </w:tcPr>
          <w:p>
            <w:pPr>
              <w:pStyle w:val="1251"/>
              <w:ind w:right="4"/>
              <w:rPr>
                <w:sz w:val="20"/>
                <w:szCs w:val="20"/>
              </w:rPr>
            </w:pPr>
            <w:r>
              <w:rPr>
                <w:sz w:val="20"/>
                <w:szCs w:val="20"/>
              </w:rPr>
              <w:t xml:space="preserve">6,15</w:t>
            </w:r>
            <w:r>
              <w:rPr>
                <w:sz w:val="20"/>
                <w:szCs w:val="20"/>
              </w:rPr>
            </w:r>
            <w:r>
              <w:rPr>
                <w:sz w:val="20"/>
                <w:szCs w:val="20"/>
              </w:rPr>
            </w:r>
          </w:p>
        </w:tc>
      </w:tr>
      <w:tr>
        <w:tblPrEx/>
        <w:trPr>
          <w:trHeight w:val="85"/>
        </w:trPr>
        <w:tc>
          <w:tcPr>
            <w:tcW w:w="2279" w:type="pct"/>
            <w:vAlign w:val="center"/>
            <w:textDirection w:val="lrTb"/>
            <w:noWrap w:val="false"/>
          </w:tcPr>
          <w:p>
            <w:pPr>
              <w:pStyle w:val="1251"/>
              <w:ind w:left="161" w:right="4"/>
              <w:jc w:val="left"/>
              <w:rPr>
                <w:sz w:val="20"/>
                <w:szCs w:val="20"/>
              </w:rPr>
            </w:pPr>
            <w:r>
              <w:rPr>
                <w:spacing w:val="-2"/>
                <w:sz w:val="20"/>
                <w:szCs w:val="20"/>
              </w:rPr>
              <w:t xml:space="preserve">Присоединенная</w:t>
            </w:r>
            <w:r>
              <w:rPr>
                <w:sz w:val="20"/>
                <w:szCs w:val="20"/>
              </w:rPr>
              <w:t xml:space="preserve"> нагрузка,</w:t>
            </w:r>
            <w:r>
              <w:rPr>
                <w:spacing w:val="-8"/>
                <w:sz w:val="20"/>
                <w:szCs w:val="20"/>
              </w:rPr>
              <w:t xml:space="preserve"> </w:t>
            </w:r>
            <w:r>
              <w:rPr>
                <w:spacing w:val="-2"/>
                <w:sz w:val="20"/>
                <w:szCs w:val="20"/>
              </w:rPr>
              <w:t xml:space="preserve">Гкал\час</w:t>
            </w:r>
            <w:r>
              <w:rPr>
                <w:sz w:val="20"/>
                <w:szCs w:val="20"/>
              </w:rPr>
            </w:r>
            <w:r>
              <w:rPr>
                <w:sz w:val="20"/>
                <w:szCs w:val="20"/>
              </w:rPr>
            </w:r>
          </w:p>
        </w:tc>
        <w:tc>
          <w:tcPr>
            <w:tcW w:w="424" w:type="pct"/>
            <w:vAlign w:val="center"/>
            <w:textDirection w:val="lrTb"/>
            <w:noWrap w:val="false"/>
          </w:tcPr>
          <w:p>
            <w:pPr>
              <w:pStyle w:val="1251"/>
              <w:ind w:right="4"/>
              <w:rPr>
                <w:sz w:val="20"/>
                <w:szCs w:val="20"/>
              </w:rPr>
            </w:pPr>
            <w:r>
              <w:rPr>
                <w:sz w:val="20"/>
                <w:szCs w:val="20"/>
              </w:rPr>
              <w:t xml:space="preserve">н/д</w:t>
            </w:r>
            <w:r>
              <w:rPr>
                <w:sz w:val="20"/>
                <w:szCs w:val="20"/>
              </w:rPr>
            </w:r>
            <w:r>
              <w:rPr>
                <w:sz w:val="20"/>
                <w:szCs w:val="20"/>
              </w:rPr>
            </w:r>
          </w:p>
        </w:tc>
        <w:tc>
          <w:tcPr>
            <w:tcW w:w="461" w:type="pct"/>
            <w:vAlign w:val="center"/>
            <w:textDirection w:val="lrTb"/>
            <w:noWrap w:val="false"/>
          </w:tcPr>
          <w:p>
            <w:pPr>
              <w:pStyle w:val="1251"/>
              <w:ind w:right="4"/>
              <w:rPr>
                <w:sz w:val="20"/>
                <w:szCs w:val="20"/>
              </w:rPr>
            </w:pPr>
            <w:r>
              <w:rPr>
                <w:sz w:val="20"/>
                <w:szCs w:val="20"/>
              </w:rPr>
              <w:t xml:space="preserve">н/д</w:t>
            </w:r>
            <w:r>
              <w:rPr>
                <w:sz w:val="20"/>
                <w:szCs w:val="20"/>
              </w:rPr>
            </w:r>
            <w:r>
              <w:rPr>
                <w:sz w:val="20"/>
                <w:szCs w:val="20"/>
              </w:rPr>
            </w:r>
          </w:p>
        </w:tc>
        <w:tc>
          <w:tcPr>
            <w:tcW w:w="456" w:type="pct"/>
            <w:vAlign w:val="center"/>
            <w:textDirection w:val="lrTb"/>
            <w:noWrap w:val="false"/>
          </w:tcPr>
          <w:p>
            <w:pPr>
              <w:pStyle w:val="1251"/>
              <w:ind w:right="4"/>
              <w:rPr>
                <w:sz w:val="20"/>
                <w:szCs w:val="20"/>
              </w:rPr>
            </w:pPr>
            <w:r>
              <w:rPr>
                <w:sz w:val="20"/>
                <w:szCs w:val="20"/>
              </w:rPr>
              <w:t xml:space="preserve">н/д</w:t>
            </w:r>
            <w:r>
              <w:rPr>
                <w:sz w:val="20"/>
                <w:szCs w:val="20"/>
              </w:rPr>
            </w:r>
            <w:r>
              <w:rPr>
                <w:sz w:val="20"/>
                <w:szCs w:val="20"/>
              </w:rPr>
            </w:r>
          </w:p>
        </w:tc>
        <w:tc>
          <w:tcPr>
            <w:tcW w:w="442" w:type="pct"/>
            <w:vAlign w:val="center"/>
            <w:textDirection w:val="lrTb"/>
            <w:noWrap w:val="false"/>
          </w:tcPr>
          <w:p>
            <w:pPr>
              <w:pStyle w:val="1251"/>
              <w:ind w:right="4"/>
              <w:rPr>
                <w:sz w:val="20"/>
                <w:szCs w:val="20"/>
              </w:rPr>
            </w:pPr>
            <w:r>
              <w:rPr>
                <w:sz w:val="20"/>
                <w:szCs w:val="20"/>
              </w:rPr>
              <w:t xml:space="preserve">н/д</w:t>
            </w:r>
            <w:r>
              <w:rPr>
                <w:sz w:val="20"/>
                <w:szCs w:val="20"/>
              </w:rPr>
            </w:r>
            <w:r>
              <w:rPr>
                <w:sz w:val="20"/>
                <w:szCs w:val="20"/>
              </w:rPr>
            </w:r>
          </w:p>
        </w:tc>
        <w:tc>
          <w:tcPr>
            <w:tcW w:w="442" w:type="pct"/>
            <w:vAlign w:val="center"/>
            <w:textDirection w:val="lrTb"/>
            <w:noWrap w:val="false"/>
          </w:tcPr>
          <w:p>
            <w:pPr>
              <w:pStyle w:val="1251"/>
              <w:ind w:right="4"/>
              <w:rPr>
                <w:sz w:val="20"/>
                <w:szCs w:val="20"/>
              </w:rPr>
            </w:pPr>
            <w:r>
              <w:rPr>
                <w:sz w:val="20"/>
                <w:szCs w:val="20"/>
              </w:rPr>
              <w:t xml:space="preserve">н/д</w:t>
            </w:r>
            <w:r>
              <w:rPr>
                <w:sz w:val="20"/>
                <w:szCs w:val="20"/>
              </w:rPr>
            </w:r>
            <w:r>
              <w:rPr>
                <w:sz w:val="20"/>
                <w:szCs w:val="20"/>
              </w:rPr>
            </w:r>
          </w:p>
        </w:tc>
        <w:tc>
          <w:tcPr>
            <w:tcW w:w="494" w:type="pct"/>
            <w:vAlign w:val="center"/>
            <w:textDirection w:val="lrTb"/>
            <w:noWrap w:val="false"/>
          </w:tcPr>
          <w:p>
            <w:pPr>
              <w:pStyle w:val="1251"/>
              <w:ind w:right="4"/>
              <w:rPr>
                <w:sz w:val="20"/>
                <w:szCs w:val="20"/>
              </w:rPr>
            </w:pPr>
            <w:r>
              <w:rPr>
                <w:sz w:val="20"/>
                <w:szCs w:val="20"/>
              </w:rPr>
              <w:t xml:space="preserve">н/д</w:t>
            </w:r>
            <w:r>
              <w:rPr>
                <w:sz w:val="20"/>
                <w:szCs w:val="20"/>
              </w:rPr>
            </w:r>
            <w:r>
              <w:rPr>
                <w:sz w:val="20"/>
                <w:szCs w:val="20"/>
              </w:rPr>
            </w:r>
          </w:p>
        </w:tc>
      </w:tr>
      <w:tr>
        <w:tblPrEx/>
        <w:trPr>
          <w:trHeight w:val="85"/>
        </w:trPr>
        <w:tc>
          <w:tcPr>
            <w:tcW w:w="2279" w:type="pct"/>
            <w:vAlign w:val="center"/>
            <w:textDirection w:val="lrTb"/>
            <w:noWrap w:val="false"/>
          </w:tcPr>
          <w:p>
            <w:pPr>
              <w:pStyle w:val="1251"/>
              <w:ind w:left="161"/>
              <w:jc w:val="left"/>
              <w:spacing w:line="224" w:lineRule="exact"/>
              <w:rPr>
                <w:sz w:val="20"/>
              </w:rPr>
            </w:pPr>
            <w:r>
              <w:rPr>
                <w:sz w:val="20"/>
              </w:rPr>
              <w:t xml:space="preserve">Резерв</w:t>
            </w:r>
            <w:r>
              <w:rPr>
                <w:spacing w:val="-9"/>
                <w:sz w:val="20"/>
              </w:rPr>
              <w:t xml:space="preserve"> </w:t>
            </w:r>
            <w:r>
              <w:rPr>
                <w:sz w:val="20"/>
              </w:rPr>
              <w:t xml:space="preserve">(+)/Дефицит</w:t>
            </w:r>
            <w:r>
              <w:rPr>
                <w:spacing w:val="-8"/>
                <w:sz w:val="20"/>
              </w:rPr>
              <w:t xml:space="preserve"> </w:t>
            </w:r>
            <w:r>
              <w:rPr>
                <w:sz w:val="20"/>
              </w:rPr>
              <w:t xml:space="preserve">(-)</w:t>
            </w:r>
            <w:r>
              <w:rPr>
                <w:spacing w:val="-7"/>
                <w:sz w:val="20"/>
              </w:rPr>
              <w:t xml:space="preserve"> </w:t>
            </w:r>
            <w:r>
              <w:rPr>
                <w:spacing w:val="-2"/>
                <w:sz w:val="20"/>
              </w:rPr>
              <w:t xml:space="preserve">располагаемой</w:t>
            </w:r>
            <w:r>
              <w:rPr>
                <w:sz w:val="20"/>
              </w:rPr>
            </w:r>
            <w:r>
              <w:rPr>
                <w:sz w:val="20"/>
              </w:rPr>
            </w:r>
          </w:p>
          <w:p>
            <w:pPr>
              <w:pStyle w:val="1251"/>
              <w:ind w:left="161" w:right="4"/>
              <w:jc w:val="left"/>
              <w:rPr>
                <w:sz w:val="20"/>
                <w:szCs w:val="20"/>
              </w:rPr>
            </w:pPr>
            <w:r>
              <w:rPr>
                <w:spacing w:val="-2"/>
                <w:sz w:val="20"/>
              </w:rPr>
              <w:t xml:space="preserve">мощности</w:t>
            </w:r>
            <w:r>
              <w:rPr>
                <w:sz w:val="20"/>
                <w:szCs w:val="20"/>
              </w:rPr>
            </w:r>
            <w:r>
              <w:rPr>
                <w:sz w:val="20"/>
                <w:szCs w:val="20"/>
              </w:rPr>
            </w:r>
          </w:p>
        </w:tc>
        <w:tc>
          <w:tcPr>
            <w:tcW w:w="424" w:type="pct"/>
            <w:vAlign w:val="center"/>
            <w:textDirection w:val="lrTb"/>
            <w:noWrap w:val="false"/>
          </w:tcPr>
          <w:p>
            <w:pPr>
              <w:pStyle w:val="1251"/>
              <w:ind w:right="4"/>
              <w:rPr>
                <w:sz w:val="20"/>
                <w:szCs w:val="20"/>
              </w:rPr>
            </w:pPr>
            <w:r>
              <w:rPr>
                <w:sz w:val="20"/>
                <w:szCs w:val="20"/>
              </w:rPr>
              <w:t xml:space="preserve">н/д</w:t>
            </w:r>
            <w:r>
              <w:rPr>
                <w:sz w:val="20"/>
                <w:szCs w:val="20"/>
              </w:rPr>
            </w:r>
            <w:r>
              <w:rPr>
                <w:sz w:val="20"/>
                <w:szCs w:val="20"/>
              </w:rPr>
            </w:r>
          </w:p>
        </w:tc>
        <w:tc>
          <w:tcPr>
            <w:tcW w:w="461" w:type="pct"/>
            <w:vAlign w:val="center"/>
            <w:textDirection w:val="lrTb"/>
            <w:noWrap w:val="false"/>
          </w:tcPr>
          <w:p>
            <w:pPr>
              <w:pStyle w:val="1251"/>
              <w:ind w:right="4"/>
              <w:rPr>
                <w:sz w:val="20"/>
                <w:szCs w:val="20"/>
              </w:rPr>
            </w:pPr>
            <w:r>
              <w:rPr>
                <w:sz w:val="20"/>
                <w:szCs w:val="20"/>
              </w:rPr>
              <w:t xml:space="preserve">н/д</w:t>
            </w:r>
            <w:r>
              <w:rPr>
                <w:sz w:val="20"/>
                <w:szCs w:val="20"/>
              </w:rPr>
            </w:r>
            <w:r>
              <w:rPr>
                <w:sz w:val="20"/>
                <w:szCs w:val="20"/>
              </w:rPr>
            </w:r>
          </w:p>
        </w:tc>
        <w:tc>
          <w:tcPr>
            <w:tcW w:w="456" w:type="pct"/>
            <w:vAlign w:val="center"/>
            <w:textDirection w:val="lrTb"/>
            <w:noWrap w:val="false"/>
          </w:tcPr>
          <w:p>
            <w:pPr>
              <w:pStyle w:val="1251"/>
              <w:ind w:right="4"/>
              <w:rPr>
                <w:sz w:val="20"/>
                <w:szCs w:val="20"/>
              </w:rPr>
            </w:pPr>
            <w:r>
              <w:rPr>
                <w:sz w:val="20"/>
                <w:szCs w:val="20"/>
              </w:rPr>
              <w:t xml:space="preserve">н/д</w:t>
            </w:r>
            <w:r>
              <w:rPr>
                <w:sz w:val="20"/>
                <w:szCs w:val="20"/>
              </w:rPr>
            </w:r>
            <w:r>
              <w:rPr>
                <w:sz w:val="20"/>
                <w:szCs w:val="20"/>
              </w:rPr>
            </w:r>
          </w:p>
        </w:tc>
        <w:tc>
          <w:tcPr>
            <w:tcW w:w="442" w:type="pct"/>
            <w:vAlign w:val="center"/>
            <w:textDirection w:val="lrTb"/>
            <w:noWrap w:val="false"/>
          </w:tcPr>
          <w:p>
            <w:pPr>
              <w:pStyle w:val="1251"/>
              <w:ind w:right="4"/>
              <w:rPr>
                <w:sz w:val="20"/>
                <w:szCs w:val="20"/>
              </w:rPr>
            </w:pPr>
            <w:r>
              <w:rPr>
                <w:sz w:val="20"/>
                <w:szCs w:val="20"/>
              </w:rPr>
              <w:t xml:space="preserve">н/д</w:t>
            </w:r>
            <w:r>
              <w:rPr>
                <w:sz w:val="20"/>
                <w:szCs w:val="20"/>
              </w:rPr>
            </w:r>
            <w:r>
              <w:rPr>
                <w:sz w:val="20"/>
                <w:szCs w:val="20"/>
              </w:rPr>
            </w:r>
          </w:p>
        </w:tc>
        <w:tc>
          <w:tcPr>
            <w:tcW w:w="442" w:type="pct"/>
            <w:vAlign w:val="center"/>
            <w:textDirection w:val="lrTb"/>
            <w:noWrap w:val="false"/>
          </w:tcPr>
          <w:p>
            <w:pPr>
              <w:pStyle w:val="1251"/>
              <w:ind w:right="4"/>
              <w:rPr>
                <w:sz w:val="20"/>
                <w:szCs w:val="20"/>
              </w:rPr>
            </w:pPr>
            <w:r>
              <w:rPr>
                <w:sz w:val="20"/>
                <w:szCs w:val="20"/>
              </w:rPr>
              <w:t xml:space="preserve">н/д</w:t>
            </w:r>
            <w:r>
              <w:rPr>
                <w:sz w:val="20"/>
                <w:szCs w:val="20"/>
              </w:rPr>
            </w:r>
            <w:r>
              <w:rPr>
                <w:sz w:val="20"/>
                <w:szCs w:val="20"/>
              </w:rPr>
            </w:r>
          </w:p>
        </w:tc>
        <w:tc>
          <w:tcPr>
            <w:tcW w:w="494" w:type="pct"/>
            <w:vAlign w:val="center"/>
            <w:textDirection w:val="lrTb"/>
            <w:noWrap w:val="false"/>
          </w:tcPr>
          <w:p>
            <w:pPr>
              <w:pStyle w:val="1251"/>
              <w:ind w:right="4"/>
              <w:rPr>
                <w:sz w:val="20"/>
                <w:szCs w:val="20"/>
              </w:rPr>
            </w:pPr>
            <w:r>
              <w:rPr>
                <w:sz w:val="20"/>
                <w:szCs w:val="20"/>
              </w:rPr>
              <w:t xml:space="preserve">н/д</w:t>
            </w:r>
            <w:r>
              <w:rPr>
                <w:sz w:val="20"/>
                <w:szCs w:val="20"/>
              </w:rPr>
            </w:r>
            <w:r>
              <w:rPr>
                <w:sz w:val="20"/>
                <w:szCs w:val="20"/>
              </w:rPr>
            </w:r>
          </w:p>
        </w:tc>
      </w:tr>
      <w:tr>
        <w:tblPrEx/>
        <w:trPr>
          <w:trHeight w:val="85"/>
        </w:trPr>
        <w:tc>
          <w:tcPr>
            <w:gridSpan w:val="7"/>
            <w:tcW w:w="5000" w:type="pct"/>
            <w:vAlign w:val="center"/>
            <w:textDirection w:val="lrTb"/>
            <w:noWrap w:val="false"/>
          </w:tcPr>
          <w:p>
            <w:pPr>
              <w:pStyle w:val="1251"/>
              <w:ind w:left="11" w:right="4"/>
              <w:rPr>
                <w:spacing w:val="-4"/>
                <w:sz w:val="20"/>
                <w:szCs w:val="20"/>
              </w:rPr>
            </w:pPr>
            <w:r>
              <w:rPr>
                <w:sz w:val="20"/>
                <w:szCs w:val="20"/>
              </w:rPr>
              <w:t xml:space="preserve">Котельная </w:t>
            </w:r>
            <w:r>
              <w:rPr>
                <w:rFonts w:ascii="Liberation Serif" w:hAnsi="Liberation Serif" w:cs="Calibri"/>
                <w:color w:val="000000"/>
                <w:sz w:val="20"/>
                <w:szCs w:val="20"/>
              </w:rPr>
              <w:t xml:space="preserve">р.п. Юргамыш, ул. Ленина, 47а</w:t>
            </w:r>
            <w:r>
              <w:rPr>
                <w:spacing w:val="-4"/>
                <w:sz w:val="20"/>
                <w:szCs w:val="20"/>
              </w:rPr>
            </w:r>
            <w:r>
              <w:rPr>
                <w:spacing w:val="-4"/>
                <w:sz w:val="20"/>
                <w:szCs w:val="20"/>
              </w:rPr>
            </w:r>
          </w:p>
        </w:tc>
      </w:tr>
      <w:tr>
        <w:tblPrEx/>
        <w:trPr>
          <w:trHeight w:val="85"/>
        </w:trPr>
        <w:tc>
          <w:tcPr>
            <w:tcW w:w="2279" w:type="pct"/>
            <w:vAlign w:val="center"/>
            <w:textDirection w:val="lrTb"/>
            <w:noWrap w:val="false"/>
          </w:tcPr>
          <w:p>
            <w:pPr>
              <w:pStyle w:val="1251"/>
              <w:ind w:left="161" w:right="4"/>
              <w:jc w:val="left"/>
              <w:rPr>
                <w:sz w:val="20"/>
                <w:szCs w:val="20"/>
              </w:rPr>
            </w:pPr>
            <w:r>
              <w:rPr>
                <w:spacing w:val="-2"/>
                <w:sz w:val="20"/>
              </w:rPr>
              <w:t xml:space="preserve">Располагаемая</w:t>
            </w:r>
            <w:r>
              <w:rPr>
                <w:spacing w:val="12"/>
                <w:sz w:val="20"/>
              </w:rPr>
              <w:t xml:space="preserve"> </w:t>
            </w:r>
            <w:r>
              <w:rPr>
                <w:spacing w:val="-2"/>
                <w:sz w:val="20"/>
              </w:rPr>
              <w:t xml:space="preserve">мощность</w:t>
            </w:r>
            <w:r>
              <w:rPr>
                <w:sz w:val="20"/>
                <w:szCs w:val="20"/>
              </w:rPr>
            </w:r>
            <w:r>
              <w:rPr>
                <w:sz w:val="20"/>
                <w:szCs w:val="20"/>
              </w:rPr>
            </w:r>
          </w:p>
        </w:tc>
        <w:tc>
          <w:tcPr>
            <w:tcW w:w="424" w:type="pct"/>
            <w:vAlign w:val="center"/>
            <w:textDirection w:val="lrTb"/>
            <w:noWrap w:val="false"/>
          </w:tcPr>
          <w:p>
            <w:pPr>
              <w:pStyle w:val="1251"/>
              <w:ind w:right="4"/>
              <w:rPr>
                <w:sz w:val="20"/>
                <w:szCs w:val="20"/>
              </w:rPr>
            </w:pPr>
            <w:r>
              <w:rPr>
                <w:sz w:val="20"/>
                <w:szCs w:val="20"/>
              </w:rPr>
              <w:t xml:space="preserve">4,761</w:t>
            </w:r>
            <w:r>
              <w:rPr>
                <w:sz w:val="20"/>
                <w:szCs w:val="20"/>
              </w:rPr>
            </w:r>
            <w:r>
              <w:rPr>
                <w:sz w:val="20"/>
                <w:szCs w:val="20"/>
              </w:rPr>
            </w:r>
          </w:p>
        </w:tc>
        <w:tc>
          <w:tcPr>
            <w:tcW w:w="461" w:type="pct"/>
            <w:vAlign w:val="center"/>
            <w:textDirection w:val="lrTb"/>
            <w:noWrap w:val="false"/>
          </w:tcPr>
          <w:p>
            <w:pPr>
              <w:pStyle w:val="1251"/>
              <w:ind w:right="4"/>
              <w:rPr>
                <w:sz w:val="20"/>
                <w:szCs w:val="20"/>
              </w:rPr>
            </w:pPr>
            <w:r>
              <w:rPr>
                <w:sz w:val="20"/>
                <w:szCs w:val="20"/>
              </w:rPr>
              <w:t xml:space="preserve">4,761</w:t>
            </w:r>
            <w:r>
              <w:rPr>
                <w:sz w:val="20"/>
                <w:szCs w:val="20"/>
              </w:rPr>
            </w:r>
            <w:r>
              <w:rPr>
                <w:sz w:val="20"/>
                <w:szCs w:val="20"/>
              </w:rPr>
            </w:r>
          </w:p>
        </w:tc>
        <w:tc>
          <w:tcPr>
            <w:tcW w:w="456" w:type="pct"/>
            <w:vAlign w:val="center"/>
            <w:textDirection w:val="lrTb"/>
            <w:noWrap w:val="false"/>
          </w:tcPr>
          <w:p>
            <w:pPr>
              <w:pStyle w:val="1251"/>
              <w:ind w:right="4"/>
              <w:rPr>
                <w:sz w:val="20"/>
                <w:szCs w:val="20"/>
              </w:rPr>
            </w:pPr>
            <w:r>
              <w:rPr>
                <w:sz w:val="20"/>
                <w:szCs w:val="20"/>
              </w:rPr>
              <w:t xml:space="preserve">4,761</w:t>
            </w:r>
            <w:r>
              <w:rPr>
                <w:sz w:val="20"/>
                <w:szCs w:val="20"/>
              </w:rPr>
            </w:r>
            <w:r>
              <w:rPr>
                <w:sz w:val="20"/>
                <w:szCs w:val="20"/>
              </w:rPr>
            </w:r>
          </w:p>
        </w:tc>
        <w:tc>
          <w:tcPr>
            <w:tcW w:w="442" w:type="pct"/>
            <w:vAlign w:val="center"/>
            <w:textDirection w:val="lrTb"/>
            <w:noWrap w:val="false"/>
          </w:tcPr>
          <w:p>
            <w:pPr>
              <w:pStyle w:val="1251"/>
              <w:ind w:right="4"/>
              <w:rPr>
                <w:sz w:val="20"/>
                <w:szCs w:val="20"/>
              </w:rPr>
            </w:pPr>
            <w:r>
              <w:rPr>
                <w:sz w:val="20"/>
                <w:szCs w:val="20"/>
              </w:rPr>
              <w:t xml:space="preserve">4,761</w:t>
            </w:r>
            <w:r>
              <w:rPr>
                <w:sz w:val="20"/>
                <w:szCs w:val="20"/>
              </w:rPr>
            </w:r>
            <w:r>
              <w:rPr>
                <w:sz w:val="20"/>
                <w:szCs w:val="20"/>
              </w:rPr>
            </w:r>
          </w:p>
        </w:tc>
        <w:tc>
          <w:tcPr>
            <w:tcW w:w="442" w:type="pct"/>
            <w:vAlign w:val="center"/>
            <w:textDirection w:val="lrTb"/>
            <w:noWrap w:val="false"/>
          </w:tcPr>
          <w:p>
            <w:pPr>
              <w:pStyle w:val="1251"/>
              <w:ind w:right="4"/>
              <w:rPr>
                <w:sz w:val="20"/>
                <w:szCs w:val="20"/>
              </w:rPr>
            </w:pPr>
            <w:r>
              <w:rPr>
                <w:sz w:val="20"/>
                <w:szCs w:val="20"/>
              </w:rPr>
              <w:t xml:space="preserve">4,761</w:t>
            </w:r>
            <w:r>
              <w:rPr>
                <w:sz w:val="20"/>
                <w:szCs w:val="20"/>
              </w:rPr>
            </w:r>
            <w:r>
              <w:rPr>
                <w:sz w:val="20"/>
                <w:szCs w:val="20"/>
              </w:rPr>
            </w:r>
          </w:p>
        </w:tc>
        <w:tc>
          <w:tcPr>
            <w:tcW w:w="494" w:type="pct"/>
            <w:vAlign w:val="center"/>
            <w:textDirection w:val="lrTb"/>
            <w:noWrap w:val="false"/>
          </w:tcPr>
          <w:p>
            <w:pPr>
              <w:pStyle w:val="1251"/>
              <w:ind w:right="4"/>
              <w:rPr>
                <w:sz w:val="20"/>
                <w:szCs w:val="20"/>
              </w:rPr>
            </w:pPr>
            <w:r>
              <w:rPr>
                <w:sz w:val="20"/>
                <w:szCs w:val="20"/>
              </w:rPr>
              <w:t xml:space="preserve">4,761</w:t>
            </w:r>
            <w:r>
              <w:rPr>
                <w:sz w:val="20"/>
                <w:szCs w:val="20"/>
              </w:rPr>
            </w:r>
            <w:r>
              <w:rPr>
                <w:sz w:val="20"/>
                <w:szCs w:val="20"/>
              </w:rPr>
            </w:r>
          </w:p>
        </w:tc>
      </w:tr>
      <w:tr>
        <w:tblPrEx/>
        <w:trPr>
          <w:trHeight w:val="85"/>
        </w:trPr>
        <w:tc>
          <w:tcPr>
            <w:tcW w:w="2279" w:type="pct"/>
            <w:vAlign w:val="center"/>
            <w:textDirection w:val="lrTb"/>
            <w:noWrap w:val="false"/>
          </w:tcPr>
          <w:p>
            <w:pPr>
              <w:pStyle w:val="1251"/>
              <w:ind w:left="161" w:right="4"/>
              <w:jc w:val="left"/>
              <w:rPr>
                <w:sz w:val="20"/>
                <w:szCs w:val="20"/>
              </w:rPr>
            </w:pPr>
            <w:r>
              <w:rPr>
                <w:spacing w:val="-2"/>
                <w:sz w:val="20"/>
                <w:szCs w:val="20"/>
              </w:rPr>
              <w:t xml:space="preserve">Присоединенная</w:t>
            </w:r>
            <w:r>
              <w:rPr>
                <w:sz w:val="20"/>
                <w:szCs w:val="20"/>
              </w:rPr>
              <w:t xml:space="preserve"> нагрузка,</w:t>
            </w:r>
            <w:r>
              <w:rPr>
                <w:spacing w:val="-8"/>
                <w:sz w:val="20"/>
                <w:szCs w:val="20"/>
              </w:rPr>
              <w:t xml:space="preserve"> </w:t>
            </w:r>
            <w:r>
              <w:rPr>
                <w:spacing w:val="-2"/>
                <w:sz w:val="20"/>
                <w:szCs w:val="20"/>
              </w:rPr>
              <w:t xml:space="preserve">Гкал\час</w:t>
            </w:r>
            <w:r>
              <w:rPr>
                <w:sz w:val="20"/>
                <w:szCs w:val="20"/>
              </w:rPr>
            </w:r>
            <w:r>
              <w:rPr>
                <w:sz w:val="20"/>
                <w:szCs w:val="20"/>
              </w:rPr>
            </w:r>
          </w:p>
        </w:tc>
        <w:tc>
          <w:tcPr>
            <w:tcW w:w="424" w:type="pct"/>
            <w:vAlign w:val="center"/>
            <w:textDirection w:val="lrTb"/>
            <w:noWrap w:val="false"/>
          </w:tcPr>
          <w:p>
            <w:pPr>
              <w:pStyle w:val="1251"/>
              <w:ind w:right="4"/>
              <w:rPr>
                <w:sz w:val="20"/>
                <w:szCs w:val="20"/>
              </w:rPr>
            </w:pPr>
            <w:r>
              <w:rPr>
                <w:sz w:val="20"/>
                <w:szCs w:val="20"/>
              </w:rPr>
              <w:t xml:space="preserve">3,324</w:t>
            </w:r>
            <w:r>
              <w:rPr>
                <w:sz w:val="20"/>
                <w:szCs w:val="20"/>
              </w:rPr>
            </w:r>
            <w:r>
              <w:rPr>
                <w:sz w:val="20"/>
                <w:szCs w:val="20"/>
              </w:rPr>
            </w:r>
          </w:p>
        </w:tc>
        <w:tc>
          <w:tcPr>
            <w:tcW w:w="461" w:type="pct"/>
            <w:vAlign w:val="center"/>
            <w:textDirection w:val="lrTb"/>
            <w:noWrap w:val="false"/>
          </w:tcPr>
          <w:p>
            <w:pPr>
              <w:pStyle w:val="1251"/>
              <w:ind w:right="4"/>
              <w:rPr>
                <w:sz w:val="20"/>
                <w:szCs w:val="20"/>
              </w:rPr>
            </w:pPr>
            <w:r>
              <w:rPr>
                <w:sz w:val="20"/>
                <w:szCs w:val="20"/>
              </w:rPr>
              <w:t xml:space="preserve">3,324</w:t>
            </w:r>
            <w:r>
              <w:rPr>
                <w:sz w:val="20"/>
                <w:szCs w:val="20"/>
              </w:rPr>
            </w:r>
            <w:r>
              <w:rPr>
                <w:sz w:val="20"/>
                <w:szCs w:val="20"/>
              </w:rPr>
            </w:r>
          </w:p>
        </w:tc>
        <w:tc>
          <w:tcPr>
            <w:tcW w:w="456" w:type="pct"/>
            <w:vAlign w:val="center"/>
            <w:textDirection w:val="lrTb"/>
            <w:noWrap w:val="false"/>
          </w:tcPr>
          <w:p>
            <w:pPr>
              <w:pStyle w:val="1251"/>
              <w:ind w:right="4"/>
              <w:rPr>
                <w:sz w:val="20"/>
                <w:szCs w:val="20"/>
              </w:rPr>
            </w:pPr>
            <w:r>
              <w:rPr>
                <w:sz w:val="20"/>
                <w:szCs w:val="20"/>
              </w:rPr>
              <w:t xml:space="preserve">3,324</w:t>
            </w:r>
            <w:r>
              <w:rPr>
                <w:sz w:val="20"/>
                <w:szCs w:val="20"/>
              </w:rPr>
            </w:r>
            <w:r>
              <w:rPr>
                <w:sz w:val="20"/>
                <w:szCs w:val="20"/>
              </w:rPr>
            </w:r>
          </w:p>
        </w:tc>
        <w:tc>
          <w:tcPr>
            <w:tcW w:w="442" w:type="pct"/>
            <w:vAlign w:val="center"/>
            <w:textDirection w:val="lrTb"/>
            <w:noWrap w:val="false"/>
          </w:tcPr>
          <w:p>
            <w:pPr>
              <w:pStyle w:val="1251"/>
              <w:ind w:right="4"/>
              <w:rPr>
                <w:sz w:val="20"/>
                <w:szCs w:val="20"/>
              </w:rPr>
            </w:pPr>
            <w:r>
              <w:rPr>
                <w:sz w:val="20"/>
                <w:szCs w:val="20"/>
              </w:rPr>
              <w:t xml:space="preserve">3,324</w:t>
            </w:r>
            <w:r>
              <w:rPr>
                <w:sz w:val="20"/>
                <w:szCs w:val="20"/>
              </w:rPr>
            </w:r>
            <w:r>
              <w:rPr>
                <w:sz w:val="20"/>
                <w:szCs w:val="20"/>
              </w:rPr>
            </w:r>
          </w:p>
        </w:tc>
        <w:tc>
          <w:tcPr>
            <w:tcW w:w="442" w:type="pct"/>
            <w:vAlign w:val="center"/>
            <w:textDirection w:val="lrTb"/>
            <w:noWrap w:val="false"/>
          </w:tcPr>
          <w:p>
            <w:pPr>
              <w:pStyle w:val="1251"/>
              <w:ind w:right="4"/>
              <w:rPr>
                <w:sz w:val="20"/>
                <w:szCs w:val="20"/>
              </w:rPr>
            </w:pPr>
            <w:r>
              <w:rPr>
                <w:sz w:val="20"/>
                <w:szCs w:val="20"/>
              </w:rPr>
              <w:t xml:space="preserve">3,324</w:t>
            </w:r>
            <w:r>
              <w:rPr>
                <w:sz w:val="20"/>
                <w:szCs w:val="20"/>
              </w:rPr>
            </w:r>
            <w:r>
              <w:rPr>
                <w:sz w:val="20"/>
                <w:szCs w:val="20"/>
              </w:rPr>
            </w:r>
          </w:p>
        </w:tc>
        <w:tc>
          <w:tcPr>
            <w:tcW w:w="494" w:type="pct"/>
            <w:vAlign w:val="center"/>
            <w:textDirection w:val="lrTb"/>
            <w:noWrap w:val="false"/>
          </w:tcPr>
          <w:p>
            <w:pPr>
              <w:pStyle w:val="1251"/>
              <w:ind w:right="4"/>
              <w:rPr>
                <w:sz w:val="20"/>
                <w:szCs w:val="20"/>
              </w:rPr>
            </w:pPr>
            <w:r>
              <w:rPr>
                <w:sz w:val="20"/>
                <w:szCs w:val="20"/>
              </w:rPr>
              <w:t xml:space="preserve">3,324</w:t>
            </w:r>
            <w:r>
              <w:rPr>
                <w:sz w:val="20"/>
                <w:szCs w:val="20"/>
              </w:rPr>
            </w:r>
            <w:r>
              <w:rPr>
                <w:sz w:val="20"/>
                <w:szCs w:val="20"/>
              </w:rPr>
            </w:r>
          </w:p>
        </w:tc>
      </w:tr>
      <w:tr>
        <w:tblPrEx/>
        <w:trPr>
          <w:trHeight w:val="85"/>
        </w:trPr>
        <w:tc>
          <w:tcPr>
            <w:tcW w:w="2279" w:type="pct"/>
            <w:vAlign w:val="center"/>
            <w:textDirection w:val="lrTb"/>
            <w:noWrap w:val="false"/>
          </w:tcPr>
          <w:p>
            <w:pPr>
              <w:pStyle w:val="1251"/>
              <w:ind w:left="161"/>
              <w:jc w:val="left"/>
              <w:spacing w:line="224" w:lineRule="exact"/>
              <w:rPr>
                <w:sz w:val="20"/>
              </w:rPr>
            </w:pPr>
            <w:r>
              <w:rPr>
                <w:sz w:val="20"/>
              </w:rPr>
              <w:t xml:space="preserve">Резерв</w:t>
            </w:r>
            <w:r>
              <w:rPr>
                <w:spacing w:val="-9"/>
                <w:sz w:val="20"/>
              </w:rPr>
              <w:t xml:space="preserve"> </w:t>
            </w:r>
            <w:r>
              <w:rPr>
                <w:sz w:val="20"/>
              </w:rPr>
              <w:t xml:space="preserve">(+)/Дефицит</w:t>
            </w:r>
            <w:r>
              <w:rPr>
                <w:spacing w:val="-8"/>
                <w:sz w:val="20"/>
              </w:rPr>
              <w:t xml:space="preserve"> </w:t>
            </w:r>
            <w:r>
              <w:rPr>
                <w:sz w:val="20"/>
              </w:rPr>
              <w:t xml:space="preserve">(-)</w:t>
            </w:r>
            <w:r>
              <w:rPr>
                <w:spacing w:val="-7"/>
                <w:sz w:val="20"/>
              </w:rPr>
              <w:t xml:space="preserve"> </w:t>
            </w:r>
            <w:r>
              <w:rPr>
                <w:spacing w:val="-2"/>
                <w:sz w:val="20"/>
              </w:rPr>
              <w:t xml:space="preserve">располагаемой</w:t>
            </w:r>
            <w:r>
              <w:rPr>
                <w:sz w:val="20"/>
              </w:rPr>
            </w:r>
            <w:r>
              <w:rPr>
                <w:sz w:val="20"/>
              </w:rPr>
            </w:r>
          </w:p>
          <w:p>
            <w:pPr>
              <w:pStyle w:val="1251"/>
              <w:ind w:left="161" w:right="4"/>
              <w:jc w:val="left"/>
              <w:rPr>
                <w:sz w:val="20"/>
                <w:szCs w:val="20"/>
              </w:rPr>
            </w:pPr>
            <w:r>
              <w:rPr>
                <w:spacing w:val="-2"/>
                <w:sz w:val="20"/>
              </w:rPr>
              <w:t xml:space="preserve">мощности</w:t>
            </w:r>
            <w:r>
              <w:rPr>
                <w:sz w:val="20"/>
                <w:szCs w:val="20"/>
              </w:rPr>
            </w:r>
            <w:r>
              <w:rPr>
                <w:sz w:val="20"/>
                <w:szCs w:val="20"/>
              </w:rPr>
            </w:r>
          </w:p>
        </w:tc>
        <w:tc>
          <w:tcPr>
            <w:tcW w:w="424" w:type="pct"/>
            <w:vAlign w:val="center"/>
            <w:textDirection w:val="lrTb"/>
            <w:noWrap w:val="false"/>
          </w:tcPr>
          <w:p>
            <w:pPr>
              <w:pStyle w:val="1251"/>
              <w:ind w:right="4"/>
              <w:rPr>
                <w:sz w:val="20"/>
                <w:szCs w:val="20"/>
              </w:rPr>
            </w:pPr>
            <w:r>
              <w:rPr>
                <w:sz w:val="20"/>
                <w:szCs w:val="20"/>
              </w:rPr>
              <w:t xml:space="preserve">1,437</w:t>
            </w:r>
            <w:r>
              <w:rPr>
                <w:sz w:val="20"/>
                <w:szCs w:val="20"/>
              </w:rPr>
            </w:r>
            <w:r>
              <w:rPr>
                <w:sz w:val="20"/>
                <w:szCs w:val="20"/>
              </w:rPr>
            </w:r>
          </w:p>
        </w:tc>
        <w:tc>
          <w:tcPr>
            <w:tcW w:w="461" w:type="pct"/>
            <w:vAlign w:val="center"/>
            <w:textDirection w:val="lrTb"/>
            <w:noWrap w:val="false"/>
          </w:tcPr>
          <w:p>
            <w:pPr>
              <w:pStyle w:val="1251"/>
              <w:ind w:right="4"/>
              <w:rPr>
                <w:sz w:val="20"/>
                <w:szCs w:val="20"/>
              </w:rPr>
            </w:pPr>
            <w:r>
              <w:rPr>
                <w:sz w:val="20"/>
                <w:szCs w:val="20"/>
              </w:rPr>
              <w:t xml:space="preserve">1,437</w:t>
            </w:r>
            <w:r>
              <w:rPr>
                <w:sz w:val="20"/>
                <w:szCs w:val="20"/>
              </w:rPr>
            </w:r>
            <w:r>
              <w:rPr>
                <w:sz w:val="20"/>
                <w:szCs w:val="20"/>
              </w:rPr>
            </w:r>
          </w:p>
        </w:tc>
        <w:tc>
          <w:tcPr>
            <w:tcW w:w="456" w:type="pct"/>
            <w:vAlign w:val="center"/>
            <w:textDirection w:val="lrTb"/>
            <w:noWrap w:val="false"/>
          </w:tcPr>
          <w:p>
            <w:pPr>
              <w:pStyle w:val="1251"/>
              <w:ind w:right="4"/>
              <w:rPr>
                <w:sz w:val="20"/>
                <w:szCs w:val="20"/>
              </w:rPr>
            </w:pPr>
            <w:r>
              <w:rPr>
                <w:sz w:val="20"/>
                <w:szCs w:val="20"/>
              </w:rPr>
              <w:t xml:space="preserve">1,437</w:t>
            </w:r>
            <w:r>
              <w:rPr>
                <w:sz w:val="20"/>
                <w:szCs w:val="20"/>
              </w:rPr>
            </w:r>
            <w:r>
              <w:rPr>
                <w:sz w:val="20"/>
                <w:szCs w:val="20"/>
              </w:rPr>
            </w:r>
          </w:p>
        </w:tc>
        <w:tc>
          <w:tcPr>
            <w:tcW w:w="442" w:type="pct"/>
            <w:vAlign w:val="center"/>
            <w:textDirection w:val="lrTb"/>
            <w:noWrap w:val="false"/>
          </w:tcPr>
          <w:p>
            <w:pPr>
              <w:pStyle w:val="1251"/>
              <w:ind w:right="4"/>
              <w:rPr>
                <w:sz w:val="20"/>
                <w:szCs w:val="20"/>
              </w:rPr>
            </w:pPr>
            <w:r>
              <w:rPr>
                <w:sz w:val="20"/>
                <w:szCs w:val="20"/>
              </w:rPr>
              <w:t xml:space="preserve">1,437</w:t>
            </w:r>
            <w:r>
              <w:rPr>
                <w:sz w:val="20"/>
                <w:szCs w:val="20"/>
              </w:rPr>
            </w:r>
            <w:r>
              <w:rPr>
                <w:sz w:val="20"/>
                <w:szCs w:val="20"/>
              </w:rPr>
            </w:r>
          </w:p>
        </w:tc>
        <w:tc>
          <w:tcPr>
            <w:tcW w:w="442" w:type="pct"/>
            <w:vAlign w:val="center"/>
            <w:textDirection w:val="lrTb"/>
            <w:noWrap w:val="false"/>
          </w:tcPr>
          <w:p>
            <w:pPr>
              <w:pStyle w:val="1251"/>
              <w:ind w:right="4"/>
              <w:rPr>
                <w:sz w:val="20"/>
                <w:szCs w:val="20"/>
              </w:rPr>
            </w:pPr>
            <w:r>
              <w:rPr>
                <w:sz w:val="20"/>
                <w:szCs w:val="20"/>
              </w:rPr>
              <w:t xml:space="preserve">1,437</w:t>
            </w:r>
            <w:r>
              <w:rPr>
                <w:sz w:val="20"/>
                <w:szCs w:val="20"/>
              </w:rPr>
            </w:r>
            <w:r>
              <w:rPr>
                <w:sz w:val="20"/>
                <w:szCs w:val="20"/>
              </w:rPr>
            </w:r>
          </w:p>
        </w:tc>
        <w:tc>
          <w:tcPr>
            <w:tcW w:w="494" w:type="pct"/>
            <w:vAlign w:val="center"/>
            <w:textDirection w:val="lrTb"/>
            <w:noWrap w:val="false"/>
          </w:tcPr>
          <w:p>
            <w:pPr>
              <w:pStyle w:val="1251"/>
              <w:ind w:right="4"/>
              <w:rPr>
                <w:sz w:val="20"/>
                <w:szCs w:val="20"/>
              </w:rPr>
            </w:pPr>
            <w:r>
              <w:rPr>
                <w:sz w:val="20"/>
                <w:szCs w:val="20"/>
              </w:rPr>
              <w:t xml:space="preserve">1,437</w:t>
            </w:r>
            <w:r>
              <w:rPr>
                <w:sz w:val="20"/>
                <w:szCs w:val="20"/>
              </w:rPr>
            </w:r>
            <w:r>
              <w:rPr>
                <w:sz w:val="20"/>
                <w:szCs w:val="20"/>
              </w:rPr>
            </w:r>
          </w:p>
        </w:tc>
      </w:tr>
    </w:tbl>
    <w:p>
      <w:pPr>
        <w:pStyle w:val="1248"/>
        <w:ind w:left="119" w:right="147" w:firstLine="731"/>
        <w:spacing w:before="0"/>
        <w:rPr>
          <w:lang w:eastAsia="ru-RU"/>
        </w:rPr>
      </w:pPr>
      <w:r>
        <w:rPr>
          <w:lang w:eastAsia="ru-RU"/>
        </w:rPr>
      </w:r>
      <w:r>
        <w:rPr>
          <w:lang w:eastAsia="ru-RU"/>
        </w:rPr>
      </w:r>
      <w:r>
        <w:rPr>
          <w:lang w:eastAsia="ru-RU"/>
        </w:rPr>
      </w:r>
    </w:p>
    <w:p>
      <w:pPr>
        <w:pStyle w:val="1248"/>
        <w:ind w:right="148" w:firstLine="733"/>
        <w:spacing w:before="71"/>
      </w:pPr>
      <w:r/>
      <w:bookmarkStart w:id="373" w:name="_Toc165540763"/>
      <w:r>
        <w:rPr>
          <w:lang w:eastAsia="ru-RU"/>
        </w:rPr>
        <w:t xml:space="preserve">4.2 </w:t>
      </w:r>
      <w:r>
        <w:t xml:space="preserve">Гидравлический</w:t>
      </w:r>
      <w:r>
        <w:rPr>
          <w:spacing w:val="-6"/>
        </w:rPr>
        <w:t xml:space="preserve"> </w:t>
      </w:r>
      <w:r>
        <w:t xml:space="preserve">расчёт</w:t>
      </w:r>
      <w:r>
        <w:rPr>
          <w:spacing w:val="-5"/>
        </w:rPr>
        <w:t xml:space="preserve"> </w:t>
      </w:r>
      <w:r>
        <w:t xml:space="preserve">передачи</w:t>
      </w:r>
      <w:r>
        <w:rPr>
          <w:spacing w:val="-8"/>
        </w:rPr>
        <w:t xml:space="preserve"> </w:t>
      </w:r>
      <w:r>
        <w:t xml:space="preserve">теплоносителя</w:t>
      </w:r>
      <w:r>
        <w:rPr>
          <w:spacing w:val="-7"/>
        </w:rPr>
        <w:t xml:space="preserve"> </w:t>
      </w:r>
      <w:r>
        <w:t xml:space="preserve">для</w:t>
      </w:r>
      <w:r>
        <w:rPr>
          <w:spacing w:val="-9"/>
        </w:rPr>
        <w:t xml:space="preserve"> </w:t>
      </w:r>
      <w:r>
        <w:t xml:space="preserve">каждого</w:t>
      </w:r>
      <w:r>
        <w:rPr>
          <w:spacing w:val="-6"/>
        </w:rPr>
        <w:t xml:space="preserve"> </w:t>
      </w:r>
      <w:r>
        <w:t xml:space="preserve">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присоединённых к тепловой сети от каждого источника тепловой энергии</w:t>
      </w:r>
      <w:bookmarkEnd w:id="372"/>
      <w:r/>
      <w:bookmarkEnd w:id="373"/>
      <w:r/>
      <w:r/>
    </w:p>
    <w:p>
      <w:pPr>
        <w:pStyle w:val="1247"/>
        <w:ind w:left="118" w:right="141" w:firstLine="707"/>
        <w:jc w:val="both"/>
        <w:spacing w:before="116"/>
      </w:pPr>
      <w:r>
        <w:t xml:space="preserve">Гидравлический расчет передачи теплоносителя для каждого магистрального вывода с целью определения воз</w:t>
      </w:r>
      <w:r>
        <w:t xml:space="preserve">можности (невозможности) обеспечения тепловой энергией существующих и перспективных потребителей, присоединенных к тепловой сети от каждого магистрального вывода, не производится, так как, на котельных прирост присоединённой тепловой нагрузки не ожидается.</w:t>
      </w:r>
      <w:r/>
    </w:p>
    <w:p>
      <w:pPr>
        <w:pStyle w:val="1247"/>
        <w:ind w:left="118" w:right="141" w:firstLine="707"/>
        <w:jc w:val="both"/>
        <w:spacing w:before="116"/>
      </w:pPr>
      <w:r/>
      <w:r/>
    </w:p>
    <w:p>
      <w:pPr>
        <w:rPr>
          <w:b/>
          <w:bCs/>
          <w:sz w:val="24"/>
          <w:szCs w:val="24"/>
          <w:lang w:eastAsia="ru-RU"/>
        </w:rPr>
      </w:pPr>
      <w:r/>
      <w:bookmarkStart w:id="374" w:name="_bookmark213"/>
      <w:r/>
      <w:bookmarkStart w:id="375" w:name="_Toc130231984"/>
      <w:r/>
      <w:bookmarkStart w:id="376" w:name="_Toc165540764"/>
      <w:r/>
      <w:bookmarkEnd w:id="374"/>
      <w:r>
        <w:rPr>
          <w:lang w:eastAsia="ru-RU"/>
        </w:rPr>
        <w:br w:type="page" w:clear="all"/>
      </w:r>
      <w:r>
        <w:rPr>
          <w:b/>
          <w:bCs/>
          <w:sz w:val="24"/>
          <w:szCs w:val="24"/>
          <w:lang w:eastAsia="ru-RU"/>
        </w:rPr>
      </w:r>
      <w:r>
        <w:rPr>
          <w:b/>
          <w:bCs/>
          <w:sz w:val="24"/>
          <w:szCs w:val="24"/>
          <w:lang w:eastAsia="ru-RU"/>
        </w:rPr>
      </w:r>
    </w:p>
    <w:p>
      <w:pPr>
        <w:pStyle w:val="1248"/>
        <w:ind w:right="112" w:firstLine="733"/>
        <w:spacing w:before="71"/>
      </w:pPr>
      <w:r>
        <w:rPr>
          <w:lang w:eastAsia="ru-RU"/>
        </w:rPr>
        <w:t xml:space="preserve">4.3 </w:t>
      </w:r>
      <w:r>
        <w:t xml:space="preserve">Выводы о резервах (дефицитах) существующей системы теплоснабжения при обеспечении перспективной тепловой нагрузки потребителей</w:t>
      </w:r>
      <w:bookmarkEnd w:id="375"/>
      <w:r/>
      <w:bookmarkEnd w:id="376"/>
      <w:r/>
      <w:r/>
    </w:p>
    <w:p>
      <w:pPr>
        <w:pStyle w:val="1247"/>
        <w:ind w:left="118" w:right="103" w:firstLine="707"/>
        <w:jc w:val="both"/>
        <w:spacing w:before="115"/>
      </w:pPr>
      <w:r>
        <w:t xml:space="preserve">Все источники централизованного теплоснабжения на протяжении расчетного периода до 2039 г. имеют достаточный резерв тепловой мощности.</w:t>
      </w:r>
      <w:r/>
    </w:p>
    <w:p>
      <w:pPr>
        <w:pStyle w:val="1247"/>
        <w:spacing w:before="7"/>
        <w:rPr>
          <w:sz w:val="16"/>
        </w:rPr>
      </w:pPr>
      <w:r>
        <w:rPr>
          <w:sz w:val="16"/>
        </w:rPr>
      </w:r>
      <w:r>
        <w:rPr>
          <w:sz w:val="16"/>
        </w:rPr>
      </w:r>
      <w:r>
        <w:rPr>
          <w:sz w:val="16"/>
        </w:rPr>
      </w:r>
    </w:p>
    <w:p>
      <w:pPr>
        <w:pStyle w:val="1248"/>
        <w:ind w:right="108" w:firstLine="733"/>
      </w:pPr>
      <w:r/>
      <w:bookmarkStart w:id="377" w:name="_bookmark214"/>
      <w:r/>
      <w:bookmarkStart w:id="378" w:name="_Toc130231985"/>
      <w:r/>
      <w:bookmarkStart w:id="379" w:name="_Toc165540765"/>
      <w:r/>
      <w:bookmarkEnd w:id="377"/>
      <w:r>
        <w:rPr>
          <w:lang w:eastAsia="ru-RU"/>
        </w:rPr>
        <w:t xml:space="preserve">4.4 </w:t>
      </w:r>
      <w:r>
        <w:t xml:space="preserve">Описание изменений существующих и перспективных балансов тепловой мощности</w:t>
      </w:r>
      <w:r>
        <w:rPr>
          <w:spacing w:val="-1"/>
        </w:rPr>
        <w:t xml:space="preserve"> </w:t>
      </w:r>
      <w:r>
        <w:t xml:space="preserve">источников</w:t>
      </w:r>
      <w:r>
        <w:rPr>
          <w:spacing w:val="-4"/>
        </w:rPr>
        <w:t xml:space="preserve"> </w:t>
      </w:r>
      <w:r>
        <w:t xml:space="preserve">тепловой</w:t>
      </w:r>
      <w:r>
        <w:rPr>
          <w:spacing w:val="-1"/>
        </w:rPr>
        <w:t xml:space="preserve"> </w:t>
      </w:r>
      <w:r>
        <w:t xml:space="preserve">энергии</w:t>
      </w:r>
      <w:r>
        <w:rPr>
          <w:spacing w:val="-1"/>
        </w:rPr>
        <w:t xml:space="preserve"> </w:t>
      </w:r>
      <w:r>
        <w:t xml:space="preserve">и</w:t>
      </w:r>
      <w:r>
        <w:rPr>
          <w:spacing w:val="-3"/>
        </w:rPr>
        <w:t xml:space="preserve"> </w:t>
      </w:r>
      <w:r>
        <w:t xml:space="preserve">тепловой</w:t>
      </w:r>
      <w:r>
        <w:rPr>
          <w:spacing w:val="-1"/>
        </w:rPr>
        <w:t xml:space="preserve"> </w:t>
      </w:r>
      <w:r>
        <w:t xml:space="preserve">нагрузки потребителей</w:t>
      </w:r>
      <w:r>
        <w:rPr>
          <w:spacing w:val="-1"/>
        </w:rPr>
        <w:t xml:space="preserve"> </w:t>
      </w:r>
      <w:r>
        <w:t xml:space="preserve">для</w:t>
      </w:r>
      <w:r>
        <w:rPr>
          <w:spacing w:val="-2"/>
        </w:rPr>
        <w:t xml:space="preserve"> </w:t>
      </w:r>
      <w:r>
        <w:t xml:space="preserve">каждой системы теплоснабжения за период, предшествующий актуализации схемы </w:t>
      </w:r>
      <w:r>
        <w:rPr>
          <w:spacing w:val="-2"/>
        </w:rPr>
        <w:t xml:space="preserve">теплоснабжения</w:t>
      </w:r>
      <w:bookmarkEnd w:id="378"/>
      <w:r/>
      <w:bookmarkEnd w:id="379"/>
      <w:r/>
      <w:r/>
    </w:p>
    <w:p>
      <w:pPr>
        <w:pStyle w:val="1247"/>
        <w:ind w:left="119" w:right="108" w:firstLine="709"/>
        <w:jc w:val="both"/>
        <w:spacing w:before="120"/>
      </w:pPr>
      <w:r>
        <w:t xml:space="preserve">Ранее схема теплоснабжения </w:t>
      </w:r>
      <w:r>
        <w:t xml:space="preserve">Юргамышского</w:t>
      </w:r>
      <w:r>
        <w:t xml:space="preserve"> муниципального округа не была разработана.</w:t>
      </w:r>
      <w:r/>
    </w:p>
    <w:p>
      <w:pPr>
        <w:jc w:val="both"/>
        <w:sectPr>
          <w:footerReference w:type="default" r:id="rId12"/>
          <w:footnotePr/>
          <w:endnotePr/>
          <w:type w:val="nextPage"/>
          <w:pgSz w:w="11910" w:h="16840" w:orient="portrait"/>
          <w:pgMar w:top="1040" w:right="740" w:bottom="940" w:left="1300" w:header="0" w:footer="758" w:gutter="0"/>
          <w:cols w:num="1" w:sep="0" w:space="720" w:equalWidth="1"/>
          <w:docGrid w:linePitch="360"/>
        </w:sectPr>
      </w:pPr>
      <w:r/>
      <w:r/>
    </w:p>
    <w:p>
      <w:pPr>
        <w:pStyle w:val="1248"/>
        <w:ind w:left="826"/>
        <w:spacing w:before="71"/>
      </w:pPr>
      <w:r/>
      <w:bookmarkStart w:id="380" w:name="_bookmark215"/>
      <w:r/>
      <w:bookmarkStart w:id="381" w:name="_Toc130231986"/>
      <w:r/>
      <w:bookmarkStart w:id="382" w:name="_Toc165540766"/>
      <w:r/>
      <w:bookmarkEnd w:id="380"/>
      <w:r>
        <w:t xml:space="preserve">Глава</w:t>
      </w:r>
      <w:r>
        <w:rPr>
          <w:spacing w:val="-6"/>
        </w:rPr>
        <w:t xml:space="preserve"> </w:t>
      </w:r>
      <w:r>
        <w:t xml:space="preserve">5</w:t>
      </w:r>
      <w:r>
        <w:rPr>
          <w:spacing w:val="4"/>
        </w:rPr>
        <w:t xml:space="preserve"> </w:t>
      </w:r>
      <w:r>
        <w:t xml:space="preserve">Мастер-план</w:t>
      </w:r>
      <w:r>
        <w:rPr>
          <w:spacing w:val="-4"/>
        </w:rPr>
        <w:t xml:space="preserve"> </w:t>
      </w:r>
      <w:r>
        <w:t xml:space="preserve">развития</w:t>
      </w:r>
      <w:r>
        <w:rPr>
          <w:spacing w:val="-3"/>
        </w:rPr>
        <w:t xml:space="preserve"> </w:t>
      </w:r>
      <w:r>
        <w:t xml:space="preserve">систем</w:t>
      </w:r>
      <w:r>
        <w:rPr>
          <w:spacing w:val="-4"/>
        </w:rPr>
        <w:t xml:space="preserve"> </w:t>
      </w:r>
      <w:r>
        <w:t xml:space="preserve">теплоснабжения</w:t>
      </w:r>
      <w:r>
        <w:rPr>
          <w:spacing w:val="-2"/>
        </w:rPr>
        <w:t xml:space="preserve"> поселения</w:t>
      </w:r>
      <w:bookmarkEnd w:id="381"/>
      <w:r/>
      <w:bookmarkEnd w:id="382"/>
      <w:r/>
      <w:r/>
    </w:p>
    <w:p>
      <w:pPr>
        <w:pStyle w:val="1248"/>
        <w:ind w:right="106" w:firstLine="733"/>
        <w:spacing w:before="120"/>
      </w:pPr>
      <w:r/>
      <w:bookmarkStart w:id="383" w:name="_bookmark216"/>
      <w:r/>
      <w:bookmarkStart w:id="384" w:name="_Toc130231987"/>
      <w:r/>
      <w:bookmarkStart w:id="385" w:name="_Toc165540767"/>
      <w:r/>
      <w:bookmarkEnd w:id="383"/>
      <w:r>
        <w:rPr>
          <w:lang w:eastAsia="ru-RU"/>
        </w:rPr>
        <w:t xml:space="preserve">5.1 </w:t>
      </w:r>
      <w:r>
        <w:t xml:space="preserve">Описание вариантов (не менее двух) перспективного развития систем теплоснабжения поселения (в случае их изменения относительно ранее принятого варианта развития систем теплоснабжения в утверждённой в установленном порядке схеме теплоснабжения)</w:t>
      </w:r>
      <w:bookmarkEnd w:id="384"/>
      <w:r/>
      <w:bookmarkEnd w:id="385"/>
      <w:r/>
      <w:r/>
    </w:p>
    <w:p>
      <w:pPr>
        <w:pStyle w:val="1247"/>
        <w:ind w:left="118" w:right="106" w:firstLine="707"/>
        <w:jc w:val="both"/>
        <w:spacing w:before="116"/>
      </w:pPr>
      <w:r>
        <w:t xml:space="preserve">Из проведенного анализа, можно сдел</w:t>
      </w:r>
      <w:r>
        <w:t xml:space="preserve">ать вывод, что на период до 2039</w:t>
      </w:r>
      <w:r>
        <w:t xml:space="preserve"> года на территории </w:t>
      </w:r>
      <w:r>
        <w:t xml:space="preserve">Юргамышского</w:t>
      </w:r>
      <w:r>
        <w:t xml:space="preserve"> муниципального округа</w:t>
      </w:r>
      <w:r>
        <w:t xml:space="preserve"> не планируются крупные приросты жилищных и прочих фондов, относящихся к уже существующим действующим источникам тепловой энергии.</w:t>
      </w:r>
      <w:r/>
    </w:p>
    <w:p>
      <w:pPr>
        <w:pStyle w:val="1247"/>
        <w:ind w:left="119" w:right="108" w:firstLine="709"/>
        <w:jc w:val="both"/>
      </w:pPr>
      <w:r>
        <w:t xml:space="preserve">Основной задачей на планируемый период является повышение эффективности ра</w:t>
      </w:r>
      <w:r>
        <w:t xml:space="preserve">боты котельного оборудования и снижение потерь теплоносителя в сетях путем постепенной замены изношенного оборудования, а также ремонта и замены тепловых сетей. Это позволит снизить количество аварий, довести до нормативных потери тепла при эксплуатации те</w:t>
      </w:r>
      <w:r>
        <w:t xml:space="preserve">пловых сетей. В этой связи предполагается проведение мероприятий по развитию теплоснабжения для осуществления эффективного прогнозирования объемов потребления тепловой энергии, детального анализа потребления энергоресурсов организациями, финансируемыми из </w:t>
      </w:r>
      <w:r>
        <w:t xml:space="preserve">местного</w:t>
      </w:r>
      <w:r>
        <w:t xml:space="preserve"> бюджета, выявления и устранения очагов нерационального использования энергоресурсов.</w:t>
      </w:r>
      <w:r/>
    </w:p>
    <w:p>
      <w:pPr>
        <w:pStyle w:val="1247"/>
        <w:ind w:left="119" w:right="108" w:firstLine="709"/>
        <w:jc w:val="both"/>
      </w:pPr>
      <w:r>
        <w:t xml:space="preserve">В настоящее время централизованным теплоснабжением в </w:t>
      </w:r>
      <w:r>
        <w:t xml:space="preserve">муниципальном округе</w:t>
      </w:r>
      <w:r>
        <w:t xml:space="preserve"> охвачены социальн</w:t>
      </w:r>
      <w:r>
        <w:t xml:space="preserve">о-бюджетные</w:t>
      </w:r>
      <w:r>
        <w:t xml:space="preserve"> учреждения и жилой фонд. Многоквартирные и индивидуальные жилые дома, объекты социальной</w:t>
      </w:r>
      <w:r>
        <w:t xml:space="preserve"> и бюджетной</w:t>
      </w:r>
      <w:r>
        <w:t xml:space="preserve"> сферы, не обеспеченные централизованным теплоснабжением, отапливаются от автономных источников тепла, работающих на газе</w:t>
      </w:r>
      <w:r>
        <w:t xml:space="preserve">, угле и пеллетах</w:t>
      </w:r>
      <w:r>
        <w:t xml:space="preserve">.</w:t>
      </w:r>
      <w:r>
        <w:t xml:space="preserve"> Большая часть индивидуальных жилых домов оборудовано не только газовыми но и электрическими котлами и отопительными печами, работающими н</w:t>
      </w:r>
      <w:r>
        <w:t xml:space="preserve">а твердом топливе (уголь, дрова</w:t>
      </w:r>
      <w:r>
        <w:t xml:space="preserve">).</w:t>
      </w:r>
      <w:r/>
    </w:p>
    <w:p>
      <w:pPr>
        <w:pStyle w:val="1247"/>
        <w:ind w:left="119" w:right="108" w:firstLine="709"/>
        <w:jc w:val="both"/>
      </w:pPr>
      <w:r>
        <w:t xml:space="preserve">Следует отметить, что повышение уровня централизации приводит к росту тепловых потерь при транспортировке теплоносителя. Подключение мелких потребителей к централизованному теплоснабжению неоправданно в виду значительных ка</w:t>
      </w:r>
      <w:r>
        <w:t xml:space="preserve">питальных затрат на строительство тепловых сетей. Плотность индивидуальной и малоэтажной застройки мала, что приводит к необходимости строительства тепловых сетей малых диаметров, но большой протяженности. По указанным причинам котельные оказываются неконк</w:t>
      </w:r>
      <w:r>
        <w:t xml:space="preserve">урентоспособными по сравнению с автономными источниками. Строительство автономных котельных особенно актуально в районах, удаленных от централизованных источников теплоснабжения, а также в местах с неудовлетворительными гидравлическими режимами теплосетей.</w:t>
      </w:r>
      <w:r/>
    </w:p>
    <w:p>
      <w:pPr>
        <w:pStyle w:val="1247"/>
        <w:ind w:left="119" w:right="108" w:firstLine="709"/>
        <w:jc w:val="both"/>
      </w:pPr>
      <w:r>
        <w:t xml:space="preserve">Реальными </w:t>
      </w:r>
      <w:r>
        <w:t xml:space="preserve">преимуществами локальных котельных, оснащенных современным оборудованием, перед системой центрального отопления являются: значительное снижение потребления топлива, возможность автоматического регулирования подачи тепла в зависимости от погоды или по време</w:t>
      </w:r>
      <w:r>
        <w:t xml:space="preserve">ни (например, ночью, снижая температуру здания, а днем, повышая ее до необходимого уровня), возможность регулирования подачи тепла в различные помещения здания, исключение перебоев в обеспечении горячей водой, связанных с ежегодным ремонтом тепловых сетей.</w:t>
      </w:r>
      <w:r/>
    </w:p>
    <w:p>
      <w:pPr>
        <w:pStyle w:val="1247"/>
        <w:ind w:left="119" w:right="108" w:firstLine="709"/>
        <w:jc w:val="both"/>
      </w:pPr>
      <w:r>
        <w:t xml:space="preserve">В связи с чем, в дальнейшем, теплообеспечение новой малоэтажной индивидуальной застройки предполагается осуществлять децентрализованно, от автономных (индивидуальных) теплогенераторов.</w:t>
      </w:r>
      <w:r/>
    </w:p>
    <w:p>
      <w:pPr>
        <w:pStyle w:val="1247"/>
        <w:spacing w:before="7"/>
        <w:rPr>
          <w:sz w:val="16"/>
        </w:rPr>
      </w:pPr>
      <w:r>
        <w:rPr>
          <w:sz w:val="16"/>
        </w:rPr>
      </w:r>
      <w:r>
        <w:rPr>
          <w:sz w:val="16"/>
        </w:rPr>
      </w:r>
      <w:r>
        <w:rPr>
          <w:sz w:val="16"/>
        </w:rPr>
      </w:r>
    </w:p>
    <w:p>
      <w:pPr>
        <w:pStyle w:val="1248"/>
        <w:ind w:right="110" w:firstLine="733"/>
      </w:pPr>
      <w:r/>
      <w:bookmarkStart w:id="386" w:name="_bookmark217"/>
      <w:r/>
      <w:bookmarkStart w:id="387" w:name="_Toc130231988"/>
      <w:r/>
      <w:bookmarkStart w:id="388" w:name="_Toc165540768"/>
      <w:r/>
      <w:bookmarkEnd w:id="386"/>
      <w:r>
        <w:rPr>
          <w:lang w:eastAsia="ru-RU"/>
        </w:rPr>
        <w:t xml:space="preserve">5.2 </w:t>
      </w:r>
      <w:r>
        <w:t xml:space="preserve">Технико-экономическое сравнение вариантов перспективного развития систем теплоснабжения поселения</w:t>
      </w:r>
      <w:bookmarkEnd w:id="387"/>
      <w:r/>
      <w:bookmarkEnd w:id="388"/>
      <w:r/>
      <w:r/>
    </w:p>
    <w:p>
      <w:pPr>
        <w:pStyle w:val="1247"/>
        <w:ind w:left="142" w:firstLine="709"/>
        <w:jc w:val="both"/>
        <w:spacing w:before="116"/>
      </w:pPr>
      <w:r>
        <w:t xml:space="preserve">Схемой теплоснабжения рассматривается единственный вариант перспективного развития системы теплоснабжения с подключением перспективных потребителей к централизованной системе теплоснабжения, а также с применением индивидуального отопления.</w:t>
      </w:r>
      <w:r/>
    </w:p>
    <w:p>
      <w:pPr>
        <w:pStyle w:val="1247"/>
        <w:rPr>
          <w:b/>
        </w:rPr>
      </w:pPr>
      <w:r>
        <w:rPr>
          <w:b/>
        </w:rPr>
      </w:r>
      <w:r>
        <w:rPr>
          <w:b/>
        </w:rPr>
      </w:r>
      <w:r>
        <w:rPr>
          <w:b/>
        </w:rPr>
      </w:r>
    </w:p>
    <w:p>
      <w:pPr>
        <w:pStyle w:val="1248"/>
        <w:ind w:right="108" w:firstLine="733"/>
        <w:spacing w:before="0"/>
      </w:pPr>
      <w:r/>
      <w:bookmarkStart w:id="389" w:name="_bookmark219"/>
      <w:r/>
      <w:bookmarkStart w:id="390" w:name="_Toc130231989"/>
      <w:r/>
      <w:bookmarkStart w:id="391" w:name="_Toc165540769"/>
      <w:r/>
      <w:bookmarkEnd w:id="389"/>
      <w:r>
        <w:rPr>
          <w:lang w:eastAsia="ru-RU"/>
        </w:rPr>
        <w:t xml:space="preserve">5.3 </w:t>
      </w:r>
      <w:r>
        <w:t xml:space="preserve">Обоснование выбора приоритетного варианта перспективного развития систем</w:t>
      </w:r>
      <w:r>
        <w:rPr>
          <w:spacing w:val="-10"/>
        </w:rPr>
        <w:t xml:space="preserve"> </w:t>
      </w:r>
      <w:r>
        <w:t xml:space="preserve">теплоснабжения</w:t>
      </w:r>
      <w:r>
        <w:rPr>
          <w:spacing w:val="-7"/>
        </w:rPr>
        <w:t xml:space="preserve"> </w:t>
      </w:r>
      <w:r>
        <w:t xml:space="preserve">поселения,</w:t>
      </w:r>
      <w:r>
        <w:rPr>
          <w:spacing w:val="-10"/>
        </w:rPr>
        <w:t xml:space="preserve"> </w:t>
      </w:r>
      <w:r>
        <w:t xml:space="preserve">городского</w:t>
      </w:r>
      <w:r>
        <w:rPr>
          <w:spacing w:val="-9"/>
        </w:rPr>
        <w:t xml:space="preserve"> </w:t>
      </w:r>
      <w:r>
        <w:t xml:space="preserve">округа,</w:t>
      </w:r>
      <w:r>
        <w:rPr>
          <w:spacing w:val="-9"/>
        </w:rPr>
        <w:t xml:space="preserve"> </w:t>
      </w:r>
      <w:r>
        <w:t xml:space="preserve">города</w:t>
      </w:r>
      <w:r>
        <w:rPr>
          <w:spacing w:val="-9"/>
        </w:rPr>
        <w:t xml:space="preserve"> </w:t>
      </w:r>
      <w:r>
        <w:t xml:space="preserve">федерального</w:t>
      </w:r>
      <w:r>
        <w:rPr>
          <w:spacing w:val="-9"/>
        </w:rPr>
        <w:t xml:space="preserve"> </w:t>
      </w:r>
      <w:r>
        <w:t xml:space="preserve">значения</w:t>
      </w:r>
      <w:r>
        <w:rPr>
          <w:spacing w:val="-10"/>
        </w:rPr>
        <w:t xml:space="preserve"> </w:t>
      </w:r>
      <w:r>
        <w:t xml:space="preserve">на основе анализа ценовых (тарифных) последствий для потребителей</w:t>
      </w:r>
      <w:bookmarkEnd w:id="390"/>
      <w:r/>
      <w:bookmarkEnd w:id="391"/>
      <w:r/>
      <w:r/>
    </w:p>
    <w:p>
      <w:pPr>
        <w:pStyle w:val="1247"/>
        <w:ind w:left="119" w:right="113" w:firstLine="709"/>
        <w:jc w:val="both"/>
        <w:spacing w:before="120"/>
      </w:pPr>
      <w:r>
        <w:t xml:space="preserve">Исходя из особенностей социально-экономического развития </w:t>
      </w:r>
      <w:r>
        <w:t xml:space="preserve">муниципального округа, на расчетный срок до 2039</w:t>
      </w:r>
      <w:r>
        <w:t xml:space="preserve"> года, осуществление централизованного теплоснабжения от существующих теплоисточников планируется для организаций социального </w:t>
      </w:r>
      <w:r>
        <w:t xml:space="preserve">сектора</w:t>
      </w:r>
      <w:r>
        <w:t xml:space="preserve">, а также многоквартирной жилой застройки.</w:t>
      </w:r>
      <w:r/>
    </w:p>
    <w:p>
      <w:pPr>
        <w:pStyle w:val="1247"/>
        <w:ind w:left="119" w:right="113" w:firstLine="709"/>
        <w:jc w:val="both"/>
      </w:pPr>
      <w:r>
        <w:t xml:space="preserve">Решение вопросов, связанных с теплоснабжением проектов, реализуемых на территории </w:t>
      </w:r>
      <w:r>
        <w:t xml:space="preserve">Юргамышского</w:t>
      </w:r>
      <w:r>
        <w:t xml:space="preserve"> муниципального округа</w:t>
      </w:r>
      <w:r>
        <w:t xml:space="preserve">, в каждом конкретном случае будет согласовываться с планами развития муниципального образования и с возможн</w:t>
      </w:r>
      <w:r>
        <w:t xml:space="preserve">остями организаций, вырабатывающих и отпускающих тепловую энергию. При отсутствии свободных мощностей или технической возможности для присоединения дополнительной нагрузки, рекомендуется использование индивидуальных систем отопления для новых потребителей.</w:t>
      </w:r>
      <w:r/>
    </w:p>
    <w:p>
      <w:pPr>
        <w:pStyle w:val="1247"/>
        <w:ind w:left="119" w:right="113" w:firstLine="709"/>
        <w:jc w:val="both"/>
      </w:pPr>
      <w:r>
        <w:t xml:space="preserve">Районы новой индивидуальной малоэтажной застройки будут обеспечиваться теплом децентрализованно от автономных теплогенераторов. Горячее водоснабжение в этих районах будет осуществляться от электрических или газовых водонагревателей.</w:t>
      </w:r>
      <w:r/>
    </w:p>
    <w:p>
      <w:pPr>
        <w:pStyle w:val="1247"/>
        <w:ind w:left="119" w:right="113" w:firstLine="709"/>
        <w:jc w:val="both"/>
      </w:pPr>
      <w:r>
        <w:t xml:space="preserve">Схемой теплоснабжения предусматривается:</w:t>
      </w:r>
      <w:r/>
    </w:p>
    <w:p>
      <w:pPr>
        <w:pStyle w:val="1247"/>
        <w:ind w:left="119" w:right="113" w:firstLine="709"/>
        <w:jc w:val="both"/>
      </w:pPr>
      <w:r>
        <w:t xml:space="preserve">-использование резервных тепловых мощностей существующих источников тепловой энергии для реконструируемых и новых объектов строительства;</w:t>
      </w:r>
      <w:r/>
    </w:p>
    <w:p>
      <w:pPr>
        <w:pStyle w:val="1247"/>
        <w:ind w:left="119" w:right="113" w:firstLine="709"/>
        <w:jc w:val="both"/>
      </w:pPr>
      <w:r>
        <w:t xml:space="preserve">-децентрализованное теплообеспечение планируемого малоэтажного строительства.</w:t>
      </w:r>
      <w:r/>
    </w:p>
    <w:p>
      <w:pPr>
        <w:ind w:left="142" w:right="89" w:firstLine="709"/>
        <w:jc w:val="both"/>
        <w:rPr>
          <w:sz w:val="24"/>
          <w:szCs w:val="24"/>
        </w:rPr>
      </w:pPr>
      <w:r>
        <w:rPr>
          <w:sz w:val="24"/>
          <w:szCs w:val="24"/>
        </w:rPr>
      </w:r>
      <w:r>
        <w:rPr>
          <w:sz w:val="24"/>
          <w:szCs w:val="24"/>
        </w:rPr>
      </w:r>
      <w:r>
        <w:rPr>
          <w:sz w:val="24"/>
          <w:szCs w:val="24"/>
        </w:rPr>
      </w:r>
    </w:p>
    <w:p>
      <w:pPr>
        <w:pStyle w:val="1248"/>
        <w:ind w:right="111" w:firstLine="733"/>
      </w:pPr>
      <w:r/>
      <w:bookmarkStart w:id="392" w:name="_bookmark220"/>
      <w:r/>
      <w:bookmarkStart w:id="393" w:name="_Toc130231990"/>
      <w:r/>
      <w:bookmarkStart w:id="394" w:name="_Toc165540770"/>
      <w:r/>
      <w:bookmarkEnd w:id="392"/>
      <w:r>
        <w:rPr>
          <w:lang w:eastAsia="ru-RU"/>
        </w:rPr>
        <w:t xml:space="preserve">5.4 </w:t>
      </w:r>
      <w:r>
        <w:t xml:space="preserve">Описание изменений в мастер-плане развития систем теплоснабжения поселения, городского округа, города федерального значения за период, предшествующий актуализации схемы теплоснабжения</w:t>
      </w:r>
      <w:bookmarkEnd w:id="393"/>
      <w:r/>
      <w:bookmarkEnd w:id="394"/>
      <w:r/>
      <w:r/>
    </w:p>
    <w:p>
      <w:pPr>
        <w:pStyle w:val="1247"/>
        <w:ind w:left="119" w:right="108" w:firstLine="709"/>
        <w:jc w:val="both"/>
        <w:spacing w:before="120"/>
      </w:pPr>
      <w:r>
        <w:t xml:space="preserve">Ранее схема теплоснабжения </w:t>
      </w:r>
      <w:r>
        <w:t xml:space="preserve">Юргамышского</w:t>
      </w:r>
      <w:r>
        <w:t xml:space="preserve"> муниципального округа не была разработана.</w:t>
      </w:r>
      <w:r/>
    </w:p>
    <w:p>
      <w:pPr>
        <w:jc w:val="both"/>
        <w:sectPr>
          <w:footnotePr/>
          <w:endnotePr/>
          <w:type w:val="nextPage"/>
          <w:pgSz w:w="11910" w:h="16840" w:orient="portrait"/>
          <w:pgMar w:top="1040" w:right="740" w:bottom="940" w:left="1300" w:header="0" w:footer="758" w:gutter="0"/>
          <w:cols w:num="1" w:sep="0" w:space="720" w:equalWidth="1"/>
          <w:docGrid w:linePitch="360"/>
        </w:sectPr>
      </w:pPr>
      <w:r/>
      <w:r/>
    </w:p>
    <w:p>
      <w:pPr>
        <w:pStyle w:val="1248"/>
        <w:ind w:right="112" w:firstLine="707"/>
        <w:spacing w:before="71"/>
      </w:pPr>
      <w:r/>
      <w:bookmarkStart w:id="395" w:name="_bookmark221"/>
      <w:r/>
      <w:bookmarkStart w:id="396" w:name="_Toc130231991"/>
      <w:r/>
      <w:bookmarkStart w:id="397" w:name="_Toc165540771"/>
      <w:r/>
      <w:bookmarkEnd w:id="395"/>
      <w:r>
        <w:t xml:space="preserve">Глава</w:t>
      </w:r>
      <w:r>
        <w:rPr>
          <w:spacing w:val="-3"/>
        </w:rPr>
        <w:t xml:space="preserve"> </w:t>
      </w:r>
      <w:r>
        <w:t xml:space="preserve">6 Существующие</w:t>
      </w:r>
      <w:r>
        <w:rPr>
          <w:spacing w:val="40"/>
        </w:rPr>
        <w:t xml:space="preserve"> </w:t>
      </w:r>
      <w:r>
        <w:t xml:space="preserve">и</w:t>
      </w:r>
      <w:r>
        <w:rPr>
          <w:spacing w:val="40"/>
        </w:rPr>
        <w:t xml:space="preserve"> </w:t>
      </w:r>
      <w:r>
        <w:t xml:space="preserve">перспективные</w:t>
      </w:r>
      <w:r>
        <w:rPr>
          <w:spacing w:val="40"/>
        </w:rPr>
        <w:t xml:space="preserve"> </w:t>
      </w:r>
      <w:r>
        <w:t xml:space="preserve">балансы</w:t>
      </w:r>
      <w:r>
        <w:rPr>
          <w:spacing w:val="40"/>
        </w:rPr>
        <w:t xml:space="preserve"> </w:t>
      </w:r>
      <w:r>
        <w:t xml:space="preserve">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bookmarkEnd w:id="396"/>
      <w:r/>
      <w:bookmarkEnd w:id="397"/>
      <w:r/>
      <w:r/>
    </w:p>
    <w:p>
      <w:pPr>
        <w:pStyle w:val="1248"/>
        <w:ind w:right="107" w:firstLine="733"/>
        <w:spacing w:before="120"/>
      </w:pPr>
      <w:r/>
      <w:bookmarkStart w:id="398" w:name="_bookmark222"/>
      <w:r/>
      <w:bookmarkStart w:id="399" w:name="_Toc130231992"/>
      <w:r/>
      <w:bookmarkStart w:id="400" w:name="_Toc165540772"/>
      <w:r/>
      <w:bookmarkEnd w:id="398"/>
      <w:r>
        <w:t xml:space="preserve">6.1 </w:t>
      </w:r>
      <w:r>
        <w:t xml:space="preserve">Расчётная величин</w:t>
      </w:r>
      <w:r>
        <w:t xml:space="preserve">а нормативных потерь (в ценовых зонах теплоснабжения - расчётную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bookmarkEnd w:id="399"/>
      <w:r/>
      <w:bookmarkEnd w:id="400"/>
      <w:r/>
      <w:r/>
    </w:p>
    <w:p>
      <w:pPr>
        <w:pStyle w:val="1247"/>
        <w:ind w:left="119" w:right="113" w:firstLine="709"/>
        <w:jc w:val="both"/>
        <w:spacing w:before="120"/>
      </w:pPr>
      <w:r>
        <w:t xml:space="preserve">Производительность ВПУ котельных должна быть не меньше расчетного расхода воды на подпитку теплосети.</w:t>
      </w:r>
      <w:r/>
    </w:p>
    <w:p>
      <w:pPr>
        <w:pStyle w:val="1247"/>
        <w:ind w:left="119" w:right="113" w:firstLine="709"/>
        <w:jc w:val="both"/>
      </w:pPr>
      <w:r>
        <w:t xml:space="preserve">В соответствии с п. 10 ФЗ №417 от 07.12.2011 года «О внесении изменений в отдельные законодательные акты Российской Федерации в связи с принятием Федерального закона «О водоснабжении и водоотведении»:</w:t>
      </w:r>
      <w:r/>
    </w:p>
    <w:p>
      <w:pPr>
        <w:pStyle w:val="1247"/>
        <w:ind w:left="119" w:right="113" w:firstLine="709"/>
        <w:jc w:val="both"/>
      </w:pPr>
      <w:r>
        <w:t xml:space="preserve">С 01 января 2013 года подклю</w:t>
      </w:r>
      <w:r>
        <w:t xml:space="preserve">чение объектов капитального строительства потребителей к централизованным открытым системам теплоснабжения (горячего водоснабжения) для нужд горячего водоснабжения, осуществляемого путем отбора теплоносителя на нужды горячего водоснабжения, не допускается.</w:t>
      </w:r>
      <w:r/>
    </w:p>
    <w:p>
      <w:pPr>
        <w:pStyle w:val="1247"/>
        <w:ind w:left="119" w:right="113" w:firstLine="709"/>
        <w:jc w:val="both"/>
      </w:pPr>
      <w:r>
        <w:t xml:space="preserve">С 01 января 2022 года использование централизованных открытых систем теплоснабжения (горячего водоснабжения) для нужд горячего водоснабжения, осуществляемого путем отбора теплоносителя на нужды горячего водоснабжения, не допускается.</w:t>
      </w:r>
      <w:r/>
    </w:p>
    <w:p>
      <w:pPr>
        <w:pStyle w:val="1247"/>
        <w:ind w:left="119" w:right="113" w:firstLine="709"/>
        <w:jc w:val="both"/>
      </w:pPr>
      <w:r>
        <w:t xml:space="preserve">Величина нормативны</w:t>
      </w:r>
      <w:r>
        <w:t xml:space="preserve">х потерь теплоносителя в тепловых сетях в зонах действия источников тепловой энергии представлена в таблице 6.1.1. В перспективе потери теплоносителя могут увеличиться при возникновении аварийных ситуаций на тепловых сетях или на источниках теплоснабжения.</w:t>
      </w:r>
      <w:r/>
    </w:p>
    <w:p>
      <w:pPr>
        <w:pStyle w:val="1247"/>
        <w:ind w:left="119" w:right="113" w:firstLine="709"/>
        <w:jc w:val="both"/>
      </w:pPr>
      <w:r/>
      <w:r/>
    </w:p>
    <w:p>
      <w:pPr>
        <w:pStyle w:val="1248"/>
        <w:ind w:right="106" w:firstLine="733"/>
      </w:pPr>
      <w:r/>
      <w:bookmarkStart w:id="401" w:name="_bookmark224"/>
      <w:r/>
      <w:bookmarkStart w:id="402" w:name="_Toc130231993"/>
      <w:r/>
      <w:bookmarkStart w:id="403" w:name="_Toc165540773"/>
      <w:r/>
      <w:bookmarkEnd w:id="401"/>
      <w:r>
        <w:rPr>
          <w:lang w:eastAsia="ru-RU"/>
        </w:rPr>
        <w:t xml:space="preserve">6.2 </w:t>
      </w:r>
      <w:r>
        <w:t xml:space="preserve">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w:t>
      </w:r>
      <w:r>
        <w:rPr>
          <w:spacing w:val="-15"/>
        </w:rPr>
        <w:t xml:space="preserve"> </w:t>
      </w:r>
      <w:r>
        <w:t xml:space="preserve">в</w:t>
      </w:r>
      <w:r>
        <w:rPr>
          <w:spacing w:val="-15"/>
        </w:rPr>
        <w:t xml:space="preserve"> </w:t>
      </w:r>
      <w:r>
        <w:t xml:space="preserve">зоне</w:t>
      </w:r>
      <w:r>
        <w:rPr>
          <w:spacing w:val="-15"/>
        </w:rPr>
        <w:t xml:space="preserve"> </w:t>
      </w:r>
      <w:r>
        <w:t xml:space="preserve">действия</w:t>
      </w:r>
      <w:r>
        <w:rPr>
          <w:spacing w:val="-15"/>
        </w:rPr>
        <w:t xml:space="preserve"> </w:t>
      </w:r>
      <w:r>
        <w:t xml:space="preserve">каждого</w:t>
      </w:r>
      <w:r>
        <w:rPr>
          <w:spacing w:val="-15"/>
        </w:rPr>
        <w:t xml:space="preserve"> </w:t>
      </w:r>
      <w:r>
        <w:t xml:space="preserve">источника</w:t>
      </w:r>
      <w:r>
        <w:rPr>
          <w:spacing w:val="-15"/>
        </w:rPr>
        <w:t xml:space="preserve"> </w:t>
      </w:r>
      <w:r>
        <w:t xml:space="preserve">тепловой</w:t>
      </w:r>
      <w:r>
        <w:rPr>
          <w:spacing w:val="-15"/>
        </w:rPr>
        <w:t xml:space="preserve"> </w:t>
      </w:r>
      <w:r>
        <w:t xml:space="preserve">энергии,</w:t>
      </w:r>
      <w:r>
        <w:rPr>
          <w:spacing w:val="-15"/>
        </w:rPr>
        <w:t xml:space="preserve"> </w:t>
      </w:r>
      <w:r>
        <w:t xml:space="preserve">рассчитываемый с</w:t>
      </w:r>
      <w:r>
        <w:rPr>
          <w:spacing w:val="-9"/>
        </w:rPr>
        <w:t xml:space="preserve"> </w:t>
      </w:r>
      <w:r>
        <w:t xml:space="preserve">учётом</w:t>
      </w:r>
      <w:r>
        <w:rPr>
          <w:spacing w:val="-11"/>
        </w:rPr>
        <w:t xml:space="preserve"> </w:t>
      </w:r>
      <w:r>
        <w:t xml:space="preserve">прогнозных</w:t>
      </w:r>
      <w:r>
        <w:rPr>
          <w:spacing w:val="-10"/>
        </w:rPr>
        <w:t xml:space="preserve"> </w:t>
      </w:r>
      <w:r>
        <w:t xml:space="preserve">сроков</w:t>
      </w:r>
      <w:r>
        <w:rPr>
          <w:spacing w:val="-9"/>
        </w:rPr>
        <w:t xml:space="preserve"> </w:t>
      </w:r>
      <w:r>
        <w:t xml:space="preserve">перевода</w:t>
      </w:r>
      <w:r>
        <w:rPr>
          <w:spacing w:val="-11"/>
        </w:rPr>
        <w:t xml:space="preserve"> </w:t>
      </w:r>
      <w:r>
        <w:t xml:space="preserve">потребителей,</w:t>
      </w:r>
      <w:r>
        <w:rPr>
          <w:spacing w:val="-11"/>
        </w:rPr>
        <w:t xml:space="preserve"> </w:t>
      </w:r>
      <w:r>
        <w:t xml:space="preserve">подключённых</w:t>
      </w:r>
      <w:r>
        <w:rPr>
          <w:spacing w:val="-8"/>
        </w:rPr>
        <w:t xml:space="preserve"> </w:t>
      </w:r>
      <w:r>
        <w:t xml:space="preserve">к</w:t>
      </w:r>
      <w:r>
        <w:rPr>
          <w:spacing w:val="-10"/>
        </w:rPr>
        <w:t xml:space="preserve"> </w:t>
      </w:r>
      <w:r>
        <w:t xml:space="preserve">открытой</w:t>
      </w:r>
      <w:r>
        <w:rPr>
          <w:spacing w:val="-10"/>
        </w:rPr>
        <w:t xml:space="preserve"> </w:t>
      </w:r>
      <w:r>
        <w:t xml:space="preserve">системе теплоснабжения (горячего водоснабжения), на закрытую систему горячего </w:t>
      </w:r>
      <w:r>
        <w:rPr>
          <w:spacing w:val="-2"/>
        </w:rPr>
        <w:t xml:space="preserve">водоснабжения</w:t>
      </w:r>
      <w:bookmarkEnd w:id="402"/>
      <w:r/>
      <w:bookmarkEnd w:id="403"/>
      <w:r/>
      <w:r/>
    </w:p>
    <w:p>
      <w:pPr>
        <w:ind w:left="142" w:right="91" w:firstLine="709"/>
        <w:jc w:val="both"/>
        <w:spacing w:before="120"/>
        <w:rPr>
          <w:sz w:val="24"/>
          <w:szCs w:val="24"/>
        </w:rPr>
      </w:pPr>
      <w:r>
        <w:rPr>
          <w:sz w:val="24"/>
          <w:szCs w:val="24"/>
        </w:rPr>
        <w:t xml:space="preserve">Открытая система горячего водоснабжения отсутствует.</w:t>
      </w:r>
      <w:r>
        <w:rPr>
          <w:sz w:val="24"/>
          <w:szCs w:val="24"/>
        </w:rPr>
      </w:r>
      <w:r>
        <w:rPr>
          <w:sz w:val="24"/>
          <w:szCs w:val="24"/>
        </w:rPr>
      </w:r>
    </w:p>
    <w:p>
      <w:pPr>
        <w:pStyle w:val="1247"/>
        <w:rPr>
          <w:b/>
          <w:sz w:val="26"/>
        </w:rPr>
      </w:pPr>
      <w:r>
        <w:rPr>
          <w:b/>
          <w:sz w:val="26"/>
        </w:rPr>
      </w:r>
      <w:r>
        <w:rPr>
          <w:b/>
          <w:sz w:val="26"/>
        </w:rPr>
      </w:r>
      <w:r>
        <w:rPr>
          <w:b/>
          <w:sz w:val="26"/>
        </w:rPr>
      </w:r>
    </w:p>
    <w:p>
      <w:pPr>
        <w:pStyle w:val="1248"/>
        <w:ind w:left="1194" w:hanging="343"/>
        <w:jc w:val="left"/>
        <w:spacing w:before="0"/>
      </w:pPr>
      <w:r/>
      <w:bookmarkStart w:id="404" w:name="_bookmark225"/>
      <w:r/>
      <w:bookmarkStart w:id="405" w:name="_bookmark226"/>
      <w:r/>
      <w:bookmarkStart w:id="406" w:name="_Toc130231994"/>
      <w:r/>
      <w:bookmarkStart w:id="407" w:name="_Toc165540774"/>
      <w:r/>
      <w:bookmarkEnd w:id="404"/>
      <w:r/>
      <w:bookmarkEnd w:id="405"/>
      <w:r>
        <w:rPr>
          <w:lang w:eastAsia="ru-RU"/>
        </w:rPr>
        <w:t xml:space="preserve">6.3 </w:t>
      </w:r>
      <w:r>
        <w:t xml:space="preserve">Сведения</w:t>
      </w:r>
      <w:r>
        <w:rPr>
          <w:spacing w:val="-4"/>
        </w:rPr>
        <w:t xml:space="preserve"> </w:t>
      </w:r>
      <w:r>
        <w:t xml:space="preserve">о</w:t>
      </w:r>
      <w:r>
        <w:rPr>
          <w:spacing w:val="-3"/>
        </w:rPr>
        <w:t xml:space="preserve"> </w:t>
      </w:r>
      <w:r>
        <w:t xml:space="preserve">наличии</w:t>
      </w:r>
      <w:r>
        <w:rPr>
          <w:spacing w:val="-3"/>
        </w:rPr>
        <w:t xml:space="preserve"> </w:t>
      </w:r>
      <w:r>
        <w:t xml:space="preserve">баков-</w:t>
      </w:r>
      <w:r>
        <w:rPr>
          <w:spacing w:val="-2"/>
        </w:rPr>
        <w:t xml:space="preserve">аккумуляторов</w:t>
      </w:r>
      <w:bookmarkEnd w:id="406"/>
      <w:r/>
      <w:bookmarkEnd w:id="407"/>
      <w:r/>
      <w:r/>
    </w:p>
    <w:p>
      <w:pPr>
        <w:pStyle w:val="1247"/>
        <w:ind w:left="118" w:firstLine="707"/>
        <w:jc w:val="both"/>
        <w:spacing w:before="115"/>
      </w:pPr>
      <w:r>
        <w:t xml:space="preserve">Бак-аккумулятор – это накопитель тепловой</w:t>
      </w:r>
      <w:r>
        <w:t xml:space="preserve"> энергии, который представляет собой металлическую емкость для теплоносителя. Так как тепловая энергия накапливается в баке и потом расходуется на отопление, то промежутки между загрузками топлива в котел становятся больше, а топливо расходуется экономнее.</w:t>
      </w:r>
      <w:r/>
    </w:p>
    <w:p>
      <w:pPr>
        <w:pStyle w:val="1247"/>
        <w:ind w:left="119" w:firstLine="709"/>
      </w:pPr>
      <w:r>
        <w:t xml:space="preserve">На перспективу строительство аккумуляторных баков не предусмотрено.</w:t>
      </w:r>
      <w:r/>
    </w:p>
    <w:p>
      <w:pPr>
        <w:pStyle w:val="1247"/>
        <w:spacing w:before="7"/>
        <w:rPr>
          <w:sz w:val="16"/>
        </w:rPr>
      </w:pPr>
      <w:r>
        <w:rPr>
          <w:sz w:val="16"/>
        </w:rPr>
      </w:r>
      <w:r>
        <w:rPr>
          <w:sz w:val="16"/>
        </w:rPr>
      </w:r>
      <w:r>
        <w:rPr>
          <w:sz w:val="16"/>
        </w:rPr>
      </w:r>
    </w:p>
    <w:p>
      <w:pPr>
        <w:rPr>
          <w:b/>
          <w:bCs/>
          <w:sz w:val="24"/>
          <w:szCs w:val="24"/>
          <w:lang w:eastAsia="ru-RU"/>
        </w:rPr>
      </w:pPr>
      <w:r/>
      <w:bookmarkStart w:id="408" w:name="_bookmark227"/>
      <w:r/>
      <w:bookmarkStart w:id="409" w:name="_Toc165540775"/>
      <w:r/>
      <w:bookmarkStart w:id="410" w:name="_Toc130231995"/>
      <w:r/>
      <w:bookmarkEnd w:id="408"/>
      <w:r>
        <w:rPr>
          <w:lang w:eastAsia="ru-RU"/>
        </w:rPr>
        <w:br w:type="page" w:clear="all"/>
      </w:r>
      <w:r>
        <w:rPr>
          <w:b/>
          <w:bCs/>
          <w:sz w:val="24"/>
          <w:szCs w:val="24"/>
          <w:lang w:eastAsia="ru-RU"/>
        </w:rPr>
      </w:r>
      <w:r>
        <w:rPr>
          <w:b/>
          <w:bCs/>
          <w:sz w:val="24"/>
          <w:szCs w:val="24"/>
          <w:lang w:eastAsia="ru-RU"/>
        </w:rPr>
      </w:r>
    </w:p>
    <w:p>
      <w:pPr>
        <w:jc w:val="right"/>
        <w:rPr>
          <w:sz w:val="24"/>
          <w:szCs w:val="24"/>
          <w:lang w:eastAsia="ru-RU"/>
        </w:rPr>
        <w:sectPr>
          <w:footnotePr/>
          <w:endnotePr/>
          <w:type w:val="nextPage"/>
          <w:pgSz w:w="11910" w:h="16840" w:orient="portrait"/>
          <w:pgMar w:top="1040" w:right="740" w:bottom="940" w:left="1300" w:header="0" w:footer="758" w:gutter="0"/>
          <w:cols w:num="1" w:sep="0" w:space="720" w:equalWidth="1"/>
          <w:docGrid w:linePitch="360"/>
        </w:sectPr>
      </w:pPr>
      <w:r>
        <w:rPr>
          <w:sz w:val="24"/>
          <w:szCs w:val="24"/>
          <w:lang w:eastAsia="ru-RU"/>
        </w:rPr>
      </w:r>
      <w:r>
        <w:rPr>
          <w:sz w:val="24"/>
          <w:szCs w:val="24"/>
          <w:lang w:eastAsia="ru-RU"/>
        </w:rPr>
      </w:r>
      <w:r>
        <w:rPr>
          <w:sz w:val="24"/>
          <w:szCs w:val="24"/>
          <w:lang w:eastAsia="ru-RU"/>
        </w:rPr>
      </w:r>
    </w:p>
    <w:p>
      <w:pPr>
        <w:jc w:val="right"/>
        <w:rPr>
          <w:sz w:val="24"/>
          <w:szCs w:val="24"/>
          <w:lang w:eastAsia="ru-RU"/>
        </w:rPr>
      </w:pPr>
      <w:r>
        <w:rPr>
          <w:sz w:val="24"/>
          <w:szCs w:val="24"/>
          <w:lang w:eastAsia="ru-RU"/>
        </w:rPr>
        <w:t xml:space="preserve">Таблица 6.1.1</w:t>
      </w:r>
      <w:r>
        <w:rPr>
          <w:sz w:val="24"/>
          <w:szCs w:val="24"/>
          <w:lang w:eastAsia="ru-RU"/>
        </w:rPr>
      </w:r>
      <w:r>
        <w:rPr>
          <w:sz w:val="24"/>
          <w:szCs w:val="24"/>
          <w:lang w:eastAsia="ru-RU"/>
        </w:rPr>
      </w:r>
    </w:p>
    <w:tbl>
      <w:tblPr>
        <w:tblW w:w="5000" w:type="pct"/>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487"/>
        <w:gridCol w:w="7767"/>
        <w:gridCol w:w="1105"/>
        <w:gridCol w:w="1099"/>
        <w:gridCol w:w="1099"/>
        <w:gridCol w:w="1099"/>
        <w:gridCol w:w="1099"/>
        <w:gridCol w:w="1096"/>
      </w:tblGrid>
      <w:tr>
        <w:tblPrEx/>
        <w:trPr>
          <w:trHeight w:val="422"/>
        </w:trPr>
        <w:tc>
          <w:tcPr>
            <w:tcW w:w="164" w:type="pct"/>
            <w:vAlign w:val="center"/>
            <w:vMerge w:val="restart"/>
            <w:textDirection w:val="lrTb"/>
            <w:noWrap w:val="false"/>
          </w:tcPr>
          <w:p>
            <w:pPr>
              <w:jc w:val="center"/>
              <w:rPr>
                <w:sz w:val="20"/>
                <w:szCs w:val="20"/>
              </w:rPr>
            </w:pPr>
            <w:r>
              <w:rPr>
                <w:sz w:val="20"/>
                <w:szCs w:val="20"/>
              </w:rPr>
              <w:t xml:space="preserve">№ п/п</w:t>
            </w:r>
            <w:r>
              <w:rPr>
                <w:sz w:val="20"/>
                <w:szCs w:val="20"/>
              </w:rPr>
            </w:r>
            <w:r>
              <w:rPr>
                <w:sz w:val="20"/>
                <w:szCs w:val="20"/>
              </w:rPr>
            </w:r>
          </w:p>
        </w:tc>
        <w:tc>
          <w:tcPr>
            <w:shd w:val="clear" w:color="auto" w:fill="auto"/>
            <w:tcW w:w="2615" w:type="pct"/>
            <w:vAlign w:val="center"/>
            <w:vMerge w:val="restart"/>
            <w:textDirection w:val="lrTb"/>
            <w:noWrap w:val="false"/>
          </w:tcPr>
          <w:p>
            <w:pPr>
              <w:jc w:val="center"/>
              <w:rPr>
                <w:sz w:val="20"/>
                <w:szCs w:val="20"/>
              </w:rPr>
            </w:pPr>
            <w:r>
              <w:rPr>
                <w:sz w:val="20"/>
                <w:szCs w:val="20"/>
              </w:rPr>
              <w:t xml:space="preserve">Наименование показателя, размерность</w:t>
            </w:r>
            <w:r>
              <w:rPr>
                <w:sz w:val="20"/>
                <w:szCs w:val="20"/>
              </w:rPr>
            </w:r>
            <w:r>
              <w:rPr>
                <w:sz w:val="20"/>
                <w:szCs w:val="20"/>
              </w:rPr>
            </w:r>
          </w:p>
        </w:tc>
        <w:tc>
          <w:tcPr>
            <w:gridSpan w:val="6"/>
            <w:shd w:val="clear" w:color="auto" w:fill="auto"/>
            <w:tcW w:w="2221" w:type="pct"/>
            <w:vAlign w:val="center"/>
            <w:textDirection w:val="lrTb"/>
            <w:noWrap w:val="false"/>
          </w:tcPr>
          <w:p>
            <w:pPr>
              <w:jc w:val="center"/>
              <w:rPr>
                <w:sz w:val="20"/>
                <w:szCs w:val="20"/>
              </w:rPr>
            </w:pPr>
            <w:r>
              <w:rPr>
                <w:sz w:val="20"/>
                <w:szCs w:val="20"/>
              </w:rPr>
              <w:t xml:space="preserve">Период, год</w:t>
            </w:r>
            <w:r>
              <w:rPr>
                <w:sz w:val="20"/>
                <w:szCs w:val="20"/>
              </w:rPr>
            </w:r>
            <w:r>
              <w:rPr>
                <w:sz w:val="20"/>
                <w:szCs w:val="20"/>
              </w:rPr>
            </w:r>
          </w:p>
        </w:tc>
      </w:tr>
      <w:tr>
        <w:tblPrEx/>
        <w:trPr>
          <w:trHeight w:val="130"/>
        </w:trPr>
        <w:tc>
          <w:tcPr>
            <w:tcW w:w="164" w:type="pct"/>
            <w:vAlign w:val="center"/>
            <w:vMerge w:val="continue"/>
            <w:textDirection w:val="lrTb"/>
            <w:noWrap w:val="false"/>
          </w:tcPr>
          <w:p>
            <w:pPr>
              <w:jc w:val="center"/>
              <w:rPr>
                <w:sz w:val="20"/>
                <w:szCs w:val="20"/>
              </w:rPr>
            </w:pPr>
            <w:r>
              <w:rPr>
                <w:sz w:val="20"/>
                <w:szCs w:val="20"/>
              </w:rPr>
            </w:r>
            <w:r>
              <w:rPr>
                <w:sz w:val="20"/>
                <w:szCs w:val="20"/>
              </w:rPr>
            </w:r>
            <w:r>
              <w:rPr>
                <w:sz w:val="20"/>
                <w:szCs w:val="20"/>
              </w:rPr>
            </w:r>
          </w:p>
        </w:tc>
        <w:tc>
          <w:tcPr>
            <w:shd w:val="clear" w:color="auto" w:fill="auto"/>
            <w:tcW w:w="2615" w:type="pct"/>
            <w:vAlign w:val="center"/>
            <w:vMerge w:val="continue"/>
            <w:textDirection w:val="lrTb"/>
            <w:noWrap w:val="false"/>
          </w:tcPr>
          <w:p>
            <w:pPr>
              <w:jc w:val="center"/>
              <w:rPr>
                <w:sz w:val="20"/>
                <w:szCs w:val="20"/>
              </w:rPr>
            </w:pPr>
            <w:r>
              <w:rPr>
                <w:sz w:val="20"/>
                <w:szCs w:val="20"/>
              </w:rPr>
            </w:r>
            <w:r>
              <w:rPr>
                <w:sz w:val="20"/>
                <w:szCs w:val="20"/>
              </w:rPr>
            </w:r>
            <w:r>
              <w:rPr>
                <w:sz w:val="20"/>
                <w:szCs w:val="20"/>
              </w:rPr>
            </w:r>
          </w:p>
        </w:tc>
        <w:tc>
          <w:tcPr>
            <w:shd w:val="clear" w:color="auto" w:fill="auto"/>
            <w:tcW w:w="372" w:type="pct"/>
            <w:vAlign w:val="center"/>
            <w:textDirection w:val="lrTb"/>
            <w:noWrap w:val="false"/>
          </w:tcPr>
          <w:p>
            <w:pPr>
              <w:jc w:val="center"/>
              <w:rPr>
                <w:sz w:val="20"/>
                <w:szCs w:val="20"/>
              </w:rPr>
            </w:pPr>
            <w:r>
              <w:rPr>
                <w:sz w:val="20"/>
                <w:szCs w:val="20"/>
              </w:rPr>
              <w:t xml:space="preserve">2024г.</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2025г.</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2026г.</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2027г.</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2028г.</w:t>
            </w:r>
            <w:r>
              <w:rPr>
                <w:sz w:val="20"/>
                <w:szCs w:val="20"/>
              </w:rPr>
            </w:r>
            <w:r>
              <w:rPr>
                <w:sz w:val="20"/>
                <w:szCs w:val="20"/>
              </w:rPr>
            </w:r>
          </w:p>
        </w:tc>
        <w:tc>
          <w:tcPr>
            <w:tcW w:w="369" w:type="pct"/>
            <w:vAlign w:val="center"/>
            <w:textDirection w:val="lrTb"/>
            <w:noWrap w:val="false"/>
          </w:tcPr>
          <w:p>
            <w:pPr>
              <w:jc w:val="center"/>
              <w:rPr>
                <w:sz w:val="20"/>
                <w:szCs w:val="20"/>
              </w:rPr>
            </w:pPr>
            <w:r>
              <w:rPr>
                <w:sz w:val="20"/>
                <w:szCs w:val="20"/>
              </w:rPr>
              <w:t xml:space="preserve">2029-</w:t>
            </w:r>
            <w:r>
              <w:rPr>
                <w:sz w:val="20"/>
                <w:szCs w:val="20"/>
              </w:rPr>
            </w:r>
            <w:r>
              <w:rPr>
                <w:sz w:val="20"/>
                <w:szCs w:val="20"/>
              </w:rPr>
            </w:r>
          </w:p>
          <w:p>
            <w:pPr>
              <w:jc w:val="center"/>
              <w:rPr>
                <w:sz w:val="20"/>
                <w:szCs w:val="20"/>
              </w:rPr>
            </w:pPr>
            <w:r>
              <w:rPr>
                <w:sz w:val="20"/>
                <w:szCs w:val="20"/>
              </w:rPr>
              <w:t xml:space="preserve">2039гг.</w:t>
            </w:r>
            <w:r>
              <w:rPr>
                <w:sz w:val="20"/>
                <w:szCs w:val="20"/>
              </w:rPr>
            </w:r>
            <w:r>
              <w:rPr>
                <w:sz w:val="20"/>
                <w:szCs w:val="20"/>
              </w:rPr>
            </w:r>
          </w:p>
        </w:tc>
      </w:tr>
      <w:tr>
        <w:tblPrEx/>
        <w:trPr>
          <w:trHeight w:val="300"/>
        </w:trPr>
        <w:tc>
          <w:tcPr>
            <w:gridSpan w:val="8"/>
            <w:shd w:val="clear" w:color="auto" w:fill="auto"/>
            <w:tcW w:w="5000" w:type="pct"/>
            <w:vAlign w:val="center"/>
            <w:textDirection w:val="lrTb"/>
            <w:noWrap w:val="false"/>
          </w:tcPr>
          <w:p>
            <w:pPr>
              <w:jc w:val="center"/>
              <w:rPr>
                <w:color w:val="000000"/>
                <w:sz w:val="20"/>
                <w:szCs w:val="20"/>
              </w:rPr>
            </w:pPr>
            <w:r>
              <w:rPr>
                <w:color w:val="000000"/>
                <w:sz w:val="20"/>
                <w:szCs w:val="20"/>
              </w:rPr>
              <w:t xml:space="preserve">Котельная </w:t>
            </w:r>
            <w:r>
              <w:rPr>
                <w:rFonts w:ascii="Liberation Serif" w:hAnsi="Liberation Serif" w:cs="Calibri"/>
                <w:color w:val="000000"/>
                <w:sz w:val="20"/>
                <w:szCs w:val="20"/>
              </w:rPr>
              <w:t xml:space="preserve">п. Новый Мир, ЛПДС «Юргамыш»</w:t>
            </w:r>
            <w:r>
              <w:rPr>
                <w:color w:val="000000"/>
                <w:sz w:val="20"/>
                <w:szCs w:val="20"/>
              </w:rPr>
            </w:r>
            <w:r>
              <w:rPr>
                <w:color w:val="000000"/>
                <w:sz w:val="20"/>
                <w:szCs w:val="20"/>
              </w:rPr>
            </w:r>
          </w:p>
        </w:tc>
      </w:tr>
      <w:tr>
        <w:tblPrEx/>
        <w:trPr>
          <w:trHeight w:val="75"/>
        </w:trPr>
        <w:tc>
          <w:tcPr>
            <w:shd w:val="clear" w:color="auto" w:fill="auto"/>
            <w:tcW w:w="164" w:type="pct"/>
            <w:vAlign w:val="center"/>
            <w:textDirection w:val="lrTb"/>
            <w:noWrap w:val="false"/>
          </w:tcPr>
          <w:p>
            <w:pPr>
              <w:jc w:val="center"/>
              <w:rPr>
                <w:sz w:val="20"/>
                <w:szCs w:val="20"/>
              </w:rPr>
            </w:pPr>
            <w:r>
              <w:rPr>
                <w:sz w:val="20"/>
                <w:szCs w:val="20"/>
              </w:rPr>
              <w:t xml:space="preserve">1</w:t>
            </w:r>
            <w:r>
              <w:rPr>
                <w:sz w:val="20"/>
                <w:szCs w:val="20"/>
              </w:rPr>
            </w:r>
            <w:r>
              <w:rPr>
                <w:sz w:val="20"/>
                <w:szCs w:val="20"/>
              </w:rPr>
            </w:r>
          </w:p>
        </w:tc>
        <w:tc>
          <w:tcPr>
            <w:shd w:val="clear" w:color="auto" w:fill="auto"/>
            <w:tcW w:w="2615" w:type="pct"/>
            <w:vAlign w:val="center"/>
            <w:textDirection w:val="lrTb"/>
            <w:noWrap w:val="false"/>
          </w:tcPr>
          <w:p>
            <w:pPr>
              <w:rPr>
                <w:sz w:val="20"/>
                <w:szCs w:val="20"/>
              </w:rPr>
            </w:pPr>
            <w:r>
              <w:rPr>
                <w:sz w:val="20"/>
                <w:szCs w:val="20"/>
              </w:rPr>
              <w:t xml:space="preserve">Объем воды в системе теплоснабжения V, м3</w:t>
            </w:r>
            <w:r>
              <w:rPr>
                <w:sz w:val="20"/>
                <w:szCs w:val="20"/>
              </w:rPr>
            </w:r>
            <w:r>
              <w:rPr>
                <w:sz w:val="20"/>
                <w:szCs w:val="20"/>
              </w:rPr>
            </w:r>
          </w:p>
        </w:tc>
        <w:tc>
          <w:tcPr>
            <w:shd w:val="clear" w:color="auto" w:fill="auto"/>
            <w:tcW w:w="372" w:type="pct"/>
            <w:vAlign w:val="center"/>
            <w:textDirection w:val="lrTb"/>
            <w:noWrap w:val="false"/>
          </w:tcPr>
          <w:p>
            <w:pPr>
              <w:jc w:val="center"/>
              <w:rPr>
                <w:sz w:val="20"/>
                <w:szCs w:val="20"/>
              </w:rPr>
            </w:pPr>
            <w:r>
              <w:rPr>
                <w:sz w:val="20"/>
                <w:szCs w:val="20"/>
              </w:rPr>
              <w:t xml:space="preserve">318,494</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318,494</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318,494</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318,494</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318,494</w:t>
            </w:r>
            <w:r>
              <w:rPr>
                <w:sz w:val="20"/>
                <w:szCs w:val="20"/>
              </w:rPr>
            </w:r>
            <w:r>
              <w:rPr>
                <w:sz w:val="20"/>
                <w:szCs w:val="20"/>
              </w:rPr>
            </w:r>
          </w:p>
        </w:tc>
        <w:tc>
          <w:tcPr>
            <w:tcW w:w="369" w:type="pct"/>
            <w:vAlign w:val="center"/>
            <w:textDirection w:val="lrTb"/>
            <w:noWrap w:val="false"/>
          </w:tcPr>
          <w:p>
            <w:pPr>
              <w:jc w:val="center"/>
              <w:rPr>
                <w:sz w:val="20"/>
                <w:szCs w:val="20"/>
              </w:rPr>
            </w:pPr>
            <w:r>
              <w:rPr>
                <w:sz w:val="20"/>
                <w:szCs w:val="20"/>
              </w:rPr>
              <w:t xml:space="preserve">318,494</w:t>
            </w:r>
            <w:r>
              <w:rPr>
                <w:sz w:val="20"/>
                <w:szCs w:val="20"/>
              </w:rPr>
            </w:r>
            <w:r>
              <w:rPr>
                <w:sz w:val="20"/>
                <w:szCs w:val="20"/>
              </w:rPr>
            </w:r>
          </w:p>
        </w:tc>
      </w:tr>
      <w:tr>
        <w:tblPrEx/>
        <w:trPr>
          <w:trHeight w:val="112"/>
        </w:trPr>
        <w:tc>
          <w:tcPr>
            <w:shd w:val="clear" w:color="auto" w:fill="auto"/>
            <w:tcW w:w="164" w:type="pct"/>
            <w:vAlign w:val="center"/>
            <w:textDirection w:val="lrTb"/>
            <w:noWrap w:val="false"/>
          </w:tcPr>
          <w:p>
            <w:pPr>
              <w:jc w:val="center"/>
              <w:rPr>
                <w:sz w:val="20"/>
                <w:szCs w:val="20"/>
              </w:rPr>
            </w:pPr>
            <w:r>
              <w:rPr>
                <w:sz w:val="20"/>
                <w:szCs w:val="20"/>
              </w:rPr>
              <w:t xml:space="preserve">2</w:t>
            </w:r>
            <w:r>
              <w:rPr>
                <w:sz w:val="20"/>
                <w:szCs w:val="20"/>
              </w:rPr>
            </w:r>
            <w:r>
              <w:rPr>
                <w:sz w:val="20"/>
                <w:szCs w:val="20"/>
              </w:rPr>
            </w:r>
          </w:p>
        </w:tc>
        <w:tc>
          <w:tcPr>
            <w:shd w:val="clear" w:color="auto" w:fill="auto"/>
            <w:tcW w:w="2615" w:type="pct"/>
            <w:vAlign w:val="center"/>
            <w:textDirection w:val="lrTb"/>
            <w:noWrap w:val="false"/>
          </w:tcPr>
          <w:p>
            <w:pPr>
              <w:rPr>
                <w:sz w:val="20"/>
                <w:szCs w:val="20"/>
              </w:rPr>
            </w:pPr>
            <w:r>
              <w:rPr>
                <w:sz w:val="20"/>
                <w:szCs w:val="20"/>
              </w:rPr>
              <w:t xml:space="preserve">Установленная производительность водоподготовительной установки, м3/ч</w:t>
            </w:r>
            <w:r>
              <w:rPr>
                <w:sz w:val="20"/>
                <w:szCs w:val="20"/>
              </w:rPr>
            </w:r>
            <w:r>
              <w:rPr>
                <w:sz w:val="20"/>
                <w:szCs w:val="20"/>
              </w:rPr>
            </w:r>
          </w:p>
        </w:tc>
        <w:tc>
          <w:tcPr>
            <w:shd w:val="clear" w:color="auto" w:fill="auto"/>
            <w:tcW w:w="372"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c>
          <w:tcPr>
            <w:tcW w:w="369"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r>
      <w:tr>
        <w:tblPrEx/>
        <w:trPr>
          <w:trHeight w:val="84"/>
        </w:trPr>
        <w:tc>
          <w:tcPr>
            <w:shd w:val="clear" w:color="auto" w:fill="auto"/>
            <w:tcW w:w="164" w:type="pct"/>
            <w:vAlign w:val="center"/>
            <w:textDirection w:val="lrTb"/>
            <w:noWrap w:val="false"/>
          </w:tcPr>
          <w:p>
            <w:pPr>
              <w:jc w:val="center"/>
              <w:rPr>
                <w:sz w:val="20"/>
                <w:szCs w:val="20"/>
              </w:rPr>
            </w:pPr>
            <w:r>
              <w:rPr>
                <w:sz w:val="20"/>
                <w:szCs w:val="20"/>
              </w:rPr>
              <w:t xml:space="preserve">3</w:t>
            </w:r>
            <w:r>
              <w:rPr>
                <w:sz w:val="20"/>
                <w:szCs w:val="20"/>
              </w:rPr>
            </w:r>
            <w:r>
              <w:rPr>
                <w:sz w:val="20"/>
                <w:szCs w:val="20"/>
              </w:rPr>
            </w:r>
          </w:p>
        </w:tc>
        <w:tc>
          <w:tcPr>
            <w:shd w:val="clear" w:color="auto" w:fill="auto"/>
            <w:tcW w:w="2615" w:type="pct"/>
            <w:vAlign w:val="center"/>
            <w:textDirection w:val="lrTb"/>
            <w:noWrap w:val="false"/>
          </w:tcPr>
          <w:p>
            <w:pPr>
              <w:rPr>
                <w:sz w:val="20"/>
                <w:szCs w:val="20"/>
              </w:rPr>
            </w:pPr>
            <w:r>
              <w:rPr>
                <w:sz w:val="20"/>
                <w:szCs w:val="20"/>
              </w:rPr>
              <w:t xml:space="preserve">Располагаемая производительность водоподготовительной установки, м3/ч</w:t>
            </w:r>
            <w:r>
              <w:rPr>
                <w:sz w:val="20"/>
                <w:szCs w:val="20"/>
              </w:rPr>
            </w:r>
            <w:r>
              <w:rPr>
                <w:sz w:val="20"/>
                <w:szCs w:val="20"/>
              </w:rPr>
            </w:r>
          </w:p>
        </w:tc>
        <w:tc>
          <w:tcPr>
            <w:shd w:val="clear" w:color="auto" w:fill="auto"/>
            <w:tcW w:w="372"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c>
          <w:tcPr>
            <w:tcW w:w="369"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r>
      <w:tr>
        <w:tblPrEx/>
        <w:trPr>
          <w:trHeight w:val="75"/>
        </w:trPr>
        <w:tc>
          <w:tcPr>
            <w:shd w:val="clear" w:color="auto" w:fill="auto"/>
            <w:tcW w:w="164" w:type="pct"/>
            <w:vAlign w:val="center"/>
            <w:textDirection w:val="lrTb"/>
            <w:noWrap w:val="false"/>
          </w:tcPr>
          <w:p>
            <w:pPr>
              <w:jc w:val="center"/>
              <w:rPr>
                <w:sz w:val="20"/>
                <w:szCs w:val="20"/>
              </w:rPr>
            </w:pPr>
            <w:r>
              <w:rPr>
                <w:sz w:val="20"/>
                <w:szCs w:val="20"/>
              </w:rPr>
              <w:t xml:space="preserve">4</w:t>
            </w:r>
            <w:r>
              <w:rPr>
                <w:sz w:val="20"/>
                <w:szCs w:val="20"/>
              </w:rPr>
            </w:r>
            <w:r>
              <w:rPr>
                <w:sz w:val="20"/>
                <w:szCs w:val="20"/>
              </w:rPr>
            </w:r>
          </w:p>
        </w:tc>
        <w:tc>
          <w:tcPr>
            <w:shd w:val="clear" w:color="auto" w:fill="auto"/>
            <w:tcW w:w="2615" w:type="pct"/>
            <w:vAlign w:val="center"/>
            <w:textDirection w:val="lrTb"/>
            <w:noWrap w:val="false"/>
          </w:tcPr>
          <w:p>
            <w:pPr>
              <w:rPr>
                <w:sz w:val="20"/>
                <w:szCs w:val="20"/>
              </w:rPr>
            </w:pPr>
            <w:r>
              <w:rPr>
                <w:sz w:val="20"/>
                <w:szCs w:val="20"/>
              </w:rPr>
              <w:t xml:space="preserve">Потери располагаемой производительности, %</w:t>
            </w:r>
            <w:r>
              <w:rPr>
                <w:sz w:val="20"/>
                <w:szCs w:val="20"/>
              </w:rPr>
            </w:r>
            <w:r>
              <w:rPr>
                <w:sz w:val="20"/>
                <w:szCs w:val="20"/>
              </w:rPr>
            </w:r>
          </w:p>
        </w:tc>
        <w:tc>
          <w:tcPr>
            <w:shd w:val="clear" w:color="auto" w:fill="auto"/>
            <w:tcW w:w="372"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c>
          <w:tcPr>
            <w:tcW w:w="369"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r>
      <w:tr>
        <w:tblPrEx/>
        <w:trPr>
          <w:trHeight w:val="75"/>
        </w:trPr>
        <w:tc>
          <w:tcPr>
            <w:shd w:val="clear" w:color="auto" w:fill="auto"/>
            <w:tcW w:w="164" w:type="pct"/>
            <w:vAlign w:val="center"/>
            <w:textDirection w:val="lrTb"/>
            <w:noWrap w:val="false"/>
          </w:tcPr>
          <w:p>
            <w:pPr>
              <w:jc w:val="center"/>
              <w:rPr>
                <w:sz w:val="20"/>
                <w:szCs w:val="20"/>
              </w:rPr>
            </w:pPr>
            <w:r>
              <w:rPr>
                <w:sz w:val="20"/>
                <w:szCs w:val="20"/>
              </w:rPr>
              <w:t xml:space="preserve">5</w:t>
            </w:r>
            <w:r>
              <w:rPr>
                <w:sz w:val="20"/>
                <w:szCs w:val="20"/>
              </w:rPr>
            </w:r>
            <w:r>
              <w:rPr>
                <w:sz w:val="20"/>
                <w:szCs w:val="20"/>
              </w:rPr>
            </w:r>
          </w:p>
        </w:tc>
        <w:tc>
          <w:tcPr>
            <w:shd w:val="clear" w:color="auto" w:fill="auto"/>
            <w:tcW w:w="2615" w:type="pct"/>
            <w:vAlign w:val="center"/>
            <w:textDirection w:val="lrTb"/>
            <w:noWrap w:val="false"/>
          </w:tcPr>
          <w:p>
            <w:pPr>
              <w:rPr>
                <w:sz w:val="20"/>
                <w:szCs w:val="20"/>
              </w:rPr>
            </w:pPr>
            <w:r>
              <w:rPr>
                <w:sz w:val="20"/>
                <w:szCs w:val="20"/>
              </w:rPr>
              <w:t xml:space="preserve">Собственные нужды водоподготовительной установки, м3/ч</w:t>
            </w:r>
            <w:r>
              <w:rPr>
                <w:sz w:val="20"/>
                <w:szCs w:val="20"/>
              </w:rPr>
            </w:r>
            <w:r>
              <w:rPr>
                <w:sz w:val="20"/>
                <w:szCs w:val="20"/>
              </w:rPr>
            </w:r>
          </w:p>
        </w:tc>
        <w:tc>
          <w:tcPr>
            <w:shd w:val="clear" w:color="auto" w:fill="auto"/>
            <w:tcW w:w="372"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c>
          <w:tcPr>
            <w:tcW w:w="369"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r>
      <w:tr>
        <w:tblPrEx/>
        <w:trPr>
          <w:trHeight w:val="75"/>
        </w:trPr>
        <w:tc>
          <w:tcPr>
            <w:shd w:val="clear" w:color="auto" w:fill="auto"/>
            <w:tcW w:w="164" w:type="pct"/>
            <w:vAlign w:val="center"/>
            <w:textDirection w:val="lrTb"/>
            <w:noWrap w:val="false"/>
          </w:tcPr>
          <w:p>
            <w:pPr>
              <w:jc w:val="center"/>
              <w:rPr>
                <w:sz w:val="20"/>
                <w:szCs w:val="20"/>
              </w:rPr>
            </w:pPr>
            <w:r>
              <w:rPr>
                <w:sz w:val="20"/>
                <w:szCs w:val="20"/>
              </w:rPr>
              <w:t xml:space="preserve">6</w:t>
            </w:r>
            <w:r>
              <w:rPr>
                <w:sz w:val="20"/>
                <w:szCs w:val="20"/>
              </w:rPr>
            </w:r>
            <w:r>
              <w:rPr>
                <w:sz w:val="20"/>
                <w:szCs w:val="20"/>
              </w:rPr>
            </w:r>
          </w:p>
        </w:tc>
        <w:tc>
          <w:tcPr>
            <w:shd w:val="clear" w:color="auto" w:fill="auto"/>
            <w:tcW w:w="2615" w:type="pct"/>
            <w:vAlign w:val="center"/>
            <w:textDirection w:val="lrTb"/>
            <w:noWrap w:val="false"/>
          </w:tcPr>
          <w:p>
            <w:pPr>
              <w:rPr>
                <w:sz w:val="20"/>
                <w:szCs w:val="20"/>
              </w:rPr>
            </w:pPr>
            <w:r>
              <w:rPr>
                <w:sz w:val="20"/>
                <w:szCs w:val="20"/>
              </w:rPr>
              <w:t xml:space="preserve">Количество баков-аккумуляторов теплоносителя, шт.</w:t>
            </w:r>
            <w:r>
              <w:rPr>
                <w:sz w:val="20"/>
                <w:szCs w:val="20"/>
              </w:rPr>
            </w:r>
            <w:r>
              <w:rPr>
                <w:sz w:val="20"/>
                <w:szCs w:val="20"/>
              </w:rPr>
            </w:r>
          </w:p>
        </w:tc>
        <w:tc>
          <w:tcPr>
            <w:shd w:val="clear" w:color="auto" w:fill="auto"/>
            <w:tcW w:w="372"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c>
          <w:tcPr>
            <w:tcW w:w="369"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r>
      <w:tr>
        <w:tblPrEx/>
        <w:trPr>
          <w:trHeight w:val="75"/>
        </w:trPr>
        <w:tc>
          <w:tcPr>
            <w:shd w:val="clear" w:color="auto" w:fill="auto"/>
            <w:tcW w:w="164" w:type="pct"/>
            <w:vAlign w:val="center"/>
            <w:textDirection w:val="lrTb"/>
            <w:noWrap w:val="false"/>
          </w:tcPr>
          <w:p>
            <w:pPr>
              <w:jc w:val="center"/>
              <w:rPr>
                <w:sz w:val="20"/>
                <w:szCs w:val="20"/>
              </w:rPr>
            </w:pPr>
            <w:r>
              <w:rPr>
                <w:sz w:val="20"/>
                <w:szCs w:val="20"/>
              </w:rPr>
              <w:t xml:space="preserve">7</w:t>
            </w:r>
            <w:r>
              <w:rPr>
                <w:sz w:val="20"/>
                <w:szCs w:val="20"/>
              </w:rPr>
            </w:r>
            <w:r>
              <w:rPr>
                <w:sz w:val="20"/>
                <w:szCs w:val="20"/>
              </w:rPr>
            </w:r>
          </w:p>
        </w:tc>
        <w:tc>
          <w:tcPr>
            <w:shd w:val="clear" w:color="auto" w:fill="auto"/>
            <w:tcW w:w="2615" w:type="pct"/>
            <w:vAlign w:val="center"/>
            <w:textDirection w:val="lrTb"/>
            <w:noWrap w:val="false"/>
          </w:tcPr>
          <w:p>
            <w:pPr>
              <w:rPr>
                <w:sz w:val="20"/>
                <w:szCs w:val="20"/>
              </w:rPr>
            </w:pPr>
            <w:r>
              <w:rPr>
                <w:sz w:val="20"/>
                <w:szCs w:val="20"/>
              </w:rPr>
              <w:t xml:space="preserve">Емкость баков аккумуляторов, тыс. м3</w:t>
            </w:r>
            <w:r>
              <w:rPr>
                <w:sz w:val="20"/>
                <w:szCs w:val="20"/>
              </w:rPr>
            </w:r>
            <w:r>
              <w:rPr>
                <w:sz w:val="20"/>
                <w:szCs w:val="20"/>
              </w:rPr>
            </w:r>
          </w:p>
        </w:tc>
        <w:tc>
          <w:tcPr>
            <w:shd w:val="clear" w:color="auto" w:fill="auto"/>
            <w:tcW w:w="372"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c>
          <w:tcPr>
            <w:tcW w:w="369"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r>
      <w:tr>
        <w:tblPrEx/>
        <w:trPr>
          <w:trHeight w:val="75"/>
        </w:trPr>
        <w:tc>
          <w:tcPr>
            <w:shd w:val="clear" w:color="auto" w:fill="auto"/>
            <w:tcW w:w="164" w:type="pct"/>
            <w:vAlign w:val="center"/>
            <w:textDirection w:val="lrTb"/>
            <w:noWrap w:val="false"/>
          </w:tcPr>
          <w:p>
            <w:pPr>
              <w:jc w:val="center"/>
              <w:rPr>
                <w:sz w:val="20"/>
                <w:szCs w:val="20"/>
              </w:rPr>
            </w:pPr>
            <w:r>
              <w:rPr>
                <w:sz w:val="20"/>
                <w:szCs w:val="20"/>
              </w:rPr>
              <w:t xml:space="preserve">8</w:t>
            </w:r>
            <w:r>
              <w:rPr>
                <w:sz w:val="20"/>
                <w:szCs w:val="20"/>
              </w:rPr>
            </w:r>
            <w:r>
              <w:rPr>
                <w:sz w:val="20"/>
                <w:szCs w:val="20"/>
              </w:rPr>
            </w:r>
          </w:p>
        </w:tc>
        <w:tc>
          <w:tcPr>
            <w:shd w:val="clear" w:color="auto" w:fill="auto"/>
            <w:tcW w:w="2615" w:type="pct"/>
            <w:vAlign w:val="center"/>
            <w:textDirection w:val="lrTb"/>
            <w:noWrap w:val="false"/>
          </w:tcPr>
          <w:p>
            <w:pPr>
              <w:rPr>
                <w:sz w:val="20"/>
                <w:szCs w:val="20"/>
              </w:rPr>
            </w:pPr>
            <w:r>
              <w:rPr>
                <w:sz w:val="20"/>
                <w:szCs w:val="20"/>
              </w:rPr>
              <w:t xml:space="preserve">Требуемая расчетная производительность водоподготовительной установки (0,75% V), м3/ч</w:t>
            </w:r>
            <w:r>
              <w:rPr>
                <w:sz w:val="20"/>
                <w:szCs w:val="20"/>
              </w:rPr>
            </w:r>
            <w:r>
              <w:rPr>
                <w:sz w:val="20"/>
                <w:szCs w:val="20"/>
              </w:rPr>
            </w:r>
          </w:p>
        </w:tc>
        <w:tc>
          <w:tcPr>
            <w:shd w:val="clear" w:color="auto" w:fill="auto"/>
            <w:tcW w:w="372" w:type="pct"/>
            <w:vAlign w:val="center"/>
            <w:textDirection w:val="lrTb"/>
            <w:noWrap w:val="false"/>
          </w:tcPr>
          <w:p>
            <w:pPr>
              <w:jc w:val="center"/>
              <w:rPr>
                <w:sz w:val="20"/>
                <w:szCs w:val="20"/>
              </w:rPr>
            </w:pPr>
            <w:r>
              <w:rPr>
                <w:sz w:val="20"/>
                <w:szCs w:val="20"/>
              </w:rPr>
              <w:t xml:space="preserve">2,389</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2,389</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2,389</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2,389</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2,389</w:t>
            </w:r>
            <w:r>
              <w:rPr>
                <w:sz w:val="20"/>
                <w:szCs w:val="20"/>
              </w:rPr>
            </w:r>
            <w:r>
              <w:rPr>
                <w:sz w:val="20"/>
                <w:szCs w:val="20"/>
              </w:rPr>
            </w:r>
          </w:p>
        </w:tc>
        <w:tc>
          <w:tcPr>
            <w:tcW w:w="369" w:type="pct"/>
            <w:vAlign w:val="center"/>
            <w:textDirection w:val="lrTb"/>
            <w:noWrap w:val="false"/>
          </w:tcPr>
          <w:p>
            <w:pPr>
              <w:jc w:val="center"/>
              <w:rPr>
                <w:sz w:val="20"/>
                <w:szCs w:val="20"/>
              </w:rPr>
            </w:pPr>
            <w:r>
              <w:rPr>
                <w:sz w:val="20"/>
                <w:szCs w:val="20"/>
              </w:rPr>
              <w:t xml:space="preserve">2,389</w:t>
            </w:r>
            <w:r>
              <w:rPr>
                <w:sz w:val="20"/>
                <w:szCs w:val="20"/>
              </w:rPr>
            </w:r>
            <w:r>
              <w:rPr>
                <w:sz w:val="20"/>
                <w:szCs w:val="20"/>
              </w:rPr>
            </w:r>
          </w:p>
        </w:tc>
      </w:tr>
      <w:tr>
        <w:tblPrEx/>
        <w:trPr>
          <w:trHeight w:val="75"/>
        </w:trPr>
        <w:tc>
          <w:tcPr>
            <w:shd w:val="clear" w:color="auto" w:fill="auto"/>
            <w:tcW w:w="164" w:type="pct"/>
            <w:vAlign w:val="center"/>
            <w:textDirection w:val="lrTb"/>
            <w:noWrap w:val="false"/>
          </w:tcPr>
          <w:p>
            <w:pPr>
              <w:jc w:val="center"/>
              <w:rPr>
                <w:sz w:val="20"/>
                <w:szCs w:val="20"/>
              </w:rPr>
            </w:pPr>
            <w:r>
              <w:rPr>
                <w:sz w:val="20"/>
                <w:szCs w:val="20"/>
              </w:rPr>
              <w:t xml:space="preserve">9</w:t>
            </w:r>
            <w:r>
              <w:rPr>
                <w:sz w:val="20"/>
                <w:szCs w:val="20"/>
              </w:rPr>
            </w:r>
            <w:r>
              <w:rPr>
                <w:sz w:val="20"/>
                <w:szCs w:val="20"/>
              </w:rPr>
            </w:r>
          </w:p>
        </w:tc>
        <w:tc>
          <w:tcPr>
            <w:shd w:val="clear" w:color="auto" w:fill="auto"/>
            <w:tcW w:w="2615" w:type="pct"/>
            <w:vAlign w:val="center"/>
            <w:textDirection w:val="lrTb"/>
            <w:noWrap w:val="false"/>
          </w:tcPr>
          <w:p>
            <w:pPr>
              <w:rPr>
                <w:sz w:val="20"/>
                <w:szCs w:val="20"/>
              </w:rPr>
            </w:pPr>
            <w:r>
              <w:rPr>
                <w:sz w:val="20"/>
                <w:szCs w:val="20"/>
              </w:rPr>
              <w:t xml:space="preserve">Всего подпитка тепловой сети, м3/ч, в том числе:</w:t>
            </w:r>
            <w:r>
              <w:rPr>
                <w:sz w:val="20"/>
                <w:szCs w:val="20"/>
              </w:rPr>
            </w:r>
            <w:r>
              <w:rPr>
                <w:sz w:val="20"/>
                <w:szCs w:val="20"/>
              </w:rPr>
            </w:r>
          </w:p>
        </w:tc>
        <w:tc>
          <w:tcPr>
            <w:shd w:val="clear" w:color="auto" w:fill="auto"/>
            <w:tcW w:w="372" w:type="pct"/>
            <w:vAlign w:val="center"/>
            <w:textDirection w:val="lrTb"/>
            <w:noWrap w:val="false"/>
          </w:tcPr>
          <w:p>
            <w:pPr>
              <w:jc w:val="center"/>
              <w:rPr>
                <w:sz w:val="20"/>
                <w:szCs w:val="20"/>
              </w:rPr>
            </w:pPr>
            <w:r>
              <w:rPr>
                <w:sz w:val="20"/>
                <w:szCs w:val="20"/>
              </w:rPr>
              <w:t xml:space="preserve">0,796</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0,796</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0,796</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0,796</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0,796</w:t>
            </w:r>
            <w:r>
              <w:rPr>
                <w:sz w:val="20"/>
                <w:szCs w:val="20"/>
              </w:rPr>
            </w:r>
            <w:r>
              <w:rPr>
                <w:sz w:val="20"/>
                <w:szCs w:val="20"/>
              </w:rPr>
            </w:r>
          </w:p>
        </w:tc>
        <w:tc>
          <w:tcPr>
            <w:tcW w:w="369" w:type="pct"/>
            <w:vAlign w:val="center"/>
            <w:textDirection w:val="lrTb"/>
            <w:noWrap w:val="false"/>
          </w:tcPr>
          <w:p>
            <w:pPr>
              <w:jc w:val="center"/>
              <w:rPr>
                <w:sz w:val="20"/>
                <w:szCs w:val="20"/>
              </w:rPr>
            </w:pPr>
            <w:r>
              <w:rPr>
                <w:sz w:val="20"/>
                <w:szCs w:val="20"/>
              </w:rPr>
              <w:t xml:space="preserve">0,796</w:t>
            </w:r>
            <w:r>
              <w:rPr>
                <w:sz w:val="20"/>
                <w:szCs w:val="20"/>
              </w:rPr>
            </w:r>
            <w:r>
              <w:rPr>
                <w:sz w:val="20"/>
                <w:szCs w:val="20"/>
              </w:rPr>
            </w:r>
          </w:p>
        </w:tc>
      </w:tr>
      <w:tr>
        <w:tblPrEx/>
        <w:trPr>
          <w:trHeight w:val="75"/>
        </w:trPr>
        <w:tc>
          <w:tcPr>
            <w:shd w:val="clear" w:color="auto" w:fill="auto"/>
            <w:tcW w:w="164" w:type="pct"/>
            <w:vAlign w:val="center"/>
            <w:textDirection w:val="lrTb"/>
            <w:noWrap w:val="false"/>
          </w:tcPr>
          <w:p>
            <w:pPr>
              <w:jc w:val="center"/>
              <w:rPr>
                <w:sz w:val="20"/>
                <w:szCs w:val="20"/>
              </w:rPr>
            </w:pPr>
            <w:r>
              <w:rPr>
                <w:sz w:val="20"/>
                <w:szCs w:val="20"/>
              </w:rPr>
              <w:t xml:space="preserve">9.1</w:t>
            </w:r>
            <w:r>
              <w:rPr>
                <w:sz w:val="20"/>
                <w:szCs w:val="20"/>
              </w:rPr>
            </w:r>
            <w:r>
              <w:rPr>
                <w:sz w:val="20"/>
                <w:szCs w:val="20"/>
              </w:rPr>
            </w:r>
          </w:p>
        </w:tc>
        <w:tc>
          <w:tcPr>
            <w:shd w:val="clear" w:color="auto" w:fill="auto"/>
            <w:tcW w:w="2615" w:type="pct"/>
            <w:vAlign w:val="center"/>
            <w:textDirection w:val="lrTb"/>
            <w:noWrap w:val="false"/>
          </w:tcPr>
          <w:p>
            <w:pPr>
              <w:rPr>
                <w:sz w:val="20"/>
                <w:szCs w:val="20"/>
              </w:rPr>
            </w:pPr>
            <w:r>
              <w:rPr>
                <w:sz w:val="20"/>
                <w:szCs w:val="20"/>
              </w:rPr>
              <w:t xml:space="preserve">- нормативные утечки теплоносителя (0,25% V), м3/ч</w:t>
            </w:r>
            <w:r>
              <w:rPr>
                <w:sz w:val="20"/>
                <w:szCs w:val="20"/>
              </w:rPr>
            </w:r>
            <w:r>
              <w:rPr>
                <w:sz w:val="20"/>
                <w:szCs w:val="20"/>
              </w:rPr>
            </w:r>
          </w:p>
        </w:tc>
        <w:tc>
          <w:tcPr>
            <w:shd w:val="clear" w:color="auto" w:fill="auto"/>
            <w:tcW w:w="372" w:type="pct"/>
            <w:vAlign w:val="center"/>
            <w:textDirection w:val="lrTb"/>
            <w:noWrap w:val="false"/>
          </w:tcPr>
          <w:p>
            <w:pPr>
              <w:jc w:val="center"/>
              <w:rPr>
                <w:sz w:val="20"/>
                <w:szCs w:val="20"/>
              </w:rPr>
            </w:pPr>
            <w:r>
              <w:rPr>
                <w:sz w:val="20"/>
                <w:szCs w:val="20"/>
              </w:rPr>
              <w:t xml:space="preserve">0,796</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0,796</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0,796</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0,796</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0,796</w:t>
            </w:r>
            <w:r>
              <w:rPr>
                <w:sz w:val="20"/>
                <w:szCs w:val="20"/>
              </w:rPr>
            </w:r>
            <w:r>
              <w:rPr>
                <w:sz w:val="20"/>
                <w:szCs w:val="20"/>
              </w:rPr>
            </w:r>
          </w:p>
        </w:tc>
        <w:tc>
          <w:tcPr>
            <w:tcW w:w="369" w:type="pct"/>
            <w:vAlign w:val="center"/>
            <w:textDirection w:val="lrTb"/>
            <w:noWrap w:val="false"/>
          </w:tcPr>
          <w:p>
            <w:pPr>
              <w:jc w:val="center"/>
              <w:rPr>
                <w:sz w:val="20"/>
                <w:szCs w:val="20"/>
              </w:rPr>
            </w:pPr>
            <w:r>
              <w:rPr>
                <w:sz w:val="20"/>
                <w:szCs w:val="20"/>
              </w:rPr>
              <w:t xml:space="preserve">0,796</w:t>
            </w:r>
            <w:r>
              <w:rPr>
                <w:sz w:val="20"/>
                <w:szCs w:val="20"/>
              </w:rPr>
            </w:r>
            <w:r>
              <w:rPr>
                <w:sz w:val="20"/>
                <w:szCs w:val="20"/>
              </w:rPr>
            </w:r>
          </w:p>
        </w:tc>
      </w:tr>
      <w:tr>
        <w:tblPrEx/>
        <w:trPr>
          <w:trHeight w:val="75"/>
        </w:trPr>
        <w:tc>
          <w:tcPr>
            <w:shd w:val="clear" w:color="auto" w:fill="auto"/>
            <w:tcW w:w="164" w:type="pct"/>
            <w:vAlign w:val="center"/>
            <w:textDirection w:val="lrTb"/>
            <w:noWrap w:val="false"/>
          </w:tcPr>
          <w:p>
            <w:pPr>
              <w:jc w:val="center"/>
              <w:rPr>
                <w:sz w:val="20"/>
                <w:szCs w:val="20"/>
              </w:rPr>
            </w:pPr>
            <w:r>
              <w:rPr>
                <w:sz w:val="20"/>
                <w:szCs w:val="20"/>
              </w:rPr>
              <w:t xml:space="preserve">9.2</w:t>
            </w:r>
            <w:r>
              <w:rPr>
                <w:sz w:val="20"/>
                <w:szCs w:val="20"/>
              </w:rPr>
            </w:r>
            <w:r>
              <w:rPr>
                <w:sz w:val="20"/>
                <w:szCs w:val="20"/>
              </w:rPr>
            </w:r>
          </w:p>
        </w:tc>
        <w:tc>
          <w:tcPr>
            <w:shd w:val="clear" w:color="auto" w:fill="auto"/>
            <w:tcW w:w="2615" w:type="pct"/>
            <w:vAlign w:val="center"/>
            <w:textDirection w:val="lrTb"/>
            <w:noWrap w:val="false"/>
          </w:tcPr>
          <w:p>
            <w:pPr>
              <w:rPr>
                <w:sz w:val="20"/>
                <w:szCs w:val="20"/>
              </w:rPr>
            </w:pPr>
            <w:r>
              <w:rPr>
                <w:sz w:val="20"/>
                <w:szCs w:val="20"/>
              </w:rPr>
              <w:t xml:space="preserve">- сверхнормативные утечки теплоносителя, м3/ч</w:t>
            </w:r>
            <w:r>
              <w:rPr>
                <w:sz w:val="20"/>
                <w:szCs w:val="20"/>
              </w:rPr>
            </w:r>
            <w:r>
              <w:rPr>
                <w:sz w:val="20"/>
                <w:szCs w:val="20"/>
              </w:rPr>
            </w:r>
          </w:p>
        </w:tc>
        <w:tc>
          <w:tcPr>
            <w:shd w:val="clear" w:color="auto" w:fill="auto"/>
            <w:tcW w:w="372" w:type="pct"/>
            <w:vAlign w:val="center"/>
            <w:textDirection w:val="lrTb"/>
            <w:noWrap w:val="false"/>
          </w:tcPr>
          <w:p>
            <w:pPr>
              <w:jc w:val="center"/>
              <w:rPr>
                <w:sz w:val="20"/>
                <w:szCs w:val="20"/>
              </w:rPr>
            </w:pPr>
            <w:r>
              <w:rPr>
                <w:sz w:val="20"/>
                <w:szCs w:val="20"/>
              </w:rPr>
              <w:t xml:space="preserve">0</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w:t>
            </w:r>
            <w:r>
              <w:rPr>
                <w:sz w:val="20"/>
                <w:szCs w:val="20"/>
              </w:rPr>
            </w:r>
            <w:r>
              <w:rPr>
                <w:sz w:val="20"/>
                <w:szCs w:val="20"/>
              </w:rPr>
            </w:r>
          </w:p>
        </w:tc>
        <w:tc>
          <w:tcPr>
            <w:tcW w:w="369" w:type="pct"/>
            <w:vAlign w:val="center"/>
            <w:textDirection w:val="lrTb"/>
            <w:noWrap w:val="false"/>
          </w:tcPr>
          <w:p>
            <w:pPr>
              <w:jc w:val="center"/>
              <w:rPr>
                <w:sz w:val="20"/>
                <w:szCs w:val="20"/>
              </w:rPr>
            </w:pPr>
            <w:r>
              <w:rPr>
                <w:sz w:val="20"/>
                <w:szCs w:val="20"/>
              </w:rPr>
              <w:t xml:space="preserve">0</w:t>
            </w:r>
            <w:r>
              <w:rPr>
                <w:sz w:val="20"/>
                <w:szCs w:val="20"/>
              </w:rPr>
            </w:r>
            <w:r>
              <w:rPr>
                <w:sz w:val="20"/>
                <w:szCs w:val="20"/>
              </w:rPr>
            </w:r>
          </w:p>
        </w:tc>
      </w:tr>
      <w:tr>
        <w:tblPrEx/>
        <w:trPr>
          <w:trHeight w:val="75"/>
        </w:trPr>
        <w:tc>
          <w:tcPr>
            <w:shd w:val="clear" w:color="auto" w:fill="auto"/>
            <w:tcW w:w="164" w:type="pct"/>
            <w:vAlign w:val="center"/>
            <w:textDirection w:val="lrTb"/>
            <w:noWrap w:val="false"/>
          </w:tcPr>
          <w:p>
            <w:pPr>
              <w:jc w:val="center"/>
              <w:rPr>
                <w:sz w:val="20"/>
                <w:szCs w:val="20"/>
              </w:rPr>
            </w:pPr>
            <w:r>
              <w:rPr>
                <w:sz w:val="20"/>
                <w:szCs w:val="20"/>
              </w:rPr>
              <w:t xml:space="preserve">9.3</w:t>
            </w:r>
            <w:r>
              <w:rPr>
                <w:sz w:val="20"/>
                <w:szCs w:val="20"/>
              </w:rPr>
            </w:r>
            <w:r>
              <w:rPr>
                <w:sz w:val="20"/>
                <w:szCs w:val="20"/>
              </w:rPr>
            </w:r>
          </w:p>
        </w:tc>
        <w:tc>
          <w:tcPr>
            <w:shd w:val="clear" w:color="auto" w:fill="auto"/>
            <w:tcW w:w="2615" w:type="pct"/>
            <w:vAlign w:val="center"/>
            <w:textDirection w:val="lrTb"/>
            <w:noWrap w:val="false"/>
          </w:tcPr>
          <w:p>
            <w:pPr>
              <w:rPr>
                <w:sz w:val="20"/>
                <w:szCs w:val="20"/>
              </w:rPr>
            </w:pPr>
            <w:r>
              <w:rPr>
                <w:sz w:val="20"/>
                <w:szCs w:val="20"/>
              </w:rPr>
              <w:t xml:space="preserve">- отпуск теплоносителя из тепловых сетей на цели горячего водоснабжения (для открытых систем теплоснабжения), т/ч</w:t>
            </w:r>
            <w:r>
              <w:rPr>
                <w:sz w:val="20"/>
                <w:szCs w:val="20"/>
              </w:rPr>
            </w:r>
            <w:r>
              <w:rPr>
                <w:sz w:val="20"/>
                <w:szCs w:val="20"/>
              </w:rPr>
            </w:r>
          </w:p>
        </w:tc>
        <w:tc>
          <w:tcPr>
            <w:shd w:val="clear" w:color="auto" w:fill="auto"/>
            <w:tcW w:w="372" w:type="pct"/>
            <w:vAlign w:val="center"/>
            <w:textDirection w:val="lrTb"/>
            <w:noWrap w:val="false"/>
          </w:tcPr>
          <w:p>
            <w:pPr>
              <w:jc w:val="center"/>
              <w:rPr>
                <w:sz w:val="20"/>
                <w:szCs w:val="20"/>
              </w:rPr>
            </w:pPr>
            <w:r>
              <w:rPr>
                <w:sz w:val="20"/>
                <w:szCs w:val="20"/>
              </w:rPr>
              <w:t xml:space="preserve">0</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w:t>
            </w:r>
            <w:r>
              <w:rPr>
                <w:sz w:val="20"/>
                <w:szCs w:val="20"/>
              </w:rPr>
            </w:r>
            <w:r>
              <w:rPr>
                <w:sz w:val="20"/>
                <w:szCs w:val="20"/>
              </w:rPr>
            </w:r>
          </w:p>
        </w:tc>
        <w:tc>
          <w:tcPr>
            <w:tcW w:w="369" w:type="pct"/>
            <w:vAlign w:val="center"/>
            <w:textDirection w:val="lrTb"/>
            <w:noWrap w:val="false"/>
          </w:tcPr>
          <w:p>
            <w:pPr>
              <w:jc w:val="center"/>
              <w:rPr>
                <w:sz w:val="20"/>
                <w:szCs w:val="20"/>
              </w:rPr>
            </w:pPr>
            <w:r>
              <w:rPr>
                <w:sz w:val="20"/>
                <w:szCs w:val="20"/>
              </w:rPr>
              <w:t xml:space="preserve">0</w:t>
            </w:r>
            <w:r>
              <w:rPr>
                <w:sz w:val="20"/>
                <w:szCs w:val="20"/>
              </w:rPr>
            </w:r>
            <w:r>
              <w:rPr>
                <w:sz w:val="20"/>
                <w:szCs w:val="20"/>
              </w:rPr>
            </w:r>
          </w:p>
        </w:tc>
      </w:tr>
      <w:tr>
        <w:tblPrEx/>
        <w:trPr>
          <w:trHeight w:val="75"/>
        </w:trPr>
        <w:tc>
          <w:tcPr>
            <w:shd w:val="clear" w:color="auto" w:fill="auto"/>
            <w:tcW w:w="164" w:type="pct"/>
            <w:vAlign w:val="center"/>
            <w:textDirection w:val="lrTb"/>
            <w:noWrap w:val="false"/>
          </w:tcPr>
          <w:p>
            <w:pPr>
              <w:jc w:val="center"/>
              <w:rPr>
                <w:sz w:val="20"/>
                <w:szCs w:val="20"/>
              </w:rPr>
            </w:pPr>
            <w:r>
              <w:rPr>
                <w:sz w:val="20"/>
                <w:szCs w:val="20"/>
              </w:rPr>
              <w:t xml:space="preserve">10</w:t>
            </w:r>
            <w:r>
              <w:rPr>
                <w:sz w:val="20"/>
                <w:szCs w:val="20"/>
              </w:rPr>
            </w:r>
            <w:r>
              <w:rPr>
                <w:sz w:val="20"/>
                <w:szCs w:val="20"/>
              </w:rPr>
            </w:r>
          </w:p>
        </w:tc>
        <w:tc>
          <w:tcPr>
            <w:shd w:val="clear" w:color="auto" w:fill="auto"/>
            <w:tcW w:w="2615" w:type="pct"/>
            <w:vAlign w:val="center"/>
            <w:textDirection w:val="lrTb"/>
            <w:noWrap w:val="false"/>
          </w:tcPr>
          <w:p>
            <w:pPr>
              <w:rPr>
                <w:sz w:val="20"/>
                <w:szCs w:val="20"/>
              </w:rPr>
            </w:pPr>
            <w:r>
              <w:rPr>
                <w:sz w:val="20"/>
                <w:szCs w:val="20"/>
              </w:rPr>
              <w:t xml:space="preserve">Максимальная подпитка тепловой сети в период повреждения участка (2% V), м3/ч</w:t>
            </w:r>
            <w:r>
              <w:rPr>
                <w:sz w:val="20"/>
                <w:szCs w:val="20"/>
              </w:rPr>
            </w:r>
            <w:r>
              <w:rPr>
                <w:sz w:val="20"/>
                <w:szCs w:val="20"/>
              </w:rPr>
            </w:r>
          </w:p>
        </w:tc>
        <w:tc>
          <w:tcPr>
            <w:shd w:val="clear" w:color="auto" w:fill="auto"/>
            <w:tcW w:w="372" w:type="pct"/>
            <w:vAlign w:val="center"/>
            <w:textDirection w:val="lrTb"/>
            <w:noWrap w:val="false"/>
          </w:tcPr>
          <w:p>
            <w:pPr>
              <w:jc w:val="center"/>
              <w:rPr>
                <w:sz w:val="20"/>
                <w:szCs w:val="20"/>
              </w:rPr>
            </w:pPr>
            <w:r>
              <w:rPr>
                <w:sz w:val="20"/>
                <w:szCs w:val="20"/>
              </w:rPr>
              <w:t xml:space="preserve">6,370</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6,370</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6,370</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6,370</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6,370</w:t>
            </w:r>
            <w:r>
              <w:rPr>
                <w:sz w:val="20"/>
                <w:szCs w:val="20"/>
              </w:rPr>
            </w:r>
            <w:r>
              <w:rPr>
                <w:sz w:val="20"/>
                <w:szCs w:val="20"/>
              </w:rPr>
            </w:r>
          </w:p>
        </w:tc>
        <w:tc>
          <w:tcPr>
            <w:tcW w:w="369" w:type="pct"/>
            <w:vAlign w:val="center"/>
            <w:textDirection w:val="lrTb"/>
            <w:noWrap w:val="false"/>
          </w:tcPr>
          <w:p>
            <w:pPr>
              <w:jc w:val="center"/>
              <w:rPr>
                <w:sz w:val="20"/>
                <w:szCs w:val="20"/>
              </w:rPr>
            </w:pPr>
            <w:r>
              <w:rPr>
                <w:sz w:val="20"/>
                <w:szCs w:val="20"/>
              </w:rPr>
              <w:t xml:space="preserve">6,370</w:t>
            </w:r>
            <w:r>
              <w:rPr>
                <w:sz w:val="20"/>
                <w:szCs w:val="20"/>
              </w:rPr>
            </w:r>
            <w:r>
              <w:rPr>
                <w:sz w:val="20"/>
                <w:szCs w:val="20"/>
              </w:rPr>
            </w:r>
          </w:p>
        </w:tc>
      </w:tr>
      <w:tr>
        <w:tblPrEx/>
        <w:trPr>
          <w:trHeight w:val="75"/>
        </w:trPr>
        <w:tc>
          <w:tcPr>
            <w:shd w:val="clear" w:color="auto" w:fill="auto"/>
            <w:tcW w:w="164" w:type="pct"/>
            <w:vAlign w:val="center"/>
            <w:textDirection w:val="lrTb"/>
            <w:noWrap w:val="false"/>
          </w:tcPr>
          <w:p>
            <w:pPr>
              <w:jc w:val="center"/>
              <w:rPr>
                <w:sz w:val="20"/>
                <w:szCs w:val="20"/>
              </w:rPr>
            </w:pPr>
            <w:r>
              <w:rPr>
                <w:sz w:val="20"/>
                <w:szCs w:val="20"/>
              </w:rPr>
              <w:t xml:space="preserve">11</w:t>
            </w:r>
            <w:r>
              <w:rPr>
                <w:sz w:val="20"/>
                <w:szCs w:val="20"/>
              </w:rPr>
            </w:r>
            <w:r>
              <w:rPr>
                <w:sz w:val="20"/>
                <w:szCs w:val="20"/>
              </w:rPr>
            </w:r>
          </w:p>
        </w:tc>
        <w:tc>
          <w:tcPr>
            <w:shd w:val="clear" w:color="auto" w:fill="auto"/>
            <w:tcW w:w="2615" w:type="pct"/>
            <w:vAlign w:val="center"/>
            <w:textDirection w:val="lrTb"/>
            <w:noWrap w:val="false"/>
          </w:tcPr>
          <w:p>
            <w:pPr>
              <w:rPr>
                <w:sz w:val="20"/>
                <w:szCs w:val="20"/>
              </w:rPr>
            </w:pPr>
            <w:r>
              <w:rPr>
                <w:sz w:val="20"/>
                <w:szCs w:val="20"/>
              </w:rPr>
              <w:t xml:space="preserve">Резерв (+)/дефицит (-), ВПУ,м3/ч</w:t>
            </w:r>
            <w:r>
              <w:rPr>
                <w:sz w:val="20"/>
                <w:szCs w:val="20"/>
              </w:rPr>
            </w:r>
            <w:r>
              <w:rPr>
                <w:sz w:val="20"/>
                <w:szCs w:val="20"/>
              </w:rPr>
            </w:r>
          </w:p>
        </w:tc>
        <w:tc>
          <w:tcPr>
            <w:shd w:val="clear" w:color="auto" w:fill="auto"/>
            <w:tcW w:w="372"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c>
          <w:tcPr>
            <w:tcW w:w="369"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r>
      <w:tr>
        <w:tblPrEx/>
        <w:trPr>
          <w:trHeight w:val="300"/>
        </w:trPr>
        <w:tc>
          <w:tcPr>
            <w:gridSpan w:val="8"/>
            <w:shd w:val="clear" w:color="auto" w:fill="auto"/>
            <w:tcW w:w="5000" w:type="pct"/>
            <w:vAlign w:val="center"/>
            <w:textDirection w:val="lrTb"/>
            <w:noWrap w:val="false"/>
          </w:tcPr>
          <w:p>
            <w:pPr>
              <w:jc w:val="center"/>
              <w:rPr>
                <w:color w:val="000000"/>
                <w:sz w:val="20"/>
                <w:szCs w:val="20"/>
              </w:rPr>
            </w:pPr>
            <w:r>
              <w:rPr>
                <w:color w:val="000000"/>
                <w:sz w:val="20"/>
                <w:szCs w:val="20"/>
              </w:rPr>
              <w:t xml:space="preserve">Котельная </w:t>
            </w:r>
            <w:r>
              <w:rPr>
                <w:rFonts w:ascii="Liberation Serif" w:hAnsi="Liberation Serif" w:cs="Calibri"/>
                <w:color w:val="000000"/>
                <w:sz w:val="20"/>
                <w:szCs w:val="20"/>
              </w:rPr>
              <w:t xml:space="preserve">р.п.  Юргамыш, ул. Железнодорожная, территория тягловой подстанции ОАО «РЖД»</w:t>
            </w:r>
            <w:r>
              <w:rPr>
                <w:color w:val="000000"/>
                <w:sz w:val="20"/>
                <w:szCs w:val="20"/>
              </w:rPr>
            </w:r>
            <w:r>
              <w:rPr>
                <w:color w:val="000000"/>
                <w:sz w:val="20"/>
                <w:szCs w:val="20"/>
              </w:rPr>
            </w:r>
          </w:p>
        </w:tc>
      </w:tr>
      <w:tr>
        <w:tblPrEx/>
        <w:trPr>
          <w:trHeight w:val="75"/>
        </w:trPr>
        <w:tc>
          <w:tcPr>
            <w:shd w:val="clear" w:color="auto" w:fill="auto"/>
            <w:tcW w:w="164" w:type="pct"/>
            <w:vAlign w:val="center"/>
            <w:textDirection w:val="lrTb"/>
            <w:noWrap w:val="false"/>
          </w:tcPr>
          <w:p>
            <w:pPr>
              <w:jc w:val="center"/>
              <w:rPr>
                <w:sz w:val="20"/>
                <w:szCs w:val="20"/>
              </w:rPr>
            </w:pPr>
            <w:r>
              <w:rPr>
                <w:sz w:val="20"/>
                <w:szCs w:val="20"/>
              </w:rPr>
              <w:t xml:space="preserve">1</w:t>
            </w:r>
            <w:r>
              <w:rPr>
                <w:sz w:val="20"/>
                <w:szCs w:val="20"/>
              </w:rPr>
            </w:r>
            <w:r>
              <w:rPr>
                <w:sz w:val="20"/>
                <w:szCs w:val="20"/>
              </w:rPr>
            </w:r>
          </w:p>
        </w:tc>
        <w:tc>
          <w:tcPr>
            <w:shd w:val="clear" w:color="auto" w:fill="auto"/>
            <w:tcW w:w="2615" w:type="pct"/>
            <w:vAlign w:val="center"/>
            <w:textDirection w:val="lrTb"/>
            <w:noWrap w:val="false"/>
          </w:tcPr>
          <w:p>
            <w:pPr>
              <w:rPr>
                <w:sz w:val="20"/>
                <w:szCs w:val="20"/>
              </w:rPr>
            </w:pPr>
            <w:r>
              <w:rPr>
                <w:sz w:val="20"/>
                <w:szCs w:val="20"/>
              </w:rPr>
              <w:t xml:space="preserve">Объем воды в системе теплоснабжения V, м3</w:t>
            </w:r>
            <w:r>
              <w:rPr>
                <w:sz w:val="20"/>
                <w:szCs w:val="20"/>
              </w:rPr>
            </w:r>
            <w:r>
              <w:rPr>
                <w:sz w:val="20"/>
                <w:szCs w:val="20"/>
              </w:rPr>
            </w:r>
          </w:p>
        </w:tc>
        <w:tc>
          <w:tcPr>
            <w:shd w:val="clear" w:color="auto" w:fill="auto"/>
            <w:tcW w:w="372" w:type="pct"/>
            <w:textDirection w:val="lrTb"/>
            <w:noWrap w:val="false"/>
          </w:tcPr>
          <w:p>
            <w:pPr>
              <w:jc w:val="center"/>
              <w:rPr>
                <w:sz w:val="20"/>
                <w:szCs w:val="20"/>
              </w:rPr>
            </w:pPr>
            <w:r>
              <w:rPr>
                <w:sz w:val="20"/>
                <w:szCs w:val="20"/>
              </w:rPr>
              <w:t xml:space="preserve">2,77</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2,77</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2,77</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2,77</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2,77</w:t>
            </w:r>
            <w:r>
              <w:rPr>
                <w:sz w:val="20"/>
                <w:szCs w:val="20"/>
              </w:rPr>
            </w:r>
            <w:r>
              <w:rPr>
                <w:sz w:val="20"/>
                <w:szCs w:val="20"/>
              </w:rPr>
            </w:r>
          </w:p>
        </w:tc>
        <w:tc>
          <w:tcPr>
            <w:tcW w:w="369" w:type="pct"/>
            <w:textDirection w:val="lrTb"/>
            <w:noWrap w:val="false"/>
          </w:tcPr>
          <w:p>
            <w:pPr>
              <w:jc w:val="center"/>
              <w:rPr>
                <w:sz w:val="20"/>
                <w:szCs w:val="20"/>
              </w:rPr>
            </w:pPr>
            <w:r>
              <w:rPr>
                <w:sz w:val="20"/>
                <w:szCs w:val="20"/>
              </w:rPr>
              <w:t xml:space="preserve">2,77</w:t>
            </w:r>
            <w:r>
              <w:rPr>
                <w:sz w:val="20"/>
                <w:szCs w:val="20"/>
              </w:rPr>
            </w:r>
            <w:r>
              <w:rPr>
                <w:sz w:val="20"/>
                <w:szCs w:val="20"/>
              </w:rPr>
            </w:r>
          </w:p>
        </w:tc>
      </w:tr>
      <w:tr>
        <w:tblPrEx/>
        <w:trPr>
          <w:trHeight w:val="75"/>
        </w:trPr>
        <w:tc>
          <w:tcPr>
            <w:shd w:val="clear" w:color="auto" w:fill="auto"/>
            <w:tcW w:w="164" w:type="pct"/>
            <w:vAlign w:val="center"/>
            <w:textDirection w:val="lrTb"/>
            <w:noWrap w:val="false"/>
          </w:tcPr>
          <w:p>
            <w:pPr>
              <w:jc w:val="center"/>
              <w:rPr>
                <w:sz w:val="20"/>
                <w:szCs w:val="20"/>
              </w:rPr>
            </w:pPr>
            <w:r>
              <w:rPr>
                <w:sz w:val="20"/>
                <w:szCs w:val="20"/>
              </w:rPr>
              <w:t xml:space="preserve">2</w:t>
            </w:r>
            <w:r>
              <w:rPr>
                <w:sz w:val="20"/>
                <w:szCs w:val="20"/>
              </w:rPr>
            </w:r>
            <w:r>
              <w:rPr>
                <w:sz w:val="20"/>
                <w:szCs w:val="20"/>
              </w:rPr>
            </w:r>
          </w:p>
        </w:tc>
        <w:tc>
          <w:tcPr>
            <w:shd w:val="clear" w:color="auto" w:fill="auto"/>
            <w:tcW w:w="2615" w:type="pct"/>
            <w:vAlign w:val="center"/>
            <w:textDirection w:val="lrTb"/>
            <w:noWrap w:val="false"/>
          </w:tcPr>
          <w:p>
            <w:pPr>
              <w:rPr>
                <w:sz w:val="20"/>
                <w:szCs w:val="20"/>
              </w:rPr>
            </w:pPr>
            <w:r>
              <w:rPr>
                <w:sz w:val="20"/>
                <w:szCs w:val="20"/>
              </w:rPr>
              <w:t xml:space="preserve">Установленная производительность водоподготовительной установки, м3/ч</w:t>
            </w:r>
            <w:r>
              <w:rPr>
                <w:sz w:val="20"/>
                <w:szCs w:val="20"/>
              </w:rPr>
            </w:r>
            <w:r>
              <w:rPr>
                <w:sz w:val="20"/>
                <w:szCs w:val="20"/>
              </w:rPr>
            </w:r>
          </w:p>
        </w:tc>
        <w:tc>
          <w:tcPr>
            <w:shd w:val="clear" w:color="auto" w:fill="auto"/>
            <w:tcW w:w="372"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69" w:type="pct"/>
            <w:textDirection w:val="lrTb"/>
            <w:noWrap w:val="false"/>
          </w:tcPr>
          <w:p>
            <w:pPr>
              <w:jc w:val="center"/>
              <w:rPr>
                <w:sz w:val="20"/>
                <w:szCs w:val="20"/>
              </w:rPr>
            </w:pPr>
            <w:r>
              <w:rPr>
                <w:sz w:val="20"/>
                <w:szCs w:val="20"/>
              </w:rPr>
              <w:t xml:space="preserve">-</w:t>
            </w:r>
            <w:r>
              <w:rPr>
                <w:sz w:val="20"/>
                <w:szCs w:val="20"/>
              </w:rPr>
            </w:r>
            <w:r>
              <w:rPr>
                <w:sz w:val="20"/>
                <w:szCs w:val="20"/>
              </w:rPr>
            </w:r>
          </w:p>
        </w:tc>
      </w:tr>
      <w:tr>
        <w:tblPrEx/>
        <w:trPr>
          <w:trHeight w:val="75"/>
        </w:trPr>
        <w:tc>
          <w:tcPr>
            <w:shd w:val="clear" w:color="auto" w:fill="auto"/>
            <w:tcW w:w="164" w:type="pct"/>
            <w:vAlign w:val="center"/>
            <w:textDirection w:val="lrTb"/>
            <w:noWrap w:val="false"/>
          </w:tcPr>
          <w:p>
            <w:pPr>
              <w:jc w:val="center"/>
              <w:rPr>
                <w:sz w:val="20"/>
                <w:szCs w:val="20"/>
              </w:rPr>
            </w:pPr>
            <w:r>
              <w:rPr>
                <w:sz w:val="20"/>
                <w:szCs w:val="20"/>
              </w:rPr>
              <w:t xml:space="preserve">3</w:t>
            </w:r>
            <w:r>
              <w:rPr>
                <w:sz w:val="20"/>
                <w:szCs w:val="20"/>
              </w:rPr>
            </w:r>
            <w:r>
              <w:rPr>
                <w:sz w:val="20"/>
                <w:szCs w:val="20"/>
              </w:rPr>
            </w:r>
          </w:p>
        </w:tc>
        <w:tc>
          <w:tcPr>
            <w:shd w:val="clear" w:color="auto" w:fill="auto"/>
            <w:tcW w:w="2615" w:type="pct"/>
            <w:vAlign w:val="center"/>
            <w:textDirection w:val="lrTb"/>
            <w:noWrap w:val="false"/>
          </w:tcPr>
          <w:p>
            <w:pPr>
              <w:rPr>
                <w:sz w:val="20"/>
                <w:szCs w:val="20"/>
              </w:rPr>
            </w:pPr>
            <w:r>
              <w:rPr>
                <w:sz w:val="20"/>
                <w:szCs w:val="20"/>
              </w:rPr>
              <w:t xml:space="preserve">Располагаемая производительность водоподготовительной установки, м3/ч</w:t>
            </w:r>
            <w:r>
              <w:rPr>
                <w:sz w:val="20"/>
                <w:szCs w:val="20"/>
              </w:rPr>
            </w:r>
            <w:r>
              <w:rPr>
                <w:sz w:val="20"/>
                <w:szCs w:val="20"/>
              </w:rPr>
            </w:r>
          </w:p>
        </w:tc>
        <w:tc>
          <w:tcPr>
            <w:shd w:val="clear" w:color="auto" w:fill="auto"/>
            <w:tcW w:w="372"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69" w:type="pct"/>
            <w:textDirection w:val="lrTb"/>
            <w:noWrap w:val="false"/>
          </w:tcPr>
          <w:p>
            <w:pPr>
              <w:jc w:val="center"/>
              <w:rPr>
                <w:sz w:val="20"/>
                <w:szCs w:val="20"/>
              </w:rPr>
            </w:pPr>
            <w:r>
              <w:rPr>
                <w:sz w:val="20"/>
                <w:szCs w:val="20"/>
              </w:rPr>
              <w:t xml:space="preserve">-</w:t>
            </w:r>
            <w:r>
              <w:rPr>
                <w:sz w:val="20"/>
                <w:szCs w:val="20"/>
              </w:rPr>
            </w:r>
            <w:r>
              <w:rPr>
                <w:sz w:val="20"/>
                <w:szCs w:val="20"/>
              </w:rPr>
            </w:r>
          </w:p>
        </w:tc>
      </w:tr>
      <w:tr>
        <w:tblPrEx/>
        <w:trPr>
          <w:trHeight w:val="75"/>
        </w:trPr>
        <w:tc>
          <w:tcPr>
            <w:shd w:val="clear" w:color="auto" w:fill="auto"/>
            <w:tcW w:w="164" w:type="pct"/>
            <w:vAlign w:val="center"/>
            <w:textDirection w:val="lrTb"/>
            <w:noWrap w:val="false"/>
          </w:tcPr>
          <w:p>
            <w:pPr>
              <w:jc w:val="center"/>
              <w:rPr>
                <w:sz w:val="20"/>
                <w:szCs w:val="20"/>
              </w:rPr>
            </w:pPr>
            <w:r>
              <w:rPr>
                <w:sz w:val="20"/>
                <w:szCs w:val="20"/>
              </w:rPr>
              <w:t xml:space="preserve">4</w:t>
            </w:r>
            <w:r>
              <w:rPr>
                <w:sz w:val="20"/>
                <w:szCs w:val="20"/>
              </w:rPr>
            </w:r>
            <w:r>
              <w:rPr>
                <w:sz w:val="20"/>
                <w:szCs w:val="20"/>
              </w:rPr>
            </w:r>
          </w:p>
        </w:tc>
        <w:tc>
          <w:tcPr>
            <w:shd w:val="clear" w:color="auto" w:fill="auto"/>
            <w:tcW w:w="2615" w:type="pct"/>
            <w:vAlign w:val="center"/>
            <w:textDirection w:val="lrTb"/>
            <w:noWrap w:val="false"/>
          </w:tcPr>
          <w:p>
            <w:pPr>
              <w:rPr>
                <w:sz w:val="20"/>
                <w:szCs w:val="20"/>
              </w:rPr>
            </w:pPr>
            <w:r>
              <w:rPr>
                <w:sz w:val="20"/>
                <w:szCs w:val="20"/>
              </w:rPr>
              <w:t xml:space="preserve">Потери располагаемой производительности, %</w:t>
            </w:r>
            <w:r>
              <w:rPr>
                <w:sz w:val="20"/>
                <w:szCs w:val="20"/>
              </w:rPr>
            </w:r>
            <w:r>
              <w:rPr>
                <w:sz w:val="20"/>
                <w:szCs w:val="20"/>
              </w:rPr>
            </w:r>
          </w:p>
        </w:tc>
        <w:tc>
          <w:tcPr>
            <w:shd w:val="clear" w:color="auto" w:fill="auto"/>
            <w:tcW w:w="372"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69" w:type="pct"/>
            <w:textDirection w:val="lrTb"/>
            <w:noWrap w:val="false"/>
          </w:tcPr>
          <w:p>
            <w:pPr>
              <w:jc w:val="center"/>
              <w:rPr>
                <w:sz w:val="20"/>
                <w:szCs w:val="20"/>
              </w:rPr>
            </w:pPr>
            <w:r>
              <w:rPr>
                <w:sz w:val="20"/>
                <w:szCs w:val="20"/>
              </w:rPr>
              <w:t xml:space="preserve">-</w:t>
            </w:r>
            <w:r>
              <w:rPr>
                <w:sz w:val="20"/>
                <w:szCs w:val="20"/>
              </w:rPr>
            </w:r>
            <w:r>
              <w:rPr>
                <w:sz w:val="20"/>
                <w:szCs w:val="20"/>
              </w:rPr>
            </w:r>
          </w:p>
        </w:tc>
      </w:tr>
      <w:tr>
        <w:tblPrEx/>
        <w:trPr>
          <w:trHeight w:val="75"/>
        </w:trPr>
        <w:tc>
          <w:tcPr>
            <w:shd w:val="clear" w:color="auto" w:fill="auto"/>
            <w:tcW w:w="164" w:type="pct"/>
            <w:vAlign w:val="center"/>
            <w:textDirection w:val="lrTb"/>
            <w:noWrap w:val="false"/>
          </w:tcPr>
          <w:p>
            <w:pPr>
              <w:jc w:val="center"/>
              <w:rPr>
                <w:sz w:val="20"/>
                <w:szCs w:val="20"/>
              </w:rPr>
            </w:pPr>
            <w:r>
              <w:rPr>
                <w:sz w:val="20"/>
                <w:szCs w:val="20"/>
              </w:rPr>
              <w:t xml:space="preserve">5</w:t>
            </w:r>
            <w:r>
              <w:rPr>
                <w:sz w:val="20"/>
                <w:szCs w:val="20"/>
              </w:rPr>
            </w:r>
            <w:r>
              <w:rPr>
                <w:sz w:val="20"/>
                <w:szCs w:val="20"/>
              </w:rPr>
            </w:r>
          </w:p>
        </w:tc>
        <w:tc>
          <w:tcPr>
            <w:shd w:val="clear" w:color="auto" w:fill="auto"/>
            <w:tcW w:w="2615" w:type="pct"/>
            <w:vAlign w:val="center"/>
            <w:textDirection w:val="lrTb"/>
            <w:noWrap w:val="false"/>
          </w:tcPr>
          <w:p>
            <w:pPr>
              <w:rPr>
                <w:sz w:val="20"/>
                <w:szCs w:val="20"/>
              </w:rPr>
            </w:pPr>
            <w:r>
              <w:rPr>
                <w:sz w:val="20"/>
                <w:szCs w:val="20"/>
              </w:rPr>
              <w:t xml:space="preserve">Собственные нужды водоподготовительной установки, м3/ч</w:t>
            </w:r>
            <w:r>
              <w:rPr>
                <w:sz w:val="20"/>
                <w:szCs w:val="20"/>
              </w:rPr>
            </w:r>
            <w:r>
              <w:rPr>
                <w:sz w:val="20"/>
                <w:szCs w:val="20"/>
              </w:rPr>
            </w:r>
          </w:p>
        </w:tc>
        <w:tc>
          <w:tcPr>
            <w:shd w:val="clear" w:color="auto" w:fill="auto"/>
            <w:tcW w:w="372"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69" w:type="pct"/>
            <w:textDirection w:val="lrTb"/>
            <w:noWrap w:val="false"/>
          </w:tcPr>
          <w:p>
            <w:pPr>
              <w:jc w:val="center"/>
              <w:rPr>
                <w:sz w:val="20"/>
                <w:szCs w:val="20"/>
              </w:rPr>
            </w:pPr>
            <w:r>
              <w:rPr>
                <w:sz w:val="20"/>
                <w:szCs w:val="20"/>
              </w:rPr>
              <w:t xml:space="preserve">-</w:t>
            </w:r>
            <w:r>
              <w:rPr>
                <w:sz w:val="20"/>
                <w:szCs w:val="20"/>
              </w:rPr>
            </w:r>
            <w:r>
              <w:rPr>
                <w:sz w:val="20"/>
                <w:szCs w:val="20"/>
              </w:rPr>
            </w:r>
          </w:p>
        </w:tc>
      </w:tr>
      <w:tr>
        <w:tblPrEx/>
        <w:trPr>
          <w:trHeight w:val="75"/>
        </w:trPr>
        <w:tc>
          <w:tcPr>
            <w:shd w:val="clear" w:color="auto" w:fill="auto"/>
            <w:tcW w:w="164" w:type="pct"/>
            <w:vAlign w:val="center"/>
            <w:textDirection w:val="lrTb"/>
            <w:noWrap w:val="false"/>
          </w:tcPr>
          <w:p>
            <w:pPr>
              <w:jc w:val="center"/>
              <w:rPr>
                <w:sz w:val="20"/>
                <w:szCs w:val="20"/>
              </w:rPr>
            </w:pPr>
            <w:r>
              <w:rPr>
                <w:sz w:val="20"/>
                <w:szCs w:val="20"/>
              </w:rPr>
              <w:t xml:space="preserve">6</w:t>
            </w:r>
            <w:r>
              <w:rPr>
                <w:sz w:val="20"/>
                <w:szCs w:val="20"/>
              </w:rPr>
            </w:r>
            <w:r>
              <w:rPr>
                <w:sz w:val="20"/>
                <w:szCs w:val="20"/>
              </w:rPr>
            </w:r>
          </w:p>
        </w:tc>
        <w:tc>
          <w:tcPr>
            <w:shd w:val="clear" w:color="auto" w:fill="auto"/>
            <w:tcW w:w="2615" w:type="pct"/>
            <w:vAlign w:val="center"/>
            <w:textDirection w:val="lrTb"/>
            <w:noWrap w:val="false"/>
          </w:tcPr>
          <w:p>
            <w:pPr>
              <w:rPr>
                <w:sz w:val="20"/>
                <w:szCs w:val="20"/>
              </w:rPr>
            </w:pPr>
            <w:r>
              <w:rPr>
                <w:sz w:val="20"/>
                <w:szCs w:val="20"/>
              </w:rPr>
              <w:t xml:space="preserve">Количество баков-аккумуляторов теплоносителя, шт.</w:t>
            </w:r>
            <w:r>
              <w:rPr>
                <w:sz w:val="20"/>
                <w:szCs w:val="20"/>
              </w:rPr>
            </w:r>
            <w:r>
              <w:rPr>
                <w:sz w:val="20"/>
                <w:szCs w:val="20"/>
              </w:rPr>
            </w:r>
          </w:p>
        </w:tc>
        <w:tc>
          <w:tcPr>
            <w:shd w:val="clear" w:color="auto" w:fill="auto"/>
            <w:tcW w:w="372"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69" w:type="pct"/>
            <w:textDirection w:val="lrTb"/>
            <w:noWrap w:val="false"/>
          </w:tcPr>
          <w:p>
            <w:pPr>
              <w:jc w:val="center"/>
              <w:rPr>
                <w:sz w:val="20"/>
                <w:szCs w:val="20"/>
              </w:rPr>
            </w:pPr>
            <w:r>
              <w:rPr>
                <w:sz w:val="20"/>
                <w:szCs w:val="20"/>
              </w:rPr>
              <w:t xml:space="preserve">-</w:t>
            </w:r>
            <w:r>
              <w:rPr>
                <w:sz w:val="20"/>
                <w:szCs w:val="20"/>
              </w:rPr>
            </w:r>
            <w:r>
              <w:rPr>
                <w:sz w:val="20"/>
                <w:szCs w:val="20"/>
              </w:rPr>
            </w:r>
          </w:p>
        </w:tc>
      </w:tr>
      <w:tr>
        <w:tblPrEx/>
        <w:trPr>
          <w:trHeight w:val="75"/>
        </w:trPr>
        <w:tc>
          <w:tcPr>
            <w:shd w:val="clear" w:color="auto" w:fill="auto"/>
            <w:tcW w:w="164" w:type="pct"/>
            <w:vAlign w:val="center"/>
            <w:textDirection w:val="lrTb"/>
            <w:noWrap w:val="false"/>
          </w:tcPr>
          <w:p>
            <w:pPr>
              <w:jc w:val="center"/>
              <w:rPr>
                <w:sz w:val="20"/>
                <w:szCs w:val="20"/>
              </w:rPr>
            </w:pPr>
            <w:r>
              <w:rPr>
                <w:sz w:val="20"/>
                <w:szCs w:val="20"/>
              </w:rPr>
              <w:t xml:space="preserve">7</w:t>
            </w:r>
            <w:r>
              <w:rPr>
                <w:sz w:val="20"/>
                <w:szCs w:val="20"/>
              </w:rPr>
            </w:r>
            <w:r>
              <w:rPr>
                <w:sz w:val="20"/>
                <w:szCs w:val="20"/>
              </w:rPr>
            </w:r>
          </w:p>
        </w:tc>
        <w:tc>
          <w:tcPr>
            <w:shd w:val="clear" w:color="auto" w:fill="auto"/>
            <w:tcW w:w="2615" w:type="pct"/>
            <w:vAlign w:val="center"/>
            <w:textDirection w:val="lrTb"/>
            <w:noWrap w:val="false"/>
          </w:tcPr>
          <w:p>
            <w:pPr>
              <w:rPr>
                <w:sz w:val="20"/>
                <w:szCs w:val="20"/>
              </w:rPr>
            </w:pPr>
            <w:r>
              <w:rPr>
                <w:sz w:val="20"/>
                <w:szCs w:val="20"/>
              </w:rPr>
              <w:t xml:space="preserve">Емкость баков аккумуляторов, тыс. м3</w:t>
            </w:r>
            <w:r>
              <w:rPr>
                <w:sz w:val="20"/>
                <w:szCs w:val="20"/>
              </w:rPr>
            </w:r>
            <w:r>
              <w:rPr>
                <w:sz w:val="20"/>
                <w:szCs w:val="20"/>
              </w:rPr>
            </w:r>
          </w:p>
        </w:tc>
        <w:tc>
          <w:tcPr>
            <w:shd w:val="clear" w:color="auto" w:fill="auto"/>
            <w:tcW w:w="372"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69" w:type="pct"/>
            <w:textDirection w:val="lrTb"/>
            <w:noWrap w:val="false"/>
          </w:tcPr>
          <w:p>
            <w:pPr>
              <w:jc w:val="center"/>
              <w:rPr>
                <w:sz w:val="20"/>
                <w:szCs w:val="20"/>
              </w:rPr>
            </w:pPr>
            <w:r>
              <w:rPr>
                <w:sz w:val="20"/>
                <w:szCs w:val="20"/>
              </w:rPr>
              <w:t xml:space="preserve">-</w:t>
            </w:r>
            <w:r>
              <w:rPr>
                <w:sz w:val="20"/>
                <w:szCs w:val="20"/>
              </w:rPr>
            </w:r>
            <w:r>
              <w:rPr>
                <w:sz w:val="20"/>
                <w:szCs w:val="20"/>
              </w:rPr>
            </w:r>
          </w:p>
        </w:tc>
      </w:tr>
      <w:tr>
        <w:tblPrEx/>
        <w:trPr>
          <w:trHeight w:val="85"/>
        </w:trPr>
        <w:tc>
          <w:tcPr>
            <w:shd w:val="clear" w:color="auto" w:fill="auto"/>
            <w:tcW w:w="164" w:type="pct"/>
            <w:vAlign w:val="center"/>
            <w:textDirection w:val="lrTb"/>
            <w:noWrap w:val="false"/>
          </w:tcPr>
          <w:p>
            <w:pPr>
              <w:jc w:val="center"/>
              <w:rPr>
                <w:sz w:val="20"/>
                <w:szCs w:val="20"/>
              </w:rPr>
            </w:pPr>
            <w:r>
              <w:rPr>
                <w:sz w:val="20"/>
                <w:szCs w:val="20"/>
              </w:rPr>
              <w:t xml:space="preserve">8</w:t>
            </w:r>
            <w:r>
              <w:rPr>
                <w:sz w:val="20"/>
                <w:szCs w:val="20"/>
              </w:rPr>
            </w:r>
            <w:r>
              <w:rPr>
                <w:sz w:val="20"/>
                <w:szCs w:val="20"/>
              </w:rPr>
            </w:r>
          </w:p>
        </w:tc>
        <w:tc>
          <w:tcPr>
            <w:shd w:val="clear" w:color="auto" w:fill="auto"/>
            <w:tcW w:w="2615" w:type="pct"/>
            <w:vAlign w:val="center"/>
            <w:textDirection w:val="lrTb"/>
            <w:noWrap w:val="false"/>
          </w:tcPr>
          <w:p>
            <w:pPr>
              <w:rPr>
                <w:sz w:val="20"/>
                <w:szCs w:val="20"/>
              </w:rPr>
            </w:pPr>
            <w:r>
              <w:rPr>
                <w:sz w:val="20"/>
                <w:szCs w:val="20"/>
              </w:rPr>
              <w:t xml:space="preserve">Требуемая расчетная производительность водоподготовительной установки (0,75% V), м3/ч</w:t>
            </w:r>
            <w:r>
              <w:rPr>
                <w:sz w:val="20"/>
                <w:szCs w:val="20"/>
              </w:rPr>
            </w:r>
            <w:r>
              <w:rPr>
                <w:sz w:val="20"/>
                <w:szCs w:val="20"/>
              </w:rPr>
            </w:r>
          </w:p>
        </w:tc>
        <w:tc>
          <w:tcPr>
            <w:shd w:val="clear" w:color="auto" w:fill="auto"/>
            <w:tcW w:w="372" w:type="pct"/>
            <w:vAlign w:val="center"/>
            <w:textDirection w:val="lrTb"/>
            <w:noWrap w:val="false"/>
          </w:tcPr>
          <w:p>
            <w:pPr>
              <w:jc w:val="center"/>
              <w:rPr>
                <w:sz w:val="20"/>
                <w:szCs w:val="20"/>
              </w:rPr>
            </w:pPr>
            <w:r>
              <w:rPr>
                <w:sz w:val="20"/>
                <w:szCs w:val="20"/>
              </w:rPr>
              <w:t xml:space="preserve">0,021</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0,021</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0,021</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0,021</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0,021</w:t>
            </w:r>
            <w:r>
              <w:rPr>
                <w:sz w:val="20"/>
                <w:szCs w:val="20"/>
              </w:rPr>
            </w:r>
            <w:r>
              <w:rPr>
                <w:sz w:val="20"/>
                <w:szCs w:val="20"/>
              </w:rPr>
            </w:r>
          </w:p>
        </w:tc>
        <w:tc>
          <w:tcPr>
            <w:tcW w:w="369" w:type="pct"/>
            <w:vAlign w:val="center"/>
            <w:textDirection w:val="lrTb"/>
            <w:noWrap w:val="false"/>
          </w:tcPr>
          <w:p>
            <w:pPr>
              <w:jc w:val="center"/>
              <w:rPr>
                <w:sz w:val="20"/>
                <w:szCs w:val="20"/>
              </w:rPr>
            </w:pPr>
            <w:r>
              <w:rPr>
                <w:sz w:val="20"/>
                <w:szCs w:val="20"/>
              </w:rPr>
              <w:t xml:space="preserve">0,021</w:t>
            </w:r>
            <w:r>
              <w:rPr>
                <w:sz w:val="20"/>
                <w:szCs w:val="20"/>
              </w:rPr>
            </w:r>
            <w:r>
              <w:rPr>
                <w:sz w:val="20"/>
                <w:szCs w:val="20"/>
              </w:rPr>
            </w:r>
          </w:p>
        </w:tc>
      </w:tr>
      <w:tr>
        <w:tblPrEx/>
        <w:trPr>
          <w:trHeight w:val="85"/>
        </w:trPr>
        <w:tc>
          <w:tcPr>
            <w:shd w:val="clear" w:color="auto" w:fill="auto"/>
            <w:tcW w:w="164" w:type="pct"/>
            <w:vAlign w:val="center"/>
            <w:textDirection w:val="lrTb"/>
            <w:noWrap w:val="false"/>
          </w:tcPr>
          <w:p>
            <w:pPr>
              <w:jc w:val="center"/>
              <w:rPr>
                <w:sz w:val="20"/>
                <w:szCs w:val="20"/>
              </w:rPr>
            </w:pPr>
            <w:r>
              <w:rPr>
                <w:sz w:val="20"/>
                <w:szCs w:val="20"/>
              </w:rPr>
              <w:t xml:space="preserve">9</w:t>
            </w:r>
            <w:r>
              <w:rPr>
                <w:sz w:val="20"/>
                <w:szCs w:val="20"/>
              </w:rPr>
            </w:r>
            <w:r>
              <w:rPr>
                <w:sz w:val="20"/>
                <w:szCs w:val="20"/>
              </w:rPr>
            </w:r>
          </w:p>
        </w:tc>
        <w:tc>
          <w:tcPr>
            <w:shd w:val="clear" w:color="auto" w:fill="auto"/>
            <w:tcW w:w="2615" w:type="pct"/>
            <w:vAlign w:val="center"/>
            <w:textDirection w:val="lrTb"/>
            <w:noWrap w:val="false"/>
          </w:tcPr>
          <w:p>
            <w:pPr>
              <w:rPr>
                <w:sz w:val="20"/>
                <w:szCs w:val="20"/>
              </w:rPr>
            </w:pPr>
            <w:r>
              <w:rPr>
                <w:sz w:val="20"/>
                <w:szCs w:val="20"/>
              </w:rPr>
              <w:t xml:space="preserve">Всего подпитка тепловой сети, м3/ч, в том числе:</w:t>
            </w:r>
            <w:r>
              <w:rPr>
                <w:sz w:val="20"/>
                <w:szCs w:val="20"/>
              </w:rPr>
            </w:r>
            <w:r>
              <w:rPr>
                <w:sz w:val="20"/>
                <w:szCs w:val="20"/>
              </w:rPr>
            </w:r>
          </w:p>
        </w:tc>
        <w:tc>
          <w:tcPr>
            <w:shd w:val="clear" w:color="auto" w:fill="auto"/>
            <w:tcW w:w="372" w:type="pct"/>
            <w:vAlign w:val="center"/>
            <w:textDirection w:val="lrTb"/>
            <w:noWrap w:val="false"/>
          </w:tcPr>
          <w:p>
            <w:pPr>
              <w:jc w:val="center"/>
              <w:rPr>
                <w:sz w:val="20"/>
                <w:szCs w:val="20"/>
              </w:rPr>
            </w:pPr>
            <w:r>
              <w:rPr>
                <w:sz w:val="20"/>
                <w:szCs w:val="20"/>
              </w:rPr>
              <w:t xml:space="preserve">0,007</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0,007</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0,007</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0,007</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0,007</w:t>
            </w:r>
            <w:r>
              <w:rPr>
                <w:sz w:val="20"/>
                <w:szCs w:val="20"/>
              </w:rPr>
            </w:r>
            <w:r>
              <w:rPr>
                <w:sz w:val="20"/>
                <w:szCs w:val="20"/>
              </w:rPr>
            </w:r>
          </w:p>
        </w:tc>
        <w:tc>
          <w:tcPr>
            <w:tcW w:w="369" w:type="pct"/>
            <w:vAlign w:val="center"/>
            <w:textDirection w:val="lrTb"/>
            <w:noWrap w:val="false"/>
          </w:tcPr>
          <w:p>
            <w:pPr>
              <w:jc w:val="center"/>
              <w:rPr>
                <w:sz w:val="20"/>
                <w:szCs w:val="20"/>
              </w:rPr>
            </w:pPr>
            <w:r>
              <w:rPr>
                <w:sz w:val="20"/>
                <w:szCs w:val="20"/>
              </w:rPr>
              <w:t xml:space="preserve">0,007</w:t>
            </w:r>
            <w:r>
              <w:rPr>
                <w:sz w:val="20"/>
                <w:szCs w:val="20"/>
              </w:rPr>
            </w:r>
            <w:r>
              <w:rPr>
                <w:sz w:val="20"/>
                <w:szCs w:val="20"/>
              </w:rPr>
            </w:r>
          </w:p>
        </w:tc>
      </w:tr>
      <w:tr>
        <w:tblPrEx/>
        <w:trPr>
          <w:trHeight w:val="85"/>
        </w:trPr>
        <w:tc>
          <w:tcPr>
            <w:shd w:val="clear" w:color="auto" w:fill="auto"/>
            <w:tcW w:w="164" w:type="pct"/>
            <w:vAlign w:val="center"/>
            <w:textDirection w:val="lrTb"/>
            <w:noWrap w:val="false"/>
          </w:tcPr>
          <w:p>
            <w:pPr>
              <w:jc w:val="center"/>
              <w:rPr>
                <w:sz w:val="20"/>
                <w:szCs w:val="20"/>
              </w:rPr>
            </w:pPr>
            <w:r>
              <w:rPr>
                <w:sz w:val="20"/>
                <w:szCs w:val="20"/>
              </w:rPr>
              <w:t xml:space="preserve">9.1</w:t>
            </w:r>
            <w:r>
              <w:rPr>
                <w:sz w:val="20"/>
                <w:szCs w:val="20"/>
              </w:rPr>
            </w:r>
            <w:r>
              <w:rPr>
                <w:sz w:val="20"/>
                <w:szCs w:val="20"/>
              </w:rPr>
            </w:r>
          </w:p>
        </w:tc>
        <w:tc>
          <w:tcPr>
            <w:shd w:val="clear" w:color="auto" w:fill="auto"/>
            <w:tcW w:w="2615" w:type="pct"/>
            <w:vAlign w:val="center"/>
            <w:textDirection w:val="lrTb"/>
            <w:noWrap w:val="false"/>
          </w:tcPr>
          <w:p>
            <w:pPr>
              <w:rPr>
                <w:sz w:val="20"/>
                <w:szCs w:val="20"/>
              </w:rPr>
            </w:pPr>
            <w:r>
              <w:rPr>
                <w:sz w:val="20"/>
                <w:szCs w:val="20"/>
              </w:rPr>
              <w:t xml:space="preserve">- нормативные утечки теплоносителя (0,25% V), м3/ч</w:t>
            </w:r>
            <w:r>
              <w:rPr>
                <w:sz w:val="20"/>
                <w:szCs w:val="20"/>
              </w:rPr>
            </w:r>
            <w:r>
              <w:rPr>
                <w:sz w:val="20"/>
                <w:szCs w:val="20"/>
              </w:rPr>
            </w:r>
          </w:p>
        </w:tc>
        <w:tc>
          <w:tcPr>
            <w:shd w:val="clear" w:color="auto" w:fill="auto"/>
            <w:tcW w:w="372" w:type="pct"/>
            <w:vAlign w:val="center"/>
            <w:textDirection w:val="lrTb"/>
            <w:noWrap w:val="false"/>
          </w:tcPr>
          <w:p>
            <w:pPr>
              <w:jc w:val="center"/>
              <w:rPr>
                <w:sz w:val="20"/>
                <w:szCs w:val="20"/>
              </w:rPr>
            </w:pPr>
            <w:r>
              <w:rPr>
                <w:sz w:val="20"/>
                <w:szCs w:val="20"/>
              </w:rPr>
              <w:t xml:space="preserve">0,007</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0,007</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0,007</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0,007</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0,007</w:t>
            </w:r>
            <w:r>
              <w:rPr>
                <w:sz w:val="20"/>
                <w:szCs w:val="20"/>
              </w:rPr>
            </w:r>
            <w:r>
              <w:rPr>
                <w:sz w:val="20"/>
                <w:szCs w:val="20"/>
              </w:rPr>
            </w:r>
          </w:p>
        </w:tc>
        <w:tc>
          <w:tcPr>
            <w:tcW w:w="369" w:type="pct"/>
            <w:vAlign w:val="center"/>
            <w:textDirection w:val="lrTb"/>
            <w:noWrap w:val="false"/>
          </w:tcPr>
          <w:p>
            <w:pPr>
              <w:jc w:val="center"/>
              <w:rPr>
                <w:sz w:val="20"/>
                <w:szCs w:val="20"/>
              </w:rPr>
            </w:pPr>
            <w:r>
              <w:rPr>
                <w:sz w:val="20"/>
                <w:szCs w:val="20"/>
              </w:rPr>
              <w:t xml:space="preserve">0,007</w:t>
            </w:r>
            <w:r>
              <w:rPr>
                <w:sz w:val="20"/>
                <w:szCs w:val="20"/>
              </w:rPr>
            </w:r>
            <w:r>
              <w:rPr>
                <w:sz w:val="20"/>
                <w:szCs w:val="20"/>
              </w:rPr>
            </w:r>
          </w:p>
        </w:tc>
      </w:tr>
      <w:tr>
        <w:tblPrEx/>
        <w:trPr>
          <w:trHeight w:val="85"/>
        </w:trPr>
        <w:tc>
          <w:tcPr>
            <w:shd w:val="clear" w:color="auto" w:fill="auto"/>
            <w:tcW w:w="164" w:type="pct"/>
            <w:vAlign w:val="center"/>
            <w:textDirection w:val="lrTb"/>
            <w:noWrap w:val="false"/>
          </w:tcPr>
          <w:p>
            <w:pPr>
              <w:jc w:val="center"/>
              <w:rPr>
                <w:sz w:val="20"/>
                <w:szCs w:val="20"/>
              </w:rPr>
            </w:pPr>
            <w:r>
              <w:rPr>
                <w:sz w:val="20"/>
                <w:szCs w:val="20"/>
              </w:rPr>
              <w:t xml:space="preserve">9.2</w:t>
            </w:r>
            <w:r>
              <w:rPr>
                <w:sz w:val="20"/>
                <w:szCs w:val="20"/>
              </w:rPr>
            </w:r>
            <w:r>
              <w:rPr>
                <w:sz w:val="20"/>
                <w:szCs w:val="20"/>
              </w:rPr>
            </w:r>
          </w:p>
        </w:tc>
        <w:tc>
          <w:tcPr>
            <w:shd w:val="clear" w:color="auto" w:fill="auto"/>
            <w:tcW w:w="2615" w:type="pct"/>
            <w:vAlign w:val="center"/>
            <w:textDirection w:val="lrTb"/>
            <w:noWrap w:val="false"/>
          </w:tcPr>
          <w:p>
            <w:pPr>
              <w:rPr>
                <w:sz w:val="20"/>
                <w:szCs w:val="20"/>
              </w:rPr>
            </w:pPr>
            <w:r>
              <w:rPr>
                <w:sz w:val="20"/>
                <w:szCs w:val="20"/>
              </w:rPr>
              <w:t xml:space="preserve">- сверхнормативные утечки теплоносителя, м3/ч</w:t>
            </w:r>
            <w:r>
              <w:rPr>
                <w:sz w:val="20"/>
                <w:szCs w:val="20"/>
              </w:rPr>
            </w:r>
            <w:r>
              <w:rPr>
                <w:sz w:val="20"/>
                <w:szCs w:val="20"/>
              </w:rPr>
            </w:r>
          </w:p>
        </w:tc>
        <w:tc>
          <w:tcPr>
            <w:shd w:val="clear" w:color="auto" w:fill="auto"/>
            <w:tcW w:w="372" w:type="pct"/>
            <w:vAlign w:val="center"/>
            <w:textDirection w:val="lrTb"/>
            <w:noWrap w:val="false"/>
          </w:tcPr>
          <w:p>
            <w:pPr>
              <w:jc w:val="center"/>
              <w:rPr>
                <w:sz w:val="20"/>
                <w:szCs w:val="20"/>
              </w:rPr>
            </w:pPr>
            <w:r>
              <w:rPr>
                <w:sz w:val="20"/>
                <w:szCs w:val="20"/>
              </w:rPr>
              <w:t xml:space="preserve">0</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w:t>
            </w:r>
            <w:r>
              <w:rPr>
                <w:sz w:val="20"/>
                <w:szCs w:val="20"/>
              </w:rPr>
            </w:r>
            <w:r>
              <w:rPr>
                <w:sz w:val="20"/>
                <w:szCs w:val="20"/>
              </w:rPr>
            </w:r>
          </w:p>
        </w:tc>
        <w:tc>
          <w:tcPr>
            <w:tcW w:w="369" w:type="pct"/>
            <w:vAlign w:val="center"/>
            <w:textDirection w:val="lrTb"/>
            <w:noWrap w:val="false"/>
          </w:tcPr>
          <w:p>
            <w:pPr>
              <w:jc w:val="center"/>
              <w:rPr>
                <w:sz w:val="20"/>
                <w:szCs w:val="20"/>
              </w:rPr>
            </w:pPr>
            <w:r>
              <w:rPr>
                <w:sz w:val="20"/>
                <w:szCs w:val="20"/>
              </w:rPr>
              <w:t xml:space="preserve">0</w:t>
            </w:r>
            <w:r>
              <w:rPr>
                <w:sz w:val="20"/>
                <w:szCs w:val="20"/>
              </w:rPr>
            </w:r>
            <w:r>
              <w:rPr>
                <w:sz w:val="20"/>
                <w:szCs w:val="20"/>
              </w:rPr>
            </w:r>
          </w:p>
        </w:tc>
      </w:tr>
      <w:tr>
        <w:tblPrEx/>
        <w:trPr>
          <w:trHeight w:val="573"/>
        </w:trPr>
        <w:tc>
          <w:tcPr>
            <w:shd w:val="clear" w:color="auto" w:fill="auto"/>
            <w:tcW w:w="164" w:type="pct"/>
            <w:vAlign w:val="center"/>
            <w:textDirection w:val="lrTb"/>
            <w:noWrap w:val="false"/>
          </w:tcPr>
          <w:p>
            <w:pPr>
              <w:jc w:val="center"/>
              <w:rPr>
                <w:sz w:val="20"/>
                <w:szCs w:val="20"/>
              </w:rPr>
            </w:pPr>
            <w:r>
              <w:rPr>
                <w:sz w:val="20"/>
                <w:szCs w:val="20"/>
              </w:rPr>
              <w:t xml:space="preserve">9.3</w:t>
            </w:r>
            <w:r>
              <w:rPr>
                <w:sz w:val="20"/>
                <w:szCs w:val="20"/>
              </w:rPr>
            </w:r>
            <w:r>
              <w:rPr>
                <w:sz w:val="20"/>
                <w:szCs w:val="20"/>
              </w:rPr>
            </w:r>
          </w:p>
        </w:tc>
        <w:tc>
          <w:tcPr>
            <w:shd w:val="clear" w:color="auto" w:fill="auto"/>
            <w:tcW w:w="2615" w:type="pct"/>
            <w:vAlign w:val="center"/>
            <w:textDirection w:val="lrTb"/>
            <w:noWrap w:val="false"/>
          </w:tcPr>
          <w:p>
            <w:pPr>
              <w:rPr>
                <w:sz w:val="20"/>
                <w:szCs w:val="20"/>
              </w:rPr>
            </w:pPr>
            <w:r>
              <w:rPr>
                <w:sz w:val="20"/>
                <w:szCs w:val="20"/>
              </w:rPr>
              <w:t xml:space="preserve">- отпуск теплоносителя из тепловых сетей на цели горячего водоснабжения (для открытых систем теплоснабжения), т/ч</w:t>
            </w:r>
            <w:r>
              <w:rPr>
                <w:sz w:val="20"/>
                <w:szCs w:val="20"/>
              </w:rPr>
            </w:r>
            <w:r>
              <w:rPr>
                <w:sz w:val="20"/>
                <w:szCs w:val="20"/>
              </w:rPr>
            </w:r>
          </w:p>
        </w:tc>
        <w:tc>
          <w:tcPr>
            <w:shd w:val="clear" w:color="auto" w:fill="auto"/>
            <w:tcW w:w="372" w:type="pct"/>
            <w:vAlign w:val="center"/>
            <w:textDirection w:val="lrTb"/>
            <w:noWrap w:val="false"/>
          </w:tcPr>
          <w:p>
            <w:pPr>
              <w:jc w:val="center"/>
              <w:rPr>
                <w:sz w:val="20"/>
                <w:szCs w:val="20"/>
              </w:rPr>
            </w:pPr>
            <w:r>
              <w:rPr>
                <w:sz w:val="20"/>
                <w:szCs w:val="20"/>
              </w:rPr>
              <w:t xml:space="preserve">0</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w:t>
            </w:r>
            <w:r>
              <w:rPr>
                <w:sz w:val="20"/>
                <w:szCs w:val="20"/>
              </w:rPr>
            </w:r>
            <w:r>
              <w:rPr>
                <w:sz w:val="20"/>
                <w:szCs w:val="20"/>
              </w:rPr>
            </w:r>
          </w:p>
        </w:tc>
        <w:tc>
          <w:tcPr>
            <w:tcW w:w="369" w:type="pct"/>
            <w:vAlign w:val="center"/>
            <w:textDirection w:val="lrTb"/>
            <w:noWrap w:val="false"/>
          </w:tcPr>
          <w:p>
            <w:pPr>
              <w:jc w:val="center"/>
              <w:rPr>
                <w:sz w:val="20"/>
                <w:szCs w:val="20"/>
              </w:rPr>
            </w:pPr>
            <w:r>
              <w:rPr>
                <w:sz w:val="20"/>
                <w:szCs w:val="20"/>
              </w:rPr>
              <w:t xml:space="preserve">0</w:t>
            </w:r>
            <w:r>
              <w:rPr>
                <w:sz w:val="20"/>
                <w:szCs w:val="20"/>
              </w:rPr>
            </w:r>
            <w:r>
              <w:rPr>
                <w:sz w:val="20"/>
                <w:szCs w:val="20"/>
              </w:rPr>
            </w:r>
          </w:p>
        </w:tc>
      </w:tr>
      <w:tr>
        <w:tblPrEx/>
        <w:trPr>
          <w:trHeight w:val="70"/>
        </w:trPr>
        <w:tc>
          <w:tcPr>
            <w:shd w:val="clear" w:color="auto" w:fill="auto"/>
            <w:tcW w:w="164" w:type="pct"/>
            <w:vAlign w:val="center"/>
            <w:textDirection w:val="lrTb"/>
            <w:noWrap w:val="false"/>
          </w:tcPr>
          <w:p>
            <w:pPr>
              <w:jc w:val="center"/>
              <w:rPr>
                <w:sz w:val="20"/>
                <w:szCs w:val="20"/>
              </w:rPr>
            </w:pPr>
            <w:r>
              <w:rPr>
                <w:sz w:val="20"/>
                <w:szCs w:val="20"/>
              </w:rPr>
              <w:t xml:space="preserve">10</w:t>
            </w:r>
            <w:r>
              <w:rPr>
                <w:sz w:val="20"/>
                <w:szCs w:val="20"/>
              </w:rPr>
            </w:r>
            <w:r>
              <w:rPr>
                <w:sz w:val="20"/>
                <w:szCs w:val="20"/>
              </w:rPr>
            </w:r>
          </w:p>
        </w:tc>
        <w:tc>
          <w:tcPr>
            <w:shd w:val="clear" w:color="auto" w:fill="auto"/>
            <w:tcW w:w="2615" w:type="pct"/>
            <w:vAlign w:val="center"/>
            <w:textDirection w:val="lrTb"/>
            <w:noWrap w:val="false"/>
          </w:tcPr>
          <w:p>
            <w:pPr>
              <w:rPr>
                <w:sz w:val="20"/>
                <w:szCs w:val="20"/>
              </w:rPr>
            </w:pPr>
            <w:r>
              <w:rPr>
                <w:sz w:val="20"/>
                <w:szCs w:val="20"/>
              </w:rPr>
              <w:t xml:space="preserve">Максимальная подпитка тепловой сети в период повреждения участка (2% V), м3/ч</w:t>
            </w:r>
            <w:r>
              <w:rPr>
                <w:sz w:val="20"/>
                <w:szCs w:val="20"/>
              </w:rPr>
            </w:r>
            <w:r>
              <w:rPr>
                <w:sz w:val="20"/>
                <w:szCs w:val="20"/>
              </w:rPr>
            </w:r>
          </w:p>
        </w:tc>
        <w:tc>
          <w:tcPr>
            <w:shd w:val="clear" w:color="auto" w:fill="auto"/>
            <w:tcW w:w="372" w:type="pct"/>
            <w:vAlign w:val="center"/>
            <w:textDirection w:val="lrTb"/>
            <w:noWrap w:val="false"/>
          </w:tcPr>
          <w:p>
            <w:pPr>
              <w:jc w:val="center"/>
              <w:rPr>
                <w:sz w:val="20"/>
                <w:szCs w:val="20"/>
              </w:rPr>
            </w:pPr>
            <w:r>
              <w:rPr>
                <w:sz w:val="20"/>
                <w:szCs w:val="20"/>
              </w:rPr>
              <w:t xml:space="preserve">0,055</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0,055</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0,055</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0,055</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0,055</w:t>
            </w:r>
            <w:r>
              <w:rPr>
                <w:sz w:val="20"/>
                <w:szCs w:val="20"/>
              </w:rPr>
            </w:r>
            <w:r>
              <w:rPr>
                <w:sz w:val="20"/>
                <w:szCs w:val="20"/>
              </w:rPr>
            </w:r>
          </w:p>
        </w:tc>
        <w:tc>
          <w:tcPr>
            <w:tcW w:w="369" w:type="pct"/>
            <w:vAlign w:val="center"/>
            <w:textDirection w:val="lrTb"/>
            <w:noWrap w:val="false"/>
          </w:tcPr>
          <w:p>
            <w:pPr>
              <w:jc w:val="center"/>
              <w:rPr>
                <w:sz w:val="20"/>
                <w:szCs w:val="20"/>
              </w:rPr>
            </w:pPr>
            <w:r>
              <w:rPr>
                <w:sz w:val="20"/>
                <w:szCs w:val="20"/>
              </w:rPr>
              <w:t xml:space="preserve">0,055</w:t>
            </w:r>
            <w:r>
              <w:rPr>
                <w:sz w:val="20"/>
                <w:szCs w:val="20"/>
              </w:rPr>
            </w:r>
            <w:r>
              <w:rPr>
                <w:sz w:val="20"/>
                <w:szCs w:val="20"/>
              </w:rPr>
            </w:r>
          </w:p>
        </w:tc>
      </w:tr>
      <w:tr>
        <w:tblPrEx/>
        <w:trPr>
          <w:trHeight w:val="85"/>
        </w:trPr>
        <w:tc>
          <w:tcPr>
            <w:shd w:val="clear" w:color="auto" w:fill="auto"/>
            <w:tcW w:w="164" w:type="pct"/>
            <w:vAlign w:val="center"/>
            <w:textDirection w:val="lrTb"/>
            <w:noWrap w:val="false"/>
          </w:tcPr>
          <w:p>
            <w:pPr>
              <w:jc w:val="center"/>
              <w:rPr>
                <w:sz w:val="20"/>
                <w:szCs w:val="20"/>
              </w:rPr>
            </w:pPr>
            <w:r>
              <w:rPr>
                <w:sz w:val="20"/>
                <w:szCs w:val="20"/>
              </w:rPr>
              <w:t xml:space="preserve">11</w:t>
            </w:r>
            <w:r>
              <w:rPr>
                <w:sz w:val="20"/>
                <w:szCs w:val="20"/>
              </w:rPr>
            </w:r>
            <w:r>
              <w:rPr>
                <w:sz w:val="20"/>
                <w:szCs w:val="20"/>
              </w:rPr>
            </w:r>
          </w:p>
        </w:tc>
        <w:tc>
          <w:tcPr>
            <w:shd w:val="clear" w:color="auto" w:fill="auto"/>
            <w:tcW w:w="2615" w:type="pct"/>
            <w:vAlign w:val="center"/>
            <w:textDirection w:val="lrTb"/>
            <w:noWrap w:val="false"/>
          </w:tcPr>
          <w:p>
            <w:pPr>
              <w:rPr>
                <w:sz w:val="20"/>
                <w:szCs w:val="20"/>
              </w:rPr>
            </w:pPr>
            <w:r>
              <w:rPr>
                <w:sz w:val="20"/>
                <w:szCs w:val="20"/>
              </w:rPr>
              <w:t xml:space="preserve">Резерв (+)/дефицит (-), ВПУ,м3/ч</w:t>
            </w:r>
            <w:r>
              <w:rPr>
                <w:sz w:val="20"/>
                <w:szCs w:val="20"/>
              </w:rPr>
            </w:r>
            <w:r>
              <w:rPr>
                <w:sz w:val="20"/>
                <w:szCs w:val="20"/>
              </w:rPr>
            </w:r>
          </w:p>
        </w:tc>
        <w:tc>
          <w:tcPr>
            <w:shd w:val="clear" w:color="auto" w:fill="auto"/>
            <w:tcW w:w="372"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69" w:type="pct"/>
            <w:textDirection w:val="lrTb"/>
            <w:noWrap w:val="false"/>
          </w:tcPr>
          <w:p>
            <w:pPr>
              <w:jc w:val="center"/>
              <w:rPr>
                <w:sz w:val="20"/>
                <w:szCs w:val="20"/>
              </w:rPr>
            </w:pPr>
            <w:r>
              <w:rPr>
                <w:sz w:val="20"/>
                <w:szCs w:val="20"/>
              </w:rPr>
              <w:t xml:space="preserve">-</w:t>
            </w:r>
            <w:r>
              <w:rPr>
                <w:sz w:val="20"/>
                <w:szCs w:val="20"/>
              </w:rPr>
            </w:r>
            <w:r>
              <w:rPr>
                <w:sz w:val="20"/>
                <w:szCs w:val="20"/>
              </w:rPr>
            </w:r>
          </w:p>
        </w:tc>
      </w:tr>
      <w:tr>
        <w:tblPrEx/>
        <w:trPr>
          <w:trHeight w:val="300"/>
        </w:trPr>
        <w:tc>
          <w:tcPr>
            <w:gridSpan w:val="8"/>
            <w:shd w:val="clear" w:color="auto" w:fill="auto"/>
            <w:tcW w:w="5000" w:type="pct"/>
            <w:vAlign w:val="center"/>
            <w:textDirection w:val="lrTb"/>
            <w:noWrap w:val="false"/>
          </w:tcPr>
          <w:p>
            <w:pPr>
              <w:jc w:val="center"/>
              <w:rPr>
                <w:sz w:val="20"/>
                <w:szCs w:val="20"/>
              </w:rPr>
            </w:pPr>
            <w:r>
              <w:rPr>
                <w:sz w:val="20"/>
                <w:szCs w:val="20"/>
              </w:rPr>
              <w:t xml:space="preserve">Котельная ФКУ ИК №7 УФСИН России по Курганской области,</w:t>
            </w:r>
            <w:r>
              <w:rPr>
                <w:rFonts w:ascii="Liberation Serif" w:hAnsi="Liberation Serif" w:cs="Calibri"/>
                <w:color w:val="000000"/>
                <w:sz w:val="20"/>
                <w:szCs w:val="20"/>
              </w:rPr>
              <w:t xml:space="preserve"> Курганская область, р.п. Юргамыш, ул. Труда, 147</w:t>
            </w:r>
            <w:r>
              <w:rPr>
                <w:sz w:val="20"/>
                <w:szCs w:val="20"/>
              </w:rPr>
            </w:r>
            <w:r>
              <w:rPr>
                <w:sz w:val="20"/>
                <w:szCs w:val="20"/>
              </w:rPr>
            </w:r>
          </w:p>
        </w:tc>
      </w:tr>
      <w:tr>
        <w:tblPrEx/>
        <w:trPr>
          <w:trHeight w:val="75"/>
        </w:trPr>
        <w:tc>
          <w:tcPr>
            <w:shd w:val="clear" w:color="auto" w:fill="auto"/>
            <w:tcW w:w="164" w:type="pct"/>
            <w:vAlign w:val="center"/>
            <w:textDirection w:val="lrTb"/>
            <w:noWrap w:val="false"/>
          </w:tcPr>
          <w:p>
            <w:pPr>
              <w:jc w:val="center"/>
              <w:rPr>
                <w:sz w:val="20"/>
                <w:szCs w:val="20"/>
              </w:rPr>
            </w:pPr>
            <w:r>
              <w:rPr>
                <w:sz w:val="20"/>
                <w:szCs w:val="20"/>
              </w:rPr>
              <w:t xml:space="preserve">1</w:t>
            </w:r>
            <w:r>
              <w:rPr>
                <w:sz w:val="20"/>
                <w:szCs w:val="20"/>
              </w:rPr>
            </w:r>
            <w:r>
              <w:rPr>
                <w:sz w:val="20"/>
                <w:szCs w:val="20"/>
              </w:rPr>
            </w:r>
          </w:p>
        </w:tc>
        <w:tc>
          <w:tcPr>
            <w:shd w:val="clear" w:color="auto" w:fill="auto"/>
            <w:tcW w:w="2615" w:type="pct"/>
            <w:vAlign w:val="center"/>
            <w:textDirection w:val="lrTb"/>
            <w:noWrap w:val="false"/>
          </w:tcPr>
          <w:p>
            <w:pPr>
              <w:rPr>
                <w:sz w:val="20"/>
                <w:szCs w:val="20"/>
              </w:rPr>
            </w:pPr>
            <w:r>
              <w:rPr>
                <w:sz w:val="20"/>
                <w:szCs w:val="20"/>
              </w:rPr>
              <w:t xml:space="preserve">Объем воды в системе теплоснабжения V, м3</w:t>
            </w:r>
            <w:r>
              <w:rPr>
                <w:sz w:val="20"/>
                <w:szCs w:val="20"/>
              </w:rPr>
            </w:r>
            <w:r>
              <w:rPr>
                <w:sz w:val="20"/>
                <w:szCs w:val="20"/>
              </w:rPr>
            </w:r>
          </w:p>
        </w:tc>
        <w:tc>
          <w:tcPr>
            <w:shd w:val="clear" w:color="auto" w:fill="auto"/>
            <w:tcW w:w="372" w:type="pct"/>
            <w:textDirection w:val="lrTb"/>
            <w:noWrap w:val="false"/>
          </w:tcPr>
          <w:p>
            <w:pPr>
              <w:jc w:val="center"/>
              <w:rPr>
                <w:sz w:val="20"/>
                <w:szCs w:val="20"/>
              </w:rPr>
            </w:pPr>
            <w:r>
              <w:rPr>
                <w:sz w:val="20"/>
                <w:szCs w:val="20"/>
              </w:rPr>
              <w:t xml:space="preserve">311,420</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311,420</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311,420</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311,420</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311,420</w:t>
            </w:r>
            <w:r>
              <w:rPr>
                <w:sz w:val="20"/>
                <w:szCs w:val="20"/>
              </w:rPr>
            </w:r>
            <w:r>
              <w:rPr>
                <w:sz w:val="20"/>
                <w:szCs w:val="20"/>
              </w:rPr>
            </w:r>
          </w:p>
        </w:tc>
        <w:tc>
          <w:tcPr>
            <w:tcW w:w="369" w:type="pct"/>
            <w:textDirection w:val="lrTb"/>
            <w:noWrap w:val="false"/>
          </w:tcPr>
          <w:p>
            <w:pPr>
              <w:jc w:val="center"/>
              <w:rPr>
                <w:sz w:val="20"/>
                <w:szCs w:val="20"/>
              </w:rPr>
            </w:pPr>
            <w:r>
              <w:rPr>
                <w:sz w:val="20"/>
                <w:szCs w:val="20"/>
              </w:rPr>
              <w:t xml:space="preserve">311,420</w:t>
            </w:r>
            <w:r>
              <w:rPr>
                <w:sz w:val="20"/>
                <w:szCs w:val="20"/>
              </w:rPr>
            </w:r>
            <w:r>
              <w:rPr>
                <w:sz w:val="20"/>
                <w:szCs w:val="20"/>
              </w:rPr>
            </w:r>
          </w:p>
        </w:tc>
      </w:tr>
      <w:tr>
        <w:tblPrEx/>
        <w:trPr>
          <w:trHeight w:val="75"/>
        </w:trPr>
        <w:tc>
          <w:tcPr>
            <w:shd w:val="clear" w:color="auto" w:fill="auto"/>
            <w:tcW w:w="164" w:type="pct"/>
            <w:vAlign w:val="center"/>
            <w:textDirection w:val="lrTb"/>
            <w:noWrap w:val="false"/>
          </w:tcPr>
          <w:p>
            <w:pPr>
              <w:jc w:val="center"/>
              <w:rPr>
                <w:sz w:val="20"/>
                <w:szCs w:val="20"/>
              </w:rPr>
            </w:pPr>
            <w:r>
              <w:rPr>
                <w:sz w:val="20"/>
                <w:szCs w:val="20"/>
              </w:rPr>
              <w:t xml:space="preserve">2</w:t>
            </w:r>
            <w:r>
              <w:rPr>
                <w:sz w:val="20"/>
                <w:szCs w:val="20"/>
              </w:rPr>
            </w:r>
            <w:r>
              <w:rPr>
                <w:sz w:val="20"/>
                <w:szCs w:val="20"/>
              </w:rPr>
            </w:r>
          </w:p>
        </w:tc>
        <w:tc>
          <w:tcPr>
            <w:shd w:val="clear" w:color="auto" w:fill="auto"/>
            <w:tcW w:w="2615" w:type="pct"/>
            <w:vAlign w:val="center"/>
            <w:textDirection w:val="lrTb"/>
            <w:noWrap w:val="false"/>
          </w:tcPr>
          <w:p>
            <w:pPr>
              <w:rPr>
                <w:sz w:val="20"/>
                <w:szCs w:val="20"/>
              </w:rPr>
            </w:pPr>
            <w:r>
              <w:rPr>
                <w:sz w:val="20"/>
                <w:szCs w:val="20"/>
              </w:rPr>
              <w:t xml:space="preserve">Установленная производительность водоподготовительной установки, м3/ч</w:t>
            </w:r>
            <w:r>
              <w:rPr>
                <w:sz w:val="20"/>
                <w:szCs w:val="20"/>
              </w:rPr>
            </w:r>
            <w:r>
              <w:rPr>
                <w:sz w:val="20"/>
                <w:szCs w:val="20"/>
              </w:rPr>
            </w:r>
          </w:p>
        </w:tc>
        <w:tc>
          <w:tcPr>
            <w:shd w:val="clear" w:color="auto" w:fill="auto"/>
            <w:tcW w:w="372"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69" w:type="pct"/>
            <w:textDirection w:val="lrTb"/>
            <w:noWrap w:val="false"/>
          </w:tcPr>
          <w:p>
            <w:pPr>
              <w:jc w:val="center"/>
              <w:rPr>
                <w:sz w:val="20"/>
                <w:szCs w:val="20"/>
              </w:rPr>
            </w:pPr>
            <w:r>
              <w:rPr>
                <w:sz w:val="20"/>
                <w:szCs w:val="20"/>
              </w:rPr>
              <w:t xml:space="preserve">-</w:t>
            </w:r>
            <w:r>
              <w:rPr>
                <w:sz w:val="20"/>
                <w:szCs w:val="20"/>
              </w:rPr>
            </w:r>
            <w:r>
              <w:rPr>
                <w:sz w:val="20"/>
                <w:szCs w:val="20"/>
              </w:rPr>
            </w:r>
          </w:p>
        </w:tc>
      </w:tr>
      <w:tr>
        <w:tblPrEx/>
        <w:trPr>
          <w:trHeight w:val="75"/>
        </w:trPr>
        <w:tc>
          <w:tcPr>
            <w:shd w:val="clear" w:color="auto" w:fill="auto"/>
            <w:tcW w:w="164" w:type="pct"/>
            <w:vAlign w:val="center"/>
            <w:textDirection w:val="lrTb"/>
            <w:noWrap w:val="false"/>
          </w:tcPr>
          <w:p>
            <w:pPr>
              <w:jc w:val="center"/>
              <w:rPr>
                <w:sz w:val="20"/>
                <w:szCs w:val="20"/>
              </w:rPr>
            </w:pPr>
            <w:r>
              <w:rPr>
                <w:sz w:val="20"/>
                <w:szCs w:val="20"/>
              </w:rPr>
              <w:t xml:space="preserve">3</w:t>
            </w:r>
            <w:r>
              <w:rPr>
                <w:sz w:val="20"/>
                <w:szCs w:val="20"/>
              </w:rPr>
            </w:r>
            <w:r>
              <w:rPr>
                <w:sz w:val="20"/>
                <w:szCs w:val="20"/>
              </w:rPr>
            </w:r>
          </w:p>
        </w:tc>
        <w:tc>
          <w:tcPr>
            <w:shd w:val="clear" w:color="auto" w:fill="auto"/>
            <w:tcW w:w="2615" w:type="pct"/>
            <w:vAlign w:val="center"/>
            <w:textDirection w:val="lrTb"/>
            <w:noWrap w:val="false"/>
          </w:tcPr>
          <w:p>
            <w:pPr>
              <w:rPr>
                <w:sz w:val="20"/>
                <w:szCs w:val="20"/>
              </w:rPr>
            </w:pPr>
            <w:r>
              <w:rPr>
                <w:sz w:val="20"/>
                <w:szCs w:val="20"/>
              </w:rPr>
              <w:t xml:space="preserve">Располагаемая производительность водоподготовительной установки, м3/ч</w:t>
            </w:r>
            <w:r>
              <w:rPr>
                <w:sz w:val="20"/>
                <w:szCs w:val="20"/>
              </w:rPr>
            </w:r>
            <w:r>
              <w:rPr>
                <w:sz w:val="20"/>
                <w:szCs w:val="20"/>
              </w:rPr>
            </w:r>
          </w:p>
        </w:tc>
        <w:tc>
          <w:tcPr>
            <w:shd w:val="clear" w:color="auto" w:fill="auto"/>
            <w:tcW w:w="372"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69" w:type="pct"/>
            <w:textDirection w:val="lrTb"/>
            <w:noWrap w:val="false"/>
          </w:tcPr>
          <w:p>
            <w:pPr>
              <w:jc w:val="center"/>
              <w:rPr>
                <w:sz w:val="20"/>
                <w:szCs w:val="20"/>
              </w:rPr>
            </w:pPr>
            <w:r>
              <w:rPr>
                <w:sz w:val="20"/>
                <w:szCs w:val="20"/>
              </w:rPr>
              <w:t xml:space="preserve">-</w:t>
            </w:r>
            <w:r>
              <w:rPr>
                <w:sz w:val="20"/>
                <w:szCs w:val="20"/>
              </w:rPr>
            </w:r>
            <w:r>
              <w:rPr>
                <w:sz w:val="20"/>
                <w:szCs w:val="20"/>
              </w:rPr>
            </w:r>
          </w:p>
        </w:tc>
      </w:tr>
      <w:tr>
        <w:tblPrEx/>
        <w:trPr>
          <w:trHeight w:val="75"/>
        </w:trPr>
        <w:tc>
          <w:tcPr>
            <w:shd w:val="clear" w:color="auto" w:fill="auto"/>
            <w:tcW w:w="164" w:type="pct"/>
            <w:vAlign w:val="center"/>
            <w:textDirection w:val="lrTb"/>
            <w:noWrap w:val="false"/>
          </w:tcPr>
          <w:p>
            <w:pPr>
              <w:jc w:val="center"/>
              <w:rPr>
                <w:sz w:val="20"/>
                <w:szCs w:val="20"/>
              </w:rPr>
            </w:pPr>
            <w:r>
              <w:rPr>
                <w:sz w:val="20"/>
                <w:szCs w:val="20"/>
              </w:rPr>
              <w:t xml:space="preserve">4</w:t>
            </w:r>
            <w:r>
              <w:rPr>
                <w:sz w:val="20"/>
                <w:szCs w:val="20"/>
              </w:rPr>
            </w:r>
            <w:r>
              <w:rPr>
                <w:sz w:val="20"/>
                <w:szCs w:val="20"/>
              </w:rPr>
            </w:r>
          </w:p>
        </w:tc>
        <w:tc>
          <w:tcPr>
            <w:shd w:val="clear" w:color="auto" w:fill="auto"/>
            <w:tcW w:w="2615" w:type="pct"/>
            <w:vAlign w:val="center"/>
            <w:textDirection w:val="lrTb"/>
            <w:noWrap w:val="false"/>
          </w:tcPr>
          <w:p>
            <w:pPr>
              <w:rPr>
                <w:sz w:val="20"/>
                <w:szCs w:val="20"/>
              </w:rPr>
            </w:pPr>
            <w:r>
              <w:rPr>
                <w:sz w:val="20"/>
                <w:szCs w:val="20"/>
              </w:rPr>
              <w:t xml:space="preserve">Потери располагаемой производительности, %</w:t>
            </w:r>
            <w:r>
              <w:rPr>
                <w:sz w:val="20"/>
                <w:szCs w:val="20"/>
              </w:rPr>
            </w:r>
            <w:r>
              <w:rPr>
                <w:sz w:val="20"/>
                <w:szCs w:val="20"/>
              </w:rPr>
            </w:r>
          </w:p>
        </w:tc>
        <w:tc>
          <w:tcPr>
            <w:shd w:val="clear" w:color="auto" w:fill="auto"/>
            <w:tcW w:w="372"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69" w:type="pct"/>
            <w:textDirection w:val="lrTb"/>
            <w:noWrap w:val="false"/>
          </w:tcPr>
          <w:p>
            <w:pPr>
              <w:jc w:val="center"/>
              <w:rPr>
                <w:sz w:val="20"/>
                <w:szCs w:val="20"/>
              </w:rPr>
            </w:pPr>
            <w:r>
              <w:rPr>
                <w:sz w:val="20"/>
                <w:szCs w:val="20"/>
              </w:rPr>
              <w:t xml:space="preserve">-</w:t>
            </w:r>
            <w:r>
              <w:rPr>
                <w:sz w:val="20"/>
                <w:szCs w:val="20"/>
              </w:rPr>
            </w:r>
            <w:r>
              <w:rPr>
                <w:sz w:val="20"/>
                <w:szCs w:val="20"/>
              </w:rPr>
            </w:r>
          </w:p>
        </w:tc>
      </w:tr>
      <w:tr>
        <w:tblPrEx/>
        <w:trPr>
          <w:trHeight w:val="75"/>
        </w:trPr>
        <w:tc>
          <w:tcPr>
            <w:shd w:val="clear" w:color="auto" w:fill="auto"/>
            <w:tcW w:w="164" w:type="pct"/>
            <w:vAlign w:val="center"/>
            <w:textDirection w:val="lrTb"/>
            <w:noWrap w:val="false"/>
          </w:tcPr>
          <w:p>
            <w:pPr>
              <w:jc w:val="center"/>
              <w:rPr>
                <w:sz w:val="20"/>
                <w:szCs w:val="20"/>
              </w:rPr>
            </w:pPr>
            <w:r>
              <w:rPr>
                <w:sz w:val="20"/>
                <w:szCs w:val="20"/>
              </w:rPr>
              <w:t xml:space="preserve">5</w:t>
            </w:r>
            <w:r>
              <w:rPr>
                <w:sz w:val="20"/>
                <w:szCs w:val="20"/>
              </w:rPr>
            </w:r>
            <w:r>
              <w:rPr>
                <w:sz w:val="20"/>
                <w:szCs w:val="20"/>
              </w:rPr>
            </w:r>
          </w:p>
        </w:tc>
        <w:tc>
          <w:tcPr>
            <w:shd w:val="clear" w:color="auto" w:fill="auto"/>
            <w:tcW w:w="2615" w:type="pct"/>
            <w:vAlign w:val="center"/>
            <w:textDirection w:val="lrTb"/>
            <w:noWrap w:val="false"/>
          </w:tcPr>
          <w:p>
            <w:pPr>
              <w:rPr>
                <w:sz w:val="20"/>
                <w:szCs w:val="20"/>
              </w:rPr>
            </w:pPr>
            <w:r>
              <w:rPr>
                <w:sz w:val="20"/>
                <w:szCs w:val="20"/>
              </w:rPr>
              <w:t xml:space="preserve">Собственные нужды водоподготовительной установки, м3/ч</w:t>
            </w:r>
            <w:r>
              <w:rPr>
                <w:sz w:val="20"/>
                <w:szCs w:val="20"/>
              </w:rPr>
            </w:r>
            <w:r>
              <w:rPr>
                <w:sz w:val="20"/>
                <w:szCs w:val="20"/>
              </w:rPr>
            </w:r>
          </w:p>
        </w:tc>
        <w:tc>
          <w:tcPr>
            <w:shd w:val="clear" w:color="auto" w:fill="auto"/>
            <w:tcW w:w="372"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69" w:type="pct"/>
            <w:textDirection w:val="lrTb"/>
            <w:noWrap w:val="false"/>
          </w:tcPr>
          <w:p>
            <w:pPr>
              <w:jc w:val="center"/>
              <w:rPr>
                <w:sz w:val="20"/>
                <w:szCs w:val="20"/>
              </w:rPr>
            </w:pPr>
            <w:r>
              <w:rPr>
                <w:sz w:val="20"/>
                <w:szCs w:val="20"/>
              </w:rPr>
              <w:t xml:space="preserve">-</w:t>
            </w:r>
            <w:r>
              <w:rPr>
                <w:sz w:val="20"/>
                <w:szCs w:val="20"/>
              </w:rPr>
            </w:r>
            <w:r>
              <w:rPr>
                <w:sz w:val="20"/>
                <w:szCs w:val="20"/>
              </w:rPr>
            </w:r>
          </w:p>
        </w:tc>
      </w:tr>
      <w:tr>
        <w:tblPrEx/>
        <w:trPr>
          <w:trHeight w:val="75"/>
        </w:trPr>
        <w:tc>
          <w:tcPr>
            <w:shd w:val="clear" w:color="auto" w:fill="auto"/>
            <w:tcW w:w="164" w:type="pct"/>
            <w:vAlign w:val="center"/>
            <w:textDirection w:val="lrTb"/>
            <w:noWrap w:val="false"/>
          </w:tcPr>
          <w:p>
            <w:pPr>
              <w:jc w:val="center"/>
              <w:rPr>
                <w:sz w:val="20"/>
                <w:szCs w:val="20"/>
              </w:rPr>
            </w:pPr>
            <w:r>
              <w:rPr>
                <w:sz w:val="20"/>
                <w:szCs w:val="20"/>
              </w:rPr>
              <w:t xml:space="preserve">6</w:t>
            </w:r>
            <w:r>
              <w:rPr>
                <w:sz w:val="20"/>
                <w:szCs w:val="20"/>
              </w:rPr>
            </w:r>
            <w:r>
              <w:rPr>
                <w:sz w:val="20"/>
                <w:szCs w:val="20"/>
              </w:rPr>
            </w:r>
          </w:p>
        </w:tc>
        <w:tc>
          <w:tcPr>
            <w:shd w:val="clear" w:color="auto" w:fill="auto"/>
            <w:tcW w:w="2615" w:type="pct"/>
            <w:vAlign w:val="center"/>
            <w:textDirection w:val="lrTb"/>
            <w:noWrap w:val="false"/>
          </w:tcPr>
          <w:p>
            <w:pPr>
              <w:rPr>
                <w:sz w:val="20"/>
                <w:szCs w:val="20"/>
              </w:rPr>
            </w:pPr>
            <w:r>
              <w:rPr>
                <w:sz w:val="20"/>
                <w:szCs w:val="20"/>
              </w:rPr>
              <w:t xml:space="preserve">Количество баков-аккумуляторов теплоносителя, шт.</w:t>
            </w:r>
            <w:r>
              <w:rPr>
                <w:sz w:val="20"/>
                <w:szCs w:val="20"/>
              </w:rPr>
            </w:r>
            <w:r>
              <w:rPr>
                <w:sz w:val="20"/>
                <w:szCs w:val="20"/>
              </w:rPr>
            </w:r>
          </w:p>
        </w:tc>
        <w:tc>
          <w:tcPr>
            <w:shd w:val="clear" w:color="auto" w:fill="auto"/>
            <w:tcW w:w="372"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69" w:type="pct"/>
            <w:textDirection w:val="lrTb"/>
            <w:noWrap w:val="false"/>
          </w:tcPr>
          <w:p>
            <w:pPr>
              <w:jc w:val="center"/>
              <w:rPr>
                <w:sz w:val="20"/>
                <w:szCs w:val="20"/>
              </w:rPr>
            </w:pPr>
            <w:r>
              <w:rPr>
                <w:sz w:val="20"/>
                <w:szCs w:val="20"/>
              </w:rPr>
              <w:t xml:space="preserve">-</w:t>
            </w:r>
            <w:r>
              <w:rPr>
                <w:sz w:val="20"/>
                <w:szCs w:val="20"/>
              </w:rPr>
            </w:r>
            <w:r>
              <w:rPr>
                <w:sz w:val="20"/>
                <w:szCs w:val="20"/>
              </w:rPr>
            </w:r>
          </w:p>
        </w:tc>
      </w:tr>
      <w:tr>
        <w:tblPrEx/>
        <w:trPr>
          <w:trHeight w:val="75"/>
        </w:trPr>
        <w:tc>
          <w:tcPr>
            <w:shd w:val="clear" w:color="auto" w:fill="auto"/>
            <w:tcW w:w="164" w:type="pct"/>
            <w:vAlign w:val="center"/>
            <w:textDirection w:val="lrTb"/>
            <w:noWrap w:val="false"/>
          </w:tcPr>
          <w:p>
            <w:pPr>
              <w:jc w:val="center"/>
              <w:rPr>
                <w:sz w:val="20"/>
                <w:szCs w:val="20"/>
              </w:rPr>
            </w:pPr>
            <w:r>
              <w:rPr>
                <w:sz w:val="20"/>
                <w:szCs w:val="20"/>
              </w:rPr>
              <w:t xml:space="preserve">7</w:t>
            </w:r>
            <w:r>
              <w:rPr>
                <w:sz w:val="20"/>
                <w:szCs w:val="20"/>
              </w:rPr>
            </w:r>
            <w:r>
              <w:rPr>
                <w:sz w:val="20"/>
                <w:szCs w:val="20"/>
              </w:rPr>
            </w:r>
          </w:p>
        </w:tc>
        <w:tc>
          <w:tcPr>
            <w:shd w:val="clear" w:color="auto" w:fill="auto"/>
            <w:tcW w:w="2615" w:type="pct"/>
            <w:vAlign w:val="center"/>
            <w:textDirection w:val="lrTb"/>
            <w:noWrap w:val="false"/>
          </w:tcPr>
          <w:p>
            <w:pPr>
              <w:rPr>
                <w:sz w:val="20"/>
                <w:szCs w:val="20"/>
              </w:rPr>
            </w:pPr>
            <w:r>
              <w:rPr>
                <w:sz w:val="20"/>
                <w:szCs w:val="20"/>
              </w:rPr>
              <w:t xml:space="preserve">Емкость баков аккумуляторов, тыс. м3</w:t>
            </w:r>
            <w:r>
              <w:rPr>
                <w:sz w:val="20"/>
                <w:szCs w:val="20"/>
              </w:rPr>
            </w:r>
            <w:r>
              <w:rPr>
                <w:sz w:val="20"/>
                <w:szCs w:val="20"/>
              </w:rPr>
            </w:r>
          </w:p>
        </w:tc>
        <w:tc>
          <w:tcPr>
            <w:shd w:val="clear" w:color="auto" w:fill="auto"/>
            <w:tcW w:w="372"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69" w:type="pct"/>
            <w:textDirection w:val="lrTb"/>
            <w:noWrap w:val="false"/>
          </w:tcPr>
          <w:p>
            <w:pPr>
              <w:jc w:val="center"/>
              <w:rPr>
                <w:sz w:val="20"/>
                <w:szCs w:val="20"/>
              </w:rPr>
            </w:pPr>
            <w:r>
              <w:rPr>
                <w:sz w:val="20"/>
                <w:szCs w:val="20"/>
              </w:rPr>
              <w:t xml:space="preserve">-</w:t>
            </w:r>
            <w:r>
              <w:rPr>
                <w:sz w:val="20"/>
                <w:szCs w:val="20"/>
              </w:rPr>
            </w:r>
            <w:r>
              <w:rPr>
                <w:sz w:val="20"/>
                <w:szCs w:val="20"/>
              </w:rPr>
            </w:r>
          </w:p>
        </w:tc>
      </w:tr>
      <w:tr>
        <w:tblPrEx/>
        <w:trPr>
          <w:trHeight w:val="85"/>
        </w:trPr>
        <w:tc>
          <w:tcPr>
            <w:shd w:val="clear" w:color="auto" w:fill="auto"/>
            <w:tcW w:w="164" w:type="pct"/>
            <w:vAlign w:val="center"/>
            <w:textDirection w:val="lrTb"/>
            <w:noWrap w:val="false"/>
          </w:tcPr>
          <w:p>
            <w:pPr>
              <w:jc w:val="center"/>
              <w:rPr>
                <w:sz w:val="20"/>
                <w:szCs w:val="20"/>
              </w:rPr>
            </w:pPr>
            <w:r>
              <w:rPr>
                <w:sz w:val="20"/>
                <w:szCs w:val="20"/>
              </w:rPr>
              <w:t xml:space="preserve">8</w:t>
            </w:r>
            <w:r>
              <w:rPr>
                <w:sz w:val="20"/>
                <w:szCs w:val="20"/>
              </w:rPr>
            </w:r>
            <w:r>
              <w:rPr>
                <w:sz w:val="20"/>
                <w:szCs w:val="20"/>
              </w:rPr>
            </w:r>
          </w:p>
        </w:tc>
        <w:tc>
          <w:tcPr>
            <w:shd w:val="clear" w:color="auto" w:fill="auto"/>
            <w:tcW w:w="2615" w:type="pct"/>
            <w:vAlign w:val="center"/>
            <w:textDirection w:val="lrTb"/>
            <w:noWrap w:val="false"/>
          </w:tcPr>
          <w:p>
            <w:pPr>
              <w:rPr>
                <w:sz w:val="20"/>
                <w:szCs w:val="20"/>
              </w:rPr>
            </w:pPr>
            <w:r>
              <w:rPr>
                <w:sz w:val="20"/>
                <w:szCs w:val="20"/>
              </w:rPr>
              <w:t xml:space="preserve">Требуемая расчетная производительность водоподготовительной установки (0,75% V), м3/ч</w:t>
            </w:r>
            <w:r>
              <w:rPr>
                <w:sz w:val="20"/>
                <w:szCs w:val="20"/>
              </w:rPr>
            </w:r>
            <w:r>
              <w:rPr>
                <w:sz w:val="20"/>
                <w:szCs w:val="20"/>
              </w:rPr>
            </w:r>
          </w:p>
        </w:tc>
        <w:tc>
          <w:tcPr>
            <w:shd w:val="clear" w:color="auto" w:fill="auto"/>
            <w:tcW w:w="372" w:type="pct"/>
            <w:vAlign w:val="center"/>
            <w:textDirection w:val="lrTb"/>
            <w:noWrap w:val="false"/>
          </w:tcPr>
          <w:p>
            <w:pPr>
              <w:jc w:val="center"/>
              <w:rPr>
                <w:sz w:val="20"/>
                <w:szCs w:val="20"/>
              </w:rPr>
            </w:pPr>
            <w:r>
              <w:rPr>
                <w:sz w:val="20"/>
                <w:szCs w:val="20"/>
              </w:rPr>
              <w:t xml:space="preserve">2,336</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2,336</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2,336</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2,336</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2,336</w:t>
            </w:r>
            <w:r>
              <w:rPr>
                <w:sz w:val="20"/>
                <w:szCs w:val="20"/>
              </w:rPr>
            </w:r>
            <w:r>
              <w:rPr>
                <w:sz w:val="20"/>
                <w:szCs w:val="20"/>
              </w:rPr>
            </w:r>
          </w:p>
        </w:tc>
        <w:tc>
          <w:tcPr>
            <w:tcW w:w="369" w:type="pct"/>
            <w:vAlign w:val="center"/>
            <w:textDirection w:val="lrTb"/>
            <w:noWrap w:val="false"/>
          </w:tcPr>
          <w:p>
            <w:pPr>
              <w:jc w:val="center"/>
              <w:rPr>
                <w:sz w:val="20"/>
                <w:szCs w:val="20"/>
              </w:rPr>
            </w:pPr>
            <w:r>
              <w:rPr>
                <w:sz w:val="20"/>
                <w:szCs w:val="20"/>
              </w:rPr>
              <w:t xml:space="preserve">2,336</w:t>
            </w:r>
            <w:r>
              <w:rPr>
                <w:sz w:val="20"/>
                <w:szCs w:val="20"/>
              </w:rPr>
            </w:r>
            <w:r>
              <w:rPr>
                <w:sz w:val="20"/>
                <w:szCs w:val="20"/>
              </w:rPr>
            </w:r>
          </w:p>
        </w:tc>
      </w:tr>
      <w:tr>
        <w:tblPrEx/>
        <w:trPr>
          <w:trHeight w:val="85"/>
        </w:trPr>
        <w:tc>
          <w:tcPr>
            <w:shd w:val="clear" w:color="auto" w:fill="auto"/>
            <w:tcW w:w="164" w:type="pct"/>
            <w:vAlign w:val="center"/>
            <w:textDirection w:val="lrTb"/>
            <w:noWrap w:val="false"/>
          </w:tcPr>
          <w:p>
            <w:pPr>
              <w:jc w:val="center"/>
              <w:rPr>
                <w:sz w:val="20"/>
                <w:szCs w:val="20"/>
              </w:rPr>
            </w:pPr>
            <w:r>
              <w:rPr>
                <w:sz w:val="20"/>
                <w:szCs w:val="20"/>
              </w:rPr>
              <w:t xml:space="preserve">9</w:t>
            </w:r>
            <w:r>
              <w:rPr>
                <w:sz w:val="20"/>
                <w:szCs w:val="20"/>
              </w:rPr>
            </w:r>
            <w:r>
              <w:rPr>
                <w:sz w:val="20"/>
                <w:szCs w:val="20"/>
              </w:rPr>
            </w:r>
          </w:p>
        </w:tc>
        <w:tc>
          <w:tcPr>
            <w:shd w:val="clear" w:color="auto" w:fill="auto"/>
            <w:tcW w:w="2615" w:type="pct"/>
            <w:vAlign w:val="center"/>
            <w:textDirection w:val="lrTb"/>
            <w:noWrap w:val="false"/>
          </w:tcPr>
          <w:p>
            <w:pPr>
              <w:rPr>
                <w:sz w:val="20"/>
                <w:szCs w:val="20"/>
              </w:rPr>
            </w:pPr>
            <w:r>
              <w:rPr>
                <w:sz w:val="20"/>
                <w:szCs w:val="20"/>
              </w:rPr>
              <w:t xml:space="preserve">Всего подпитка тепловой сети, м3/ч, в том числе:</w:t>
            </w:r>
            <w:r>
              <w:rPr>
                <w:sz w:val="20"/>
                <w:szCs w:val="20"/>
              </w:rPr>
            </w:r>
            <w:r>
              <w:rPr>
                <w:sz w:val="20"/>
                <w:szCs w:val="20"/>
              </w:rPr>
            </w:r>
          </w:p>
        </w:tc>
        <w:tc>
          <w:tcPr>
            <w:shd w:val="clear" w:color="auto" w:fill="auto"/>
            <w:tcW w:w="372" w:type="pct"/>
            <w:vAlign w:val="center"/>
            <w:textDirection w:val="lrTb"/>
            <w:noWrap w:val="false"/>
          </w:tcPr>
          <w:p>
            <w:pPr>
              <w:jc w:val="center"/>
              <w:rPr>
                <w:sz w:val="20"/>
                <w:szCs w:val="20"/>
              </w:rPr>
            </w:pPr>
            <w:r>
              <w:rPr>
                <w:sz w:val="20"/>
                <w:szCs w:val="20"/>
              </w:rPr>
              <w:t xml:space="preserve">0,779</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0,779</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0,779</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0,779</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0,779</w:t>
            </w:r>
            <w:r>
              <w:rPr>
                <w:sz w:val="20"/>
                <w:szCs w:val="20"/>
              </w:rPr>
            </w:r>
            <w:r>
              <w:rPr>
                <w:sz w:val="20"/>
                <w:szCs w:val="20"/>
              </w:rPr>
            </w:r>
          </w:p>
        </w:tc>
        <w:tc>
          <w:tcPr>
            <w:tcW w:w="369" w:type="pct"/>
            <w:vAlign w:val="center"/>
            <w:textDirection w:val="lrTb"/>
            <w:noWrap w:val="false"/>
          </w:tcPr>
          <w:p>
            <w:pPr>
              <w:jc w:val="center"/>
              <w:rPr>
                <w:sz w:val="20"/>
                <w:szCs w:val="20"/>
              </w:rPr>
            </w:pPr>
            <w:r>
              <w:rPr>
                <w:sz w:val="20"/>
                <w:szCs w:val="20"/>
              </w:rPr>
              <w:t xml:space="preserve">0,779</w:t>
            </w:r>
            <w:r>
              <w:rPr>
                <w:sz w:val="20"/>
                <w:szCs w:val="20"/>
              </w:rPr>
            </w:r>
            <w:r>
              <w:rPr>
                <w:sz w:val="20"/>
                <w:szCs w:val="20"/>
              </w:rPr>
            </w:r>
          </w:p>
        </w:tc>
      </w:tr>
      <w:tr>
        <w:tblPrEx/>
        <w:trPr>
          <w:trHeight w:val="85"/>
        </w:trPr>
        <w:tc>
          <w:tcPr>
            <w:shd w:val="clear" w:color="auto" w:fill="auto"/>
            <w:tcW w:w="164" w:type="pct"/>
            <w:vAlign w:val="center"/>
            <w:textDirection w:val="lrTb"/>
            <w:noWrap w:val="false"/>
          </w:tcPr>
          <w:p>
            <w:pPr>
              <w:jc w:val="center"/>
              <w:rPr>
                <w:sz w:val="20"/>
                <w:szCs w:val="20"/>
              </w:rPr>
            </w:pPr>
            <w:r>
              <w:rPr>
                <w:sz w:val="20"/>
                <w:szCs w:val="20"/>
              </w:rPr>
              <w:t xml:space="preserve">9.1</w:t>
            </w:r>
            <w:r>
              <w:rPr>
                <w:sz w:val="20"/>
                <w:szCs w:val="20"/>
              </w:rPr>
            </w:r>
            <w:r>
              <w:rPr>
                <w:sz w:val="20"/>
                <w:szCs w:val="20"/>
              </w:rPr>
            </w:r>
          </w:p>
        </w:tc>
        <w:tc>
          <w:tcPr>
            <w:shd w:val="clear" w:color="auto" w:fill="auto"/>
            <w:tcW w:w="2615" w:type="pct"/>
            <w:vAlign w:val="center"/>
            <w:textDirection w:val="lrTb"/>
            <w:noWrap w:val="false"/>
          </w:tcPr>
          <w:p>
            <w:pPr>
              <w:rPr>
                <w:sz w:val="20"/>
                <w:szCs w:val="20"/>
              </w:rPr>
            </w:pPr>
            <w:r>
              <w:rPr>
                <w:sz w:val="20"/>
                <w:szCs w:val="20"/>
              </w:rPr>
              <w:t xml:space="preserve">- нормативные утечки теплоносителя (0,25% V), м3/ч</w:t>
            </w:r>
            <w:r>
              <w:rPr>
                <w:sz w:val="20"/>
                <w:szCs w:val="20"/>
              </w:rPr>
            </w:r>
            <w:r>
              <w:rPr>
                <w:sz w:val="20"/>
                <w:szCs w:val="20"/>
              </w:rPr>
            </w:r>
          </w:p>
        </w:tc>
        <w:tc>
          <w:tcPr>
            <w:shd w:val="clear" w:color="auto" w:fill="auto"/>
            <w:tcW w:w="372" w:type="pct"/>
            <w:vAlign w:val="center"/>
            <w:textDirection w:val="lrTb"/>
            <w:noWrap w:val="false"/>
          </w:tcPr>
          <w:p>
            <w:pPr>
              <w:jc w:val="center"/>
              <w:rPr>
                <w:sz w:val="20"/>
                <w:szCs w:val="20"/>
              </w:rPr>
            </w:pPr>
            <w:r>
              <w:rPr>
                <w:sz w:val="20"/>
                <w:szCs w:val="20"/>
              </w:rPr>
              <w:t xml:space="preserve">0,779</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0,779</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0,779</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0,779</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0,779</w:t>
            </w:r>
            <w:r>
              <w:rPr>
                <w:sz w:val="20"/>
                <w:szCs w:val="20"/>
              </w:rPr>
            </w:r>
            <w:r>
              <w:rPr>
                <w:sz w:val="20"/>
                <w:szCs w:val="20"/>
              </w:rPr>
            </w:r>
          </w:p>
        </w:tc>
        <w:tc>
          <w:tcPr>
            <w:tcW w:w="369" w:type="pct"/>
            <w:vAlign w:val="center"/>
            <w:textDirection w:val="lrTb"/>
            <w:noWrap w:val="false"/>
          </w:tcPr>
          <w:p>
            <w:pPr>
              <w:jc w:val="center"/>
              <w:rPr>
                <w:sz w:val="20"/>
                <w:szCs w:val="20"/>
              </w:rPr>
            </w:pPr>
            <w:r>
              <w:rPr>
                <w:sz w:val="20"/>
                <w:szCs w:val="20"/>
              </w:rPr>
              <w:t xml:space="preserve">0,779</w:t>
            </w:r>
            <w:r>
              <w:rPr>
                <w:sz w:val="20"/>
                <w:szCs w:val="20"/>
              </w:rPr>
            </w:r>
            <w:r>
              <w:rPr>
                <w:sz w:val="20"/>
                <w:szCs w:val="20"/>
              </w:rPr>
            </w:r>
          </w:p>
        </w:tc>
      </w:tr>
      <w:tr>
        <w:tblPrEx/>
        <w:trPr>
          <w:trHeight w:val="85"/>
        </w:trPr>
        <w:tc>
          <w:tcPr>
            <w:shd w:val="clear" w:color="auto" w:fill="auto"/>
            <w:tcW w:w="164" w:type="pct"/>
            <w:vAlign w:val="center"/>
            <w:textDirection w:val="lrTb"/>
            <w:noWrap w:val="false"/>
          </w:tcPr>
          <w:p>
            <w:pPr>
              <w:jc w:val="center"/>
              <w:rPr>
                <w:sz w:val="20"/>
                <w:szCs w:val="20"/>
              </w:rPr>
            </w:pPr>
            <w:r>
              <w:rPr>
                <w:sz w:val="20"/>
                <w:szCs w:val="20"/>
              </w:rPr>
              <w:t xml:space="preserve">9.2</w:t>
            </w:r>
            <w:r>
              <w:rPr>
                <w:sz w:val="20"/>
                <w:szCs w:val="20"/>
              </w:rPr>
            </w:r>
            <w:r>
              <w:rPr>
                <w:sz w:val="20"/>
                <w:szCs w:val="20"/>
              </w:rPr>
            </w:r>
          </w:p>
        </w:tc>
        <w:tc>
          <w:tcPr>
            <w:shd w:val="clear" w:color="auto" w:fill="auto"/>
            <w:tcW w:w="2615" w:type="pct"/>
            <w:vAlign w:val="center"/>
            <w:textDirection w:val="lrTb"/>
            <w:noWrap w:val="false"/>
          </w:tcPr>
          <w:p>
            <w:pPr>
              <w:rPr>
                <w:sz w:val="20"/>
                <w:szCs w:val="20"/>
              </w:rPr>
            </w:pPr>
            <w:r>
              <w:rPr>
                <w:sz w:val="20"/>
                <w:szCs w:val="20"/>
              </w:rPr>
              <w:t xml:space="preserve">- сверхнормативные утечки теплоносителя, м3/ч</w:t>
            </w:r>
            <w:r>
              <w:rPr>
                <w:sz w:val="20"/>
                <w:szCs w:val="20"/>
              </w:rPr>
            </w:r>
            <w:r>
              <w:rPr>
                <w:sz w:val="20"/>
                <w:szCs w:val="20"/>
              </w:rPr>
            </w:r>
          </w:p>
        </w:tc>
        <w:tc>
          <w:tcPr>
            <w:shd w:val="clear" w:color="auto" w:fill="auto"/>
            <w:tcW w:w="372" w:type="pct"/>
            <w:vAlign w:val="center"/>
            <w:textDirection w:val="lrTb"/>
            <w:noWrap w:val="false"/>
          </w:tcPr>
          <w:p>
            <w:pPr>
              <w:jc w:val="center"/>
              <w:rPr>
                <w:sz w:val="20"/>
                <w:szCs w:val="20"/>
              </w:rPr>
            </w:pPr>
            <w:r>
              <w:rPr>
                <w:sz w:val="20"/>
                <w:szCs w:val="20"/>
              </w:rPr>
              <w:t xml:space="preserve">0</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w:t>
            </w:r>
            <w:r>
              <w:rPr>
                <w:sz w:val="20"/>
                <w:szCs w:val="20"/>
              </w:rPr>
            </w:r>
            <w:r>
              <w:rPr>
                <w:sz w:val="20"/>
                <w:szCs w:val="20"/>
              </w:rPr>
            </w:r>
          </w:p>
        </w:tc>
        <w:tc>
          <w:tcPr>
            <w:tcW w:w="369" w:type="pct"/>
            <w:vAlign w:val="center"/>
            <w:textDirection w:val="lrTb"/>
            <w:noWrap w:val="false"/>
          </w:tcPr>
          <w:p>
            <w:pPr>
              <w:jc w:val="center"/>
              <w:rPr>
                <w:sz w:val="20"/>
                <w:szCs w:val="20"/>
              </w:rPr>
            </w:pPr>
            <w:r>
              <w:rPr>
                <w:sz w:val="20"/>
                <w:szCs w:val="20"/>
              </w:rPr>
              <w:t xml:space="preserve">0</w:t>
            </w:r>
            <w:r>
              <w:rPr>
                <w:sz w:val="20"/>
                <w:szCs w:val="20"/>
              </w:rPr>
            </w:r>
            <w:r>
              <w:rPr>
                <w:sz w:val="20"/>
                <w:szCs w:val="20"/>
              </w:rPr>
            </w:r>
          </w:p>
        </w:tc>
      </w:tr>
      <w:tr>
        <w:tblPrEx/>
        <w:trPr>
          <w:trHeight w:val="257"/>
        </w:trPr>
        <w:tc>
          <w:tcPr>
            <w:shd w:val="clear" w:color="auto" w:fill="auto"/>
            <w:tcW w:w="164" w:type="pct"/>
            <w:vAlign w:val="center"/>
            <w:textDirection w:val="lrTb"/>
            <w:noWrap w:val="false"/>
          </w:tcPr>
          <w:p>
            <w:pPr>
              <w:jc w:val="center"/>
              <w:rPr>
                <w:sz w:val="20"/>
                <w:szCs w:val="20"/>
              </w:rPr>
            </w:pPr>
            <w:r>
              <w:rPr>
                <w:sz w:val="20"/>
                <w:szCs w:val="20"/>
              </w:rPr>
              <w:t xml:space="preserve">9.3</w:t>
            </w:r>
            <w:r>
              <w:rPr>
                <w:sz w:val="20"/>
                <w:szCs w:val="20"/>
              </w:rPr>
            </w:r>
            <w:r>
              <w:rPr>
                <w:sz w:val="20"/>
                <w:szCs w:val="20"/>
              </w:rPr>
            </w:r>
          </w:p>
        </w:tc>
        <w:tc>
          <w:tcPr>
            <w:shd w:val="clear" w:color="auto" w:fill="auto"/>
            <w:tcW w:w="2615" w:type="pct"/>
            <w:vAlign w:val="center"/>
            <w:textDirection w:val="lrTb"/>
            <w:noWrap w:val="false"/>
          </w:tcPr>
          <w:p>
            <w:pPr>
              <w:rPr>
                <w:sz w:val="20"/>
                <w:szCs w:val="20"/>
              </w:rPr>
            </w:pPr>
            <w:r>
              <w:rPr>
                <w:sz w:val="20"/>
                <w:szCs w:val="20"/>
              </w:rPr>
              <w:t xml:space="preserve">- отпуск теплоносителя из тепловых сетей на цели горячего водоснабжения (для открытых систем теплоснабжения), т/ч</w:t>
            </w:r>
            <w:r>
              <w:rPr>
                <w:sz w:val="20"/>
                <w:szCs w:val="20"/>
              </w:rPr>
            </w:r>
            <w:r>
              <w:rPr>
                <w:sz w:val="20"/>
                <w:szCs w:val="20"/>
              </w:rPr>
            </w:r>
          </w:p>
        </w:tc>
        <w:tc>
          <w:tcPr>
            <w:shd w:val="clear" w:color="auto" w:fill="auto"/>
            <w:tcW w:w="372" w:type="pct"/>
            <w:vAlign w:val="center"/>
            <w:textDirection w:val="lrTb"/>
            <w:noWrap w:val="false"/>
          </w:tcPr>
          <w:p>
            <w:pPr>
              <w:jc w:val="center"/>
              <w:rPr>
                <w:sz w:val="20"/>
                <w:szCs w:val="20"/>
              </w:rPr>
            </w:pPr>
            <w:r>
              <w:rPr>
                <w:sz w:val="20"/>
                <w:szCs w:val="20"/>
              </w:rPr>
              <w:t xml:space="preserve">0</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w:t>
            </w:r>
            <w:r>
              <w:rPr>
                <w:sz w:val="20"/>
                <w:szCs w:val="20"/>
              </w:rPr>
            </w:r>
            <w:r>
              <w:rPr>
                <w:sz w:val="20"/>
                <w:szCs w:val="20"/>
              </w:rPr>
            </w:r>
          </w:p>
        </w:tc>
        <w:tc>
          <w:tcPr>
            <w:tcW w:w="369" w:type="pct"/>
            <w:vAlign w:val="center"/>
            <w:textDirection w:val="lrTb"/>
            <w:noWrap w:val="false"/>
          </w:tcPr>
          <w:p>
            <w:pPr>
              <w:jc w:val="center"/>
              <w:rPr>
                <w:sz w:val="20"/>
                <w:szCs w:val="20"/>
              </w:rPr>
            </w:pPr>
            <w:r>
              <w:rPr>
                <w:sz w:val="20"/>
                <w:szCs w:val="20"/>
              </w:rPr>
              <w:t xml:space="preserve">0</w:t>
            </w:r>
            <w:r>
              <w:rPr>
                <w:sz w:val="20"/>
                <w:szCs w:val="20"/>
              </w:rPr>
            </w:r>
            <w:r>
              <w:rPr>
                <w:sz w:val="20"/>
                <w:szCs w:val="20"/>
              </w:rPr>
            </w:r>
          </w:p>
        </w:tc>
      </w:tr>
      <w:tr>
        <w:tblPrEx/>
        <w:trPr>
          <w:trHeight w:val="70"/>
        </w:trPr>
        <w:tc>
          <w:tcPr>
            <w:shd w:val="clear" w:color="auto" w:fill="auto"/>
            <w:tcW w:w="164" w:type="pct"/>
            <w:vAlign w:val="center"/>
            <w:textDirection w:val="lrTb"/>
            <w:noWrap w:val="false"/>
          </w:tcPr>
          <w:p>
            <w:pPr>
              <w:jc w:val="center"/>
              <w:rPr>
                <w:sz w:val="20"/>
                <w:szCs w:val="20"/>
              </w:rPr>
            </w:pPr>
            <w:r>
              <w:rPr>
                <w:sz w:val="20"/>
                <w:szCs w:val="20"/>
              </w:rPr>
              <w:t xml:space="preserve">10</w:t>
            </w:r>
            <w:r>
              <w:rPr>
                <w:sz w:val="20"/>
                <w:szCs w:val="20"/>
              </w:rPr>
            </w:r>
            <w:r>
              <w:rPr>
                <w:sz w:val="20"/>
                <w:szCs w:val="20"/>
              </w:rPr>
            </w:r>
          </w:p>
        </w:tc>
        <w:tc>
          <w:tcPr>
            <w:shd w:val="clear" w:color="auto" w:fill="auto"/>
            <w:tcW w:w="2615" w:type="pct"/>
            <w:vAlign w:val="center"/>
            <w:textDirection w:val="lrTb"/>
            <w:noWrap w:val="false"/>
          </w:tcPr>
          <w:p>
            <w:pPr>
              <w:rPr>
                <w:sz w:val="20"/>
                <w:szCs w:val="20"/>
              </w:rPr>
            </w:pPr>
            <w:r>
              <w:rPr>
                <w:sz w:val="20"/>
                <w:szCs w:val="20"/>
              </w:rPr>
              <w:t xml:space="preserve">Максимальная подпитка тепловой сети в период повреждения участка (2% V), м3/ч</w:t>
            </w:r>
            <w:r>
              <w:rPr>
                <w:sz w:val="20"/>
                <w:szCs w:val="20"/>
              </w:rPr>
            </w:r>
            <w:r>
              <w:rPr>
                <w:sz w:val="20"/>
                <w:szCs w:val="20"/>
              </w:rPr>
            </w:r>
          </w:p>
        </w:tc>
        <w:tc>
          <w:tcPr>
            <w:shd w:val="clear" w:color="auto" w:fill="auto"/>
            <w:tcW w:w="372" w:type="pct"/>
            <w:vAlign w:val="center"/>
            <w:textDirection w:val="lrTb"/>
            <w:noWrap w:val="false"/>
          </w:tcPr>
          <w:p>
            <w:pPr>
              <w:jc w:val="center"/>
              <w:rPr>
                <w:sz w:val="20"/>
                <w:szCs w:val="20"/>
              </w:rPr>
            </w:pPr>
            <w:r>
              <w:rPr>
                <w:sz w:val="20"/>
                <w:szCs w:val="20"/>
              </w:rPr>
              <w:t xml:space="preserve">6,370</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6,370</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6,370</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6,370</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6,370</w:t>
            </w:r>
            <w:r>
              <w:rPr>
                <w:sz w:val="20"/>
                <w:szCs w:val="20"/>
              </w:rPr>
            </w:r>
            <w:r>
              <w:rPr>
                <w:sz w:val="20"/>
                <w:szCs w:val="20"/>
              </w:rPr>
            </w:r>
          </w:p>
        </w:tc>
        <w:tc>
          <w:tcPr>
            <w:tcW w:w="369" w:type="pct"/>
            <w:vAlign w:val="center"/>
            <w:textDirection w:val="lrTb"/>
            <w:noWrap w:val="false"/>
          </w:tcPr>
          <w:p>
            <w:pPr>
              <w:jc w:val="center"/>
              <w:rPr>
                <w:sz w:val="20"/>
                <w:szCs w:val="20"/>
              </w:rPr>
            </w:pPr>
            <w:r>
              <w:rPr>
                <w:sz w:val="20"/>
                <w:szCs w:val="20"/>
              </w:rPr>
              <w:t xml:space="preserve">6,370</w:t>
            </w:r>
            <w:r>
              <w:rPr>
                <w:sz w:val="20"/>
                <w:szCs w:val="20"/>
              </w:rPr>
            </w:r>
            <w:r>
              <w:rPr>
                <w:sz w:val="20"/>
                <w:szCs w:val="20"/>
              </w:rPr>
            </w:r>
          </w:p>
        </w:tc>
      </w:tr>
      <w:tr>
        <w:tblPrEx/>
        <w:trPr>
          <w:trHeight w:val="85"/>
        </w:trPr>
        <w:tc>
          <w:tcPr>
            <w:shd w:val="clear" w:color="auto" w:fill="auto"/>
            <w:tcW w:w="164" w:type="pct"/>
            <w:vAlign w:val="center"/>
            <w:textDirection w:val="lrTb"/>
            <w:noWrap w:val="false"/>
          </w:tcPr>
          <w:p>
            <w:pPr>
              <w:jc w:val="center"/>
              <w:rPr>
                <w:sz w:val="20"/>
                <w:szCs w:val="20"/>
              </w:rPr>
            </w:pPr>
            <w:r>
              <w:rPr>
                <w:sz w:val="20"/>
                <w:szCs w:val="20"/>
              </w:rPr>
              <w:t xml:space="preserve">11</w:t>
            </w:r>
            <w:r>
              <w:rPr>
                <w:sz w:val="20"/>
                <w:szCs w:val="20"/>
              </w:rPr>
            </w:r>
            <w:r>
              <w:rPr>
                <w:sz w:val="20"/>
                <w:szCs w:val="20"/>
              </w:rPr>
            </w:r>
          </w:p>
        </w:tc>
        <w:tc>
          <w:tcPr>
            <w:shd w:val="clear" w:color="auto" w:fill="auto"/>
            <w:tcW w:w="2615" w:type="pct"/>
            <w:vAlign w:val="center"/>
            <w:textDirection w:val="lrTb"/>
            <w:noWrap w:val="false"/>
          </w:tcPr>
          <w:p>
            <w:pPr>
              <w:rPr>
                <w:sz w:val="20"/>
                <w:szCs w:val="20"/>
              </w:rPr>
            </w:pPr>
            <w:r>
              <w:rPr>
                <w:sz w:val="20"/>
                <w:szCs w:val="20"/>
              </w:rPr>
              <w:t xml:space="preserve">Резерв (+)/дефицит (-), ВПУ,м3/ч</w:t>
            </w:r>
            <w:r>
              <w:rPr>
                <w:sz w:val="20"/>
                <w:szCs w:val="20"/>
              </w:rPr>
            </w:r>
            <w:r>
              <w:rPr>
                <w:sz w:val="20"/>
                <w:szCs w:val="20"/>
              </w:rPr>
            </w:r>
          </w:p>
        </w:tc>
        <w:tc>
          <w:tcPr>
            <w:shd w:val="clear" w:color="auto" w:fill="auto"/>
            <w:tcW w:w="372"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69" w:type="pct"/>
            <w:textDirection w:val="lrTb"/>
            <w:noWrap w:val="false"/>
          </w:tcPr>
          <w:p>
            <w:pPr>
              <w:jc w:val="center"/>
              <w:rPr>
                <w:sz w:val="20"/>
                <w:szCs w:val="20"/>
              </w:rPr>
            </w:pPr>
            <w:r>
              <w:rPr>
                <w:sz w:val="20"/>
                <w:szCs w:val="20"/>
              </w:rPr>
              <w:t xml:space="preserve">-</w:t>
            </w:r>
            <w:r>
              <w:rPr>
                <w:sz w:val="20"/>
                <w:szCs w:val="20"/>
              </w:rPr>
            </w:r>
            <w:r>
              <w:rPr>
                <w:sz w:val="20"/>
                <w:szCs w:val="20"/>
              </w:rPr>
            </w:r>
          </w:p>
        </w:tc>
      </w:tr>
      <w:tr>
        <w:tblPrEx/>
        <w:trPr>
          <w:trHeight w:val="300"/>
        </w:trPr>
        <w:tc>
          <w:tcPr>
            <w:gridSpan w:val="8"/>
            <w:shd w:val="clear" w:color="auto" w:fill="auto"/>
            <w:tcW w:w="5000" w:type="pct"/>
            <w:vAlign w:val="center"/>
            <w:textDirection w:val="lrTb"/>
            <w:noWrap w:val="false"/>
          </w:tcPr>
          <w:p>
            <w:pPr>
              <w:jc w:val="center"/>
              <w:rPr>
                <w:sz w:val="20"/>
                <w:szCs w:val="20"/>
              </w:rPr>
            </w:pPr>
            <w:r>
              <w:rPr>
                <w:sz w:val="20"/>
                <w:szCs w:val="20"/>
              </w:rPr>
              <w:t xml:space="preserve">Котельная </w:t>
            </w:r>
            <w:r>
              <w:rPr>
                <w:rFonts w:ascii="Liberation Serif" w:hAnsi="Liberation Serif" w:cs="Calibri"/>
                <w:color w:val="000000"/>
                <w:sz w:val="20"/>
                <w:szCs w:val="20"/>
              </w:rPr>
              <w:t xml:space="preserve">р.п. Юргамыш, ул. Ленина, 47а</w:t>
            </w:r>
            <w:r>
              <w:rPr>
                <w:sz w:val="20"/>
                <w:szCs w:val="20"/>
              </w:rPr>
            </w:r>
            <w:r>
              <w:rPr>
                <w:sz w:val="20"/>
                <w:szCs w:val="20"/>
              </w:rPr>
            </w:r>
          </w:p>
        </w:tc>
      </w:tr>
      <w:tr>
        <w:tblPrEx/>
        <w:trPr>
          <w:trHeight w:val="75"/>
        </w:trPr>
        <w:tc>
          <w:tcPr>
            <w:shd w:val="clear" w:color="auto" w:fill="auto"/>
            <w:tcW w:w="164" w:type="pct"/>
            <w:vAlign w:val="center"/>
            <w:textDirection w:val="lrTb"/>
            <w:noWrap w:val="false"/>
          </w:tcPr>
          <w:p>
            <w:pPr>
              <w:jc w:val="center"/>
              <w:rPr>
                <w:sz w:val="20"/>
                <w:szCs w:val="20"/>
              </w:rPr>
            </w:pPr>
            <w:r>
              <w:rPr>
                <w:sz w:val="20"/>
                <w:szCs w:val="20"/>
              </w:rPr>
              <w:t xml:space="preserve">1</w:t>
            </w:r>
            <w:r>
              <w:rPr>
                <w:sz w:val="20"/>
                <w:szCs w:val="20"/>
              </w:rPr>
            </w:r>
            <w:r>
              <w:rPr>
                <w:sz w:val="20"/>
                <w:szCs w:val="20"/>
              </w:rPr>
            </w:r>
          </w:p>
        </w:tc>
        <w:tc>
          <w:tcPr>
            <w:shd w:val="clear" w:color="auto" w:fill="auto"/>
            <w:tcW w:w="2615" w:type="pct"/>
            <w:vAlign w:val="center"/>
            <w:textDirection w:val="lrTb"/>
            <w:noWrap w:val="false"/>
          </w:tcPr>
          <w:p>
            <w:pPr>
              <w:rPr>
                <w:sz w:val="20"/>
                <w:szCs w:val="20"/>
              </w:rPr>
            </w:pPr>
            <w:r>
              <w:rPr>
                <w:sz w:val="20"/>
                <w:szCs w:val="20"/>
              </w:rPr>
              <w:t xml:space="preserve">Объем воды в системе теплоснабжения V, м3</w:t>
            </w:r>
            <w:r>
              <w:rPr>
                <w:sz w:val="20"/>
                <w:szCs w:val="20"/>
              </w:rPr>
            </w:r>
            <w:r>
              <w:rPr>
                <w:sz w:val="20"/>
                <w:szCs w:val="20"/>
              </w:rPr>
            </w:r>
          </w:p>
        </w:tc>
        <w:tc>
          <w:tcPr>
            <w:shd w:val="clear" w:color="auto" w:fill="auto"/>
            <w:tcW w:w="372" w:type="pct"/>
            <w:textDirection w:val="lrTb"/>
            <w:noWrap w:val="false"/>
          </w:tcPr>
          <w:p>
            <w:pPr>
              <w:jc w:val="center"/>
              <w:rPr>
                <w:sz w:val="20"/>
                <w:szCs w:val="20"/>
              </w:rPr>
            </w:pPr>
            <w:r>
              <w:rPr>
                <w:sz w:val="20"/>
                <w:szCs w:val="20"/>
              </w:rPr>
              <w:t xml:space="preserve">257,519</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257,519</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257,519</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257,519</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257,519</w:t>
            </w:r>
            <w:r>
              <w:rPr>
                <w:sz w:val="20"/>
                <w:szCs w:val="20"/>
              </w:rPr>
            </w:r>
            <w:r>
              <w:rPr>
                <w:sz w:val="20"/>
                <w:szCs w:val="20"/>
              </w:rPr>
            </w:r>
          </w:p>
        </w:tc>
        <w:tc>
          <w:tcPr>
            <w:tcW w:w="369" w:type="pct"/>
            <w:textDirection w:val="lrTb"/>
            <w:noWrap w:val="false"/>
          </w:tcPr>
          <w:p>
            <w:pPr>
              <w:jc w:val="center"/>
              <w:rPr>
                <w:sz w:val="20"/>
                <w:szCs w:val="20"/>
              </w:rPr>
            </w:pPr>
            <w:r>
              <w:rPr>
                <w:sz w:val="20"/>
                <w:szCs w:val="20"/>
              </w:rPr>
              <w:t xml:space="preserve">257,519</w:t>
            </w:r>
            <w:r>
              <w:rPr>
                <w:sz w:val="20"/>
                <w:szCs w:val="20"/>
              </w:rPr>
            </w:r>
            <w:r>
              <w:rPr>
                <w:sz w:val="20"/>
                <w:szCs w:val="20"/>
              </w:rPr>
            </w:r>
          </w:p>
        </w:tc>
      </w:tr>
      <w:tr>
        <w:tblPrEx/>
        <w:trPr>
          <w:trHeight w:val="75"/>
        </w:trPr>
        <w:tc>
          <w:tcPr>
            <w:shd w:val="clear" w:color="auto" w:fill="auto"/>
            <w:tcW w:w="164" w:type="pct"/>
            <w:vAlign w:val="center"/>
            <w:textDirection w:val="lrTb"/>
            <w:noWrap w:val="false"/>
          </w:tcPr>
          <w:p>
            <w:pPr>
              <w:jc w:val="center"/>
              <w:rPr>
                <w:sz w:val="20"/>
                <w:szCs w:val="20"/>
              </w:rPr>
            </w:pPr>
            <w:r>
              <w:rPr>
                <w:sz w:val="20"/>
                <w:szCs w:val="20"/>
              </w:rPr>
              <w:t xml:space="preserve">2</w:t>
            </w:r>
            <w:r>
              <w:rPr>
                <w:sz w:val="20"/>
                <w:szCs w:val="20"/>
              </w:rPr>
            </w:r>
            <w:r>
              <w:rPr>
                <w:sz w:val="20"/>
                <w:szCs w:val="20"/>
              </w:rPr>
            </w:r>
          </w:p>
        </w:tc>
        <w:tc>
          <w:tcPr>
            <w:shd w:val="clear" w:color="auto" w:fill="auto"/>
            <w:tcW w:w="2615" w:type="pct"/>
            <w:vAlign w:val="center"/>
            <w:textDirection w:val="lrTb"/>
            <w:noWrap w:val="false"/>
          </w:tcPr>
          <w:p>
            <w:pPr>
              <w:rPr>
                <w:sz w:val="20"/>
                <w:szCs w:val="20"/>
              </w:rPr>
            </w:pPr>
            <w:r>
              <w:rPr>
                <w:sz w:val="20"/>
                <w:szCs w:val="20"/>
              </w:rPr>
              <w:t xml:space="preserve">Установленная производительность водоподготовительной установки, м3/ч</w:t>
            </w:r>
            <w:r>
              <w:rPr>
                <w:sz w:val="20"/>
                <w:szCs w:val="20"/>
              </w:rPr>
            </w:r>
            <w:r>
              <w:rPr>
                <w:sz w:val="20"/>
                <w:szCs w:val="20"/>
              </w:rPr>
            </w:r>
          </w:p>
        </w:tc>
        <w:tc>
          <w:tcPr>
            <w:shd w:val="clear" w:color="auto" w:fill="auto"/>
            <w:tcW w:w="372"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69" w:type="pct"/>
            <w:textDirection w:val="lrTb"/>
            <w:noWrap w:val="false"/>
          </w:tcPr>
          <w:p>
            <w:pPr>
              <w:jc w:val="center"/>
              <w:rPr>
                <w:sz w:val="20"/>
                <w:szCs w:val="20"/>
              </w:rPr>
            </w:pPr>
            <w:r>
              <w:rPr>
                <w:sz w:val="20"/>
                <w:szCs w:val="20"/>
              </w:rPr>
              <w:t xml:space="preserve">-</w:t>
            </w:r>
            <w:r>
              <w:rPr>
                <w:sz w:val="20"/>
                <w:szCs w:val="20"/>
              </w:rPr>
            </w:r>
            <w:r>
              <w:rPr>
                <w:sz w:val="20"/>
                <w:szCs w:val="20"/>
              </w:rPr>
            </w:r>
          </w:p>
        </w:tc>
      </w:tr>
      <w:tr>
        <w:tblPrEx/>
        <w:trPr>
          <w:trHeight w:val="75"/>
        </w:trPr>
        <w:tc>
          <w:tcPr>
            <w:shd w:val="clear" w:color="auto" w:fill="auto"/>
            <w:tcW w:w="164" w:type="pct"/>
            <w:vAlign w:val="center"/>
            <w:textDirection w:val="lrTb"/>
            <w:noWrap w:val="false"/>
          </w:tcPr>
          <w:p>
            <w:pPr>
              <w:jc w:val="center"/>
              <w:rPr>
                <w:sz w:val="20"/>
                <w:szCs w:val="20"/>
              </w:rPr>
            </w:pPr>
            <w:r>
              <w:rPr>
                <w:sz w:val="20"/>
                <w:szCs w:val="20"/>
              </w:rPr>
              <w:t xml:space="preserve">3</w:t>
            </w:r>
            <w:r>
              <w:rPr>
                <w:sz w:val="20"/>
                <w:szCs w:val="20"/>
              </w:rPr>
            </w:r>
            <w:r>
              <w:rPr>
                <w:sz w:val="20"/>
                <w:szCs w:val="20"/>
              </w:rPr>
            </w:r>
          </w:p>
        </w:tc>
        <w:tc>
          <w:tcPr>
            <w:shd w:val="clear" w:color="auto" w:fill="auto"/>
            <w:tcW w:w="2615" w:type="pct"/>
            <w:vAlign w:val="center"/>
            <w:textDirection w:val="lrTb"/>
            <w:noWrap w:val="false"/>
          </w:tcPr>
          <w:p>
            <w:pPr>
              <w:rPr>
                <w:sz w:val="20"/>
                <w:szCs w:val="20"/>
              </w:rPr>
            </w:pPr>
            <w:r>
              <w:rPr>
                <w:sz w:val="20"/>
                <w:szCs w:val="20"/>
              </w:rPr>
              <w:t xml:space="preserve">Располагаемая производительность водоподготовительной установки, м3/ч</w:t>
            </w:r>
            <w:r>
              <w:rPr>
                <w:sz w:val="20"/>
                <w:szCs w:val="20"/>
              </w:rPr>
            </w:r>
            <w:r>
              <w:rPr>
                <w:sz w:val="20"/>
                <w:szCs w:val="20"/>
              </w:rPr>
            </w:r>
          </w:p>
        </w:tc>
        <w:tc>
          <w:tcPr>
            <w:shd w:val="clear" w:color="auto" w:fill="auto"/>
            <w:tcW w:w="372"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69" w:type="pct"/>
            <w:textDirection w:val="lrTb"/>
            <w:noWrap w:val="false"/>
          </w:tcPr>
          <w:p>
            <w:pPr>
              <w:jc w:val="center"/>
              <w:rPr>
                <w:sz w:val="20"/>
                <w:szCs w:val="20"/>
              </w:rPr>
            </w:pPr>
            <w:r>
              <w:rPr>
                <w:sz w:val="20"/>
                <w:szCs w:val="20"/>
              </w:rPr>
              <w:t xml:space="preserve">-</w:t>
            </w:r>
            <w:r>
              <w:rPr>
                <w:sz w:val="20"/>
                <w:szCs w:val="20"/>
              </w:rPr>
            </w:r>
            <w:r>
              <w:rPr>
                <w:sz w:val="20"/>
                <w:szCs w:val="20"/>
              </w:rPr>
            </w:r>
          </w:p>
        </w:tc>
      </w:tr>
      <w:tr>
        <w:tblPrEx/>
        <w:trPr>
          <w:trHeight w:val="75"/>
        </w:trPr>
        <w:tc>
          <w:tcPr>
            <w:shd w:val="clear" w:color="auto" w:fill="auto"/>
            <w:tcW w:w="164" w:type="pct"/>
            <w:vAlign w:val="center"/>
            <w:textDirection w:val="lrTb"/>
            <w:noWrap w:val="false"/>
          </w:tcPr>
          <w:p>
            <w:pPr>
              <w:jc w:val="center"/>
              <w:rPr>
                <w:sz w:val="20"/>
                <w:szCs w:val="20"/>
              </w:rPr>
            </w:pPr>
            <w:r>
              <w:rPr>
                <w:sz w:val="20"/>
                <w:szCs w:val="20"/>
              </w:rPr>
              <w:t xml:space="preserve">4</w:t>
            </w:r>
            <w:r>
              <w:rPr>
                <w:sz w:val="20"/>
                <w:szCs w:val="20"/>
              </w:rPr>
            </w:r>
            <w:r>
              <w:rPr>
                <w:sz w:val="20"/>
                <w:szCs w:val="20"/>
              </w:rPr>
            </w:r>
          </w:p>
        </w:tc>
        <w:tc>
          <w:tcPr>
            <w:shd w:val="clear" w:color="auto" w:fill="auto"/>
            <w:tcW w:w="2615" w:type="pct"/>
            <w:vAlign w:val="center"/>
            <w:textDirection w:val="lrTb"/>
            <w:noWrap w:val="false"/>
          </w:tcPr>
          <w:p>
            <w:pPr>
              <w:rPr>
                <w:sz w:val="20"/>
                <w:szCs w:val="20"/>
              </w:rPr>
            </w:pPr>
            <w:r>
              <w:rPr>
                <w:sz w:val="20"/>
                <w:szCs w:val="20"/>
              </w:rPr>
              <w:t xml:space="preserve">Потери располагаемой производительности, %</w:t>
            </w:r>
            <w:r>
              <w:rPr>
                <w:sz w:val="20"/>
                <w:szCs w:val="20"/>
              </w:rPr>
            </w:r>
            <w:r>
              <w:rPr>
                <w:sz w:val="20"/>
                <w:szCs w:val="20"/>
              </w:rPr>
            </w:r>
          </w:p>
        </w:tc>
        <w:tc>
          <w:tcPr>
            <w:shd w:val="clear" w:color="auto" w:fill="auto"/>
            <w:tcW w:w="372"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69" w:type="pct"/>
            <w:textDirection w:val="lrTb"/>
            <w:noWrap w:val="false"/>
          </w:tcPr>
          <w:p>
            <w:pPr>
              <w:jc w:val="center"/>
              <w:rPr>
                <w:sz w:val="20"/>
                <w:szCs w:val="20"/>
              </w:rPr>
            </w:pPr>
            <w:r>
              <w:rPr>
                <w:sz w:val="20"/>
                <w:szCs w:val="20"/>
              </w:rPr>
              <w:t xml:space="preserve">-</w:t>
            </w:r>
            <w:r>
              <w:rPr>
                <w:sz w:val="20"/>
                <w:szCs w:val="20"/>
              </w:rPr>
            </w:r>
            <w:r>
              <w:rPr>
                <w:sz w:val="20"/>
                <w:szCs w:val="20"/>
              </w:rPr>
            </w:r>
          </w:p>
        </w:tc>
      </w:tr>
      <w:tr>
        <w:tblPrEx/>
        <w:trPr>
          <w:trHeight w:val="75"/>
        </w:trPr>
        <w:tc>
          <w:tcPr>
            <w:shd w:val="clear" w:color="auto" w:fill="auto"/>
            <w:tcW w:w="164" w:type="pct"/>
            <w:vAlign w:val="center"/>
            <w:textDirection w:val="lrTb"/>
            <w:noWrap w:val="false"/>
          </w:tcPr>
          <w:p>
            <w:pPr>
              <w:jc w:val="center"/>
              <w:rPr>
                <w:sz w:val="20"/>
                <w:szCs w:val="20"/>
              </w:rPr>
            </w:pPr>
            <w:r>
              <w:rPr>
                <w:sz w:val="20"/>
                <w:szCs w:val="20"/>
              </w:rPr>
              <w:t xml:space="preserve">5</w:t>
            </w:r>
            <w:r>
              <w:rPr>
                <w:sz w:val="20"/>
                <w:szCs w:val="20"/>
              </w:rPr>
            </w:r>
            <w:r>
              <w:rPr>
                <w:sz w:val="20"/>
                <w:szCs w:val="20"/>
              </w:rPr>
            </w:r>
          </w:p>
        </w:tc>
        <w:tc>
          <w:tcPr>
            <w:shd w:val="clear" w:color="auto" w:fill="auto"/>
            <w:tcW w:w="2615" w:type="pct"/>
            <w:vAlign w:val="center"/>
            <w:textDirection w:val="lrTb"/>
            <w:noWrap w:val="false"/>
          </w:tcPr>
          <w:p>
            <w:pPr>
              <w:rPr>
                <w:sz w:val="20"/>
                <w:szCs w:val="20"/>
              </w:rPr>
            </w:pPr>
            <w:r>
              <w:rPr>
                <w:sz w:val="20"/>
                <w:szCs w:val="20"/>
              </w:rPr>
              <w:t xml:space="preserve">Собственные нужды водоподготовительной установки, м3/ч</w:t>
            </w:r>
            <w:r>
              <w:rPr>
                <w:sz w:val="20"/>
                <w:szCs w:val="20"/>
              </w:rPr>
            </w:r>
            <w:r>
              <w:rPr>
                <w:sz w:val="20"/>
                <w:szCs w:val="20"/>
              </w:rPr>
            </w:r>
          </w:p>
        </w:tc>
        <w:tc>
          <w:tcPr>
            <w:shd w:val="clear" w:color="auto" w:fill="auto"/>
            <w:tcW w:w="372"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69" w:type="pct"/>
            <w:textDirection w:val="lrTb"/>
            <w:noWrap w:val="false"/>
          </w:tcPr>
          <w:p>
            <w:pPr>
              <w:jc w:val="center"/>
              <w:rPr>
                <w:sz w:val="20"/>
                <w:szCs w:val="20"/>
              </w:rPr>
            </w:pPr>
            <w:r>
              <w:rPr>
                <w:sz w:val="20"/>
                <w:szCs w:val="20"/>
              </w:rPr>
              <w:t xml:space="preserve">-</w:t>
            </w:r>
            <w:r>
              <w:rPr>
                <w:sz w:val="20"/>
                <w:szCs w:val="20"/>
              </w:rPr>
            </w:r>
            <w:r>
              <w:rPr>
                <w:sz w:val="20"/>
                <w:szCs w:val="20"/>
              </w:rPr>
            </w:r>
          </w:p>
        </w:tc>
      </w:tr>
      <w:tr>
        <w:tblPrEx/>
        <w:trPr>
          <w:trHeight w:val="75"/>
        </w:trPr>
        <w:tc>
          <w:tcPr>
            <w:shd w:val="clear" w:color="auto" w:fill="auto"/>
            <w:tcW w:w="164" w:type="pct"/>
            <w:vAlign w:val="center"/>
            <w:textDirection w:val="lrTb"/>
            <w:noWrap w:val="false"/>
          </w:tcPr>
          <w:p>
            <w:pPr>
              <w:jc w:val="center"/>
              <w:rPr>
                <w:sz w:val="20"/>
                <w:szCs w:val="20"/>
              </w:rPr>
            </w:pPr>
            <w:r>
              <w:rPr>
                <w:sz w:val="20"/>
                <w:szCs w:val="20"/>
              </w:rPr>
              <w:t xml:space="preserve">6</w:t>
            </w:r>
            <w:r>
              <w:rPr>
                <w:sz w:val="20"/>
                <w:szCs w:val="20"/>
              </w:rPr>
            </w:r>
            <w:r>
              <w:rPr>
                <w:sz w:val="20"/>
                <w:szCs w:val="20"/>
              </w:rPr>
            </w:r>
          </w:p>
        </w:tc>
        <w:tc>
          <w:tcPr>
            <w:shd w:val="clear" w:color="auto" w:fill="auto"/>
            <w:tcW w:w="2615" w:type="pct"/>
            <w:vAlign w:val="center"/>
            <w:textDirection w:val="lrTb"/>
            <w:noWrap w:val="false"/>
          </w:tcPr>
          <w:p>
            <w:pPr>
              <w:rPr>
                <w:sz w:val="20"/>
                <w:szCs w:val="20"/>
              </w:rPr>
            </w:pPr>
            <w:r>
              <w:rPr>
                <w:sz w:val="20"/>
                <w:szCs w:val="20"/>
              </w:rPr>
              <w:t xml:space="preserve">Количество баков-аккумуляторов теплоносителя, шт.</w:t>
            </w:r>
            <w:r>
              <w:rPr>
                <w:sz w:val="20"/>
                <w:szCs w:val="20"/>
              </w:rPr>
            </w:r>
            <w:r>
              <w:rPr>
                <w:sz w:val="20"/>
                <w:szCs w:val="20"/>
              </w:rPr>
            </w:r>
          </w:p>
        </w:tc>
        <w:tc>
          <w:tcPr>
            <w:shd w:val="clear" w:color="auto" w:fill="auto"/>
            <w:tcW w:w="372"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69" w:type="pct"/>
            <w:textDirection w:val="lrTb"/>
            <w:noWrap w:val="false"/>
          </w:tcPr>
          <w:p>
            <w:pPr>
              <w:jc w:val="center"/>
              <w:rPr>
                <w:sz w:val="20"/>
                <w:szCs w:val="20"/>
              </w:rPr>
            </w:pPr>
            <w:r>
              <w:rPr>
                <w:sz w:val="20"/>
                <w:szCs w:val="20"/>
              </w:rPr>
              <w:t xml:space="preserve">-</w:t>
            </w:r>
            <w:r>
              <w:rPr>
                <w:sz w:val="20"/>
                <w:szCs w:val="20"/>
              </w:rPr>
            </w:r>
            <w:r>
              <w:rPr>
                <w:sz w:val="20"/>
                <w:szCs w:val="20"/>
              </w:rPr>
            </w:r>
          </w:p>
        </w:tc>
      </w:tr>
      <w:tr>
        <w:tblPrEx/>
        <w:trPr>
          <w:trHeight w:val="75"/>
        </w:trPr>
        <w:tc>
          <w:tcPr>
            <w:shd w:val="clear" w:color="auto" w:fill="auto"/>
            <w:tcW w:w="164" w:type="pct"/>
            <w:vAlign w:val="center"/>
            <w:textDirection w:val="lrTb"/>
            <w:noWrap w:val="false"/>
          </w:tcPr>
          <w:p>
            <w:pPr>
              <w:jc w:val="center"/>
              <w:rPr>
                <w:sz w:val="20"/>
                <w:szCs w:val="20"/>
              </w:rPr>
            </w:pPr>
            <w:r>
              <w:rPr>
                <w:sz w:val="20"/>
                <w:szCs w:val="20"/>
              </w:rPr>
              <w:t xml:space="preserve">7</w:t>
            </w:r>
            <w:r>
              <w:rPr>
                <w:sz w:val="20"/>
                <w:szCs w:val="20"/>
              </w:rPr>
            </w:r>
            <w:r>
              <w:rPr>
                <w:sz w:val="20"/>
                <w:szCs w:val="20"/>
              </w:rPr>
            </w:r>
          </w:p>
        </w:tc>
        <w:tc>
          <w:tcPr>
            <w:shd w:val="clear" w:color="auto" w:fill="auto"/>
            <w:tcW w:w="2615" w:type="pct"/>
            <w:vAlign w:val="center"/>
            <w:textDirection w:val="lrTb"/>
            <w:noWrap w:val="false"/>
          </w:tcPr>
          <w:p>
            <w:pPr>
              <w:rPr>
                <w:sz w:val="20"/>
                <w:szCs w:val="20"/>
              </w:rPr>
            </w:pPr>
            <w:r>
              <w:rPr>
                <w:sz w:val="20"/>
                <w:szCs w:val="20"/>
              </w:rPr>
              <w:t xml:space="preserve">Емкость баков аккумуляторов, тыс. м3</w:t>
            </w:r>
            <w:r>
              <w:rPr>
                <w:sz w:val="20"/>
                <w:szCs w:val="20"/>
              </w:rPr>
            </w:r>
            <w:r>
              <w:rPr>
                <w:sz w:val="20"/>
                <w:szCs w:val="20"/>
              </w:rPr>
            </w:r>
          </w:p>
        </w:tc>
        <w:tc>
          <w:tcPr>
            <w:shd w:val="clear" w:color="auto" w:fill="auto"/>
            <w:tcW w:w="372"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69" w:type="pct"/>
            <w:textDirection w:val="lrTb"/>
            <w:noWrap w:val="false"/>
          </w:tcPr>
          <w:p>
            <w:pPr>
              <w:jc w:val="center"/>
              <w:rPr>
                <w:sz w:val="20"/>
                <w:szCs w:val="20"/>
              </w:rPr>
            </w:pPr>
            <w:r>
              <w:rPr>
                <w:sz w:val="20"/>
                <w:szCs w:val="20"/>
              </w:rPr>
              <w:t xml:space="preserve">-</w:t>
            </w:r>
            <w:r>
              <w:rPr>
                <w:sz w:val="20"/>
                <w:szCs w:val="20"/>
              </w:rPr>
            </w:r>
            <w:r>
              <w:rPr>
                <w:sz w:val="20"/>
                <w:szCs w:val="20"/>
              </w:rPr>
            </w:r>
          </w:p>
        </w:tc>
      </w:tr>
      <w:tr>
        <w:tblPrEx/>
        <w:trPr>
          <w:trHeight w:val="85"/>
        </w:trPr>
        <w:tc>
          <w:tcPr>
            <w:shd w:val="clear" w:color="auto" w:fill="auto"/>
            <w:tcW w:w="164" w:type="pct"/>
            <w:vAlign w:val="center"/>
            <w:textDirection w:val="lrTb"/>
            <w:noWrap w:val="false"/>
          </w:tcPr>
          <w:p>
            <w:pPr>
              <w:jc w:val="center"/>
              <w:rPr>
                <w:sz w:val="20"/>
                <w:szCs w:val="20"/>
              </w:rPr>
            </w:pPr>
            <w:r>
              <w:rPr>
                <w:sz w:val="20"/>
                <w:szCs w:val="20"/>
              </w:rPr>
              <w:t xml:space="preserve">8</w:t>
            </w:r>
            <w:r>
              <w:rPr>
                <w:sz w:val="20"/>
                <w:szCs w:val="20"/>
              </w:rPr>
            </w:r>
            <w:r>
              <w:rPr>
                <w:sz w:val="20"/>
                <w:szCs w:val="20"/>
              </w:rPr>
            </w:r>
          </w:p>
        </w:tc>
        <w:tc>
          <w:tcPr>
            <w:shd w:val="clear" w:color="auto" w:fill="auto"/>
            <w:tcW w:w="2615" w:type="pct"/>
            <w:vAlign w:val="center"/>
            <w:textDirection w:val="lrTb"/>
            <w:noWrap w:val="false"/>
          </w:tcPr>
          <w:p>
            <w:pPr>
              <w:rPr>
                <w:sz w:val="20"/>
                <w:szCs w:val="20"/>
              </w:rPr>
            </w:pPr>
            <w:r>
              <w:rPr>
                <w:sz w:val="20"/>
                <w:szCs w:val="20"/>
              </w:rPr>
              <w:t xml:space="preserve">Требуемая расчетная производительность водоподготовительной установки (0,75% V), м3/ч</w:t>
            </w:r>
            <w:r>
              <w:rPr>
                <w:sz w:val="20"/>
                <w:szCs w:val="20"/>
              </w:rPr>
            </w:r>
            <w:r>
              <w:rPr>
                <w:sz w:val="20"/>
                <w:szCs w:val="20"/>
              </w:rPr>
            </w:r>
          </w:p>
        </w:tc>
        <w:tc>
          <w:tcPr>
            <w:shd w:val="clear" w:color="auto" w:fill="auto"/>
            <w:tcW w:w="372" w:type="pct"/>
            <w:vAlign w:val="center"/>
            <w:textDirection w:val="lrTb"/>
            <w:noWrap w:val="false"/>
          </w:tcPr>
          <w:p>
            <w:pPr>
              <w:jc w:val="center"/>
              <w:rPr>
                <w:sz w:val="20"/>
                <w:szCs w:val="20"/>
              </w:rPr>
            </w:pPr>
            <w:r>
              <w:rPr>
                <w:sz w:val="20"/>
                <w:szCs w:val="20"/>
              </w:rPr>
              <w:t xml:space="preserve">1,931</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1,931</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1,931</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1,931</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1,931</w:t>
            </w:r>
            <w:r>
              <w:rPr>
                <w:sz w:val="20"/>
                <w:szCs w:val="20"/>
              </w:rPr>
            </w:r>
            <w:r>
              <w:rPr>
                <w:sz w:val="20"/>
                <w:szCs w:val="20"/>
              </w:rPr>
            </w:r>
          </w:p>
        </w:tc>
        <w:tc>
          <w:tcPr>
            <w:tcW w:w="369" w:type="pct"/>
            <w:vAlign w:val="center"/>
            <w:textDirection w:val="lrTb"/>
            <w:noWrap w:val="false"/>
          </w:tcPr>
          <w:p>
            <w:pPr>
              <w:jc w:val="center"/>
              <w:rPr>
                <w:sz w:val="20"/>
                <w:szCs w:val="20"/>
              </w:rPr>
            </w:pPr>
            <w:r>
              <w:rPr>
                <w:sz w:val="20"/>
                <w:szCs w:val="20"/>
              </w:rPr>
              <w:t xml:space="preserve">1,931</w:t>
            </w:r>
            <w:r>
              <w:rPr>
                <w:sz w:val="20"/>
                <w:szCs w:val="20"/>
              </w:rPr>
            </w:r>
            <w:r>
              <w:rPr>
                <w:sz w:val="20"/>
                <w:szCs w:val="20"/>
              </w:rPr>
            </w:r>
          </w:p>
        </w:tc>
      </w:tr>
      <w:tr>
        <w:tblPrEx/>
        <w:trPr>
          <w:trHeight w:val="85"/>
        </w:trPr>
        <w:tc>
          <w:tcPr>
            <w:shd w:val="clear" w:color="auto" w:fill="auto"/>
            <w:tcW w:w="164" w:type="pct"/>
            <w:vAlign w:val="center"/>
            <w:textDirection w:val="lrTb"/>
            <w:noWrap w:val="false"/>
          </w:tcPr>
          <w:p>
            <w:pPr>
              <w:jc w:val="center"/>
              <w:rPr>
                <w:sz w:val="20"/>
                <w:szCs w:val="20"/>
              </w:rPr>
            </w:pPr>
            <w:r>
              <w:rPr>
                <w:sz w:val="20"/>
                <w:szCs w:val="20"/>
              </w:rPr>
              <w:t xml:space="preserve">9</w:t>
            </w:r>
            <w:r>
              <w:rPr>
                <w:sz w:val="20"/>
                <w:szCs w:val="20"/>
              </w:rPr>
            </w:r>
            <w:r>
              <w:rPr>
                <w:sz w:val="20"/>
                <w:szCs w:val="20"/>
              </w:rPr>
            </w:r>
          </w:p>
        </w:tc>
        <w:tc>
          <w:tcPr>
            <w:shd w:val="clear" w:color="auto" w:fill="auto"/>
            <w:tcW w:w="2615" w:type="pct"/>
            <w:vAlign w:val="center"/>
            <w:textDirection w:val="lrTb"/>
            <w:noWrap w:val="false"/>
          </w:tcPr>
          <w:p>
            <w:pPr>
              <w:rPr>
                <w:sz w:val="20"/>
                <w:szCs w:val="20"/>
              </w:rPr>
            </w:pPr>
            <w:r>
              <w:rPr>
                <w:sz w:val="20"/>
                <w:szCs w:val="20"/>
              </w:rPr>
              <w:t xml:space="preserve">Всего подпитка тепловой сети, м3/ч, в том числе:</w:t>
            </w:r>
            <w:r>
              <w:rPr>
                <w:sz w:val="20"/>
                <w:szCs w:val="20"/>
              </w:rPr>
            </w:r>
            <w:r>
              <w:rPr>
                <w:sz w:val="20"/>
                <w:szCs w:val="20"/>
              </w:rPr>
            </w:r>
          </w:p>
        </w:tc>
        <w:tc>
          <w:tcPr>
            <w:shd w:val="clear" w:color="auto" w:fill="auto"/>
            <w:tcW w:w="372" w:type="pct"/>
            <w:vAlign w:val="center"/>
            <w:textDirection w:val="lrTb"/>
            <w:noWrap w:val="false"/>
          </w:tcPr>
          <w:p>
            <w:pPr>
              <w:jc w:val="center"/>
              <w:rPr>
                <w:sz w:val="20"/>
                <w:szCs w:val="20"/>
              </w:rPr>
            </w:pPr>
            <w:r>
              <w:rPr>
                <w:sz w:val="20"/>
                <w:szCs w:val="20"/>
              </w:rPr>
              <w:t xml:space="preserve">0,644</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0,644</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0,644</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0,644</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0,644</w:t>
            </w:r>
            <w:r>
              <w:rPr>
                <w:sz w:val="20"/>
                <w:szCs w:val="20"/>
              </w:rPr>
            </w:r>
            <w:r>
              <w:rPr>
                <w:sz w:val="20"/>
                <w:szCs w:val="20"/>
              </w:rPr>
            </w:r>
          </w:p>
        </w:tc>
        <w:tc>
          <w:tcPr>
            <w:tcW w:w="369" w:type="pct"/>
            <w:vAlign w:val="center"/>
            <w:textDirection w:val="lrTb"/>
            <w:noWrap w:val="false"/>
          </w:tcPr>
          <w:p>
            <w:pPr>
              <w:jc w:val="center"/>
              <w:rPr>
                <w:sz w:val="20"/>
                <w:szCs w:val="20"/>
              </w:rPr>
            </w:pPr>
            <w:r>
              <w:rPr>
                <w:sz w:val="20"/>
                <w:szCs w:val="20"/>
              </w:rPr>
              <w:t xml:space="preserve">0,644</w:t>
            </w:r>
            <w:r>
              <w:rPr>
                <w:sz w:val="20"/>
                <w:szCs w:val="20"/>
              </w:rPr>
            </w:r>
            <w:r>
              <w:rPr>
                <w:sz w:val="20"/>
                <w:szCs w:val="20"/>
              </w:rPr>
            </w:r>
          </w:p>
        </w:tc>
      </w:tr>
      <w:tr>
        <w:tblPrEx/>
        <w:trPr>
          <w:trHeight w:val="85"/>
        </w:trPr>
        <w:tc>
          <w:tcPr>
            <w:shd w:val="clear" w:color="auto" w:fill="auto"/>
            <w:tcW w:w="164" w:type="pct"/>
            <w:vAlign w:val="center"/>
            <w:textDirection w:val="lrTb"/>
            <w:noWrap w:val="false"/>
          </w:tcPr>
          <w:p>
            <w:pPr>
              <w:jc w:val="center"/>
              <w:rPr>
                <w:sz w:val="20"/>
                <w:szCs w:val="20"/>
              </w:rPr>
            </w:pPr>
            <w:r>
              <w:rPr>
                <w:sz w:val="20"/>
                <w:szCs w:val="20"/>
              </w:rPr>
              <w:t xml:space="preserve">9.1</w:t>
            </w:r>
            <w:r>
              <w:rPr>
                <w:sz w:val="20"/>
                <w:szCs w:val="20"/>
              </w:rPr>
            </w:r>
            <w:r>
              <w:rPr>
                <w:sz w:val="20"/>
                <w:szCs w:val="20"/>
              </w:rPr>
            </w:r>
          </w:p>
        </w:tc>
        <w:tc>
          <w:tcPr>
            <w:shd w:val="clear" w:color="auto" w:fill="auto"/>
            <w:tcW w:w="2615" w:type="pct"/>
            <w:vAlign w:val="center"/>
            <w:textDirection w:val="lrTb"/>
            <w:noWrap w:val="false"/>
          </w:tcPr>
          <w:p>
            <w:pPr>
              <w:rPr>
                <w:sz w:val="20"/>
                <w:szCs w:val="20"/>
              </w:rPr>
            </w:pPr>
            <w:r>
              <w:rPr>
                <w:sz w:val="20"/>
                <w:szCs w:val="20"/>
              </w:rPr>
              <w:t xml:space="preserve">- нормативные утечки теплоносителя (0,25% V), м3/ч</w:t>
            </w:r>
            <w:r>
              <w:rPr>
                <w:sz w:val="20"/>
                <w:szCs w:val="20"/>
              </w:rPr>
            </w:r>
            <w:r>
              <w:rPr>
                <w:sz w:val="20"/>
                <w:szCs w:val="20"/>
              </w:rPr>
            </w:r>
          </w:p>
        </w:tc>
        <w:tc>
          <w:tcPr>
            <w:shd w:val="clear" w:color="auto" w:fill="auto"/>
            <w:tcW w:w="372" w:type="pct"/>
            <w:vAlign w:val="center"/>
            <w:textDirection w:val="lrTb"/>
            <w:noWrap w:val="false"/>
          </w:tcPr>
          <w:p>
            <w:pPr>
              <w:jc w:val="center"/>
              <w:rPr>
                <w:sz w:val="20"/>
                <w:szCs w:val="20"/>
              </w:rPr>
            </w:pPr>
            <w:r>
              <w:rPr>
                <w:sz w:val="20"/>
                <w:szCs w:val="20"/>
              </w:rPr>
              <w:t xml:space="preserve">0,644</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0,644</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0,644</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0,644</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0,644</w:t>
            </w:r>
            <w:r>
              <w:rPr>
                <w:sz w:val="20"/>
                <w:szCs w:val="20"/>
              </w:rPr>
            </w:r>
            <w:r>
              <w:rPr>
                <w:sz w:val="20"/>
                <w:szCs w:val="20"/>
              </w:rPr>
            </w:r>
          </w:p>
        </w:tc>
        <w:tc>
          <w:tcPr>
            <w:tcW w:w="369" w:type="pct"/>
            <w:vAlign w:val="center"/>
            <w:textDirection w:val="lrTb"/>
            <w:noWrap w:val="false"/>
          </w:tcPr>
          <w:p>
            <w:pPr>
              <w:jc w:val="center"/>
              <w:rPr>
                <w:sz w:val="20"/>
                <w:szCs w:val="20"/>
              </w:rPr>
            </w:pPr>
            <w:r>
              <w:rPr>
                <w:sz w:val="20"/>
                <w:szCs w:val="20"/>
              </w:rPr>
              <w:t xml:space="preserve">0,644</w:t>
            </w:r>
            <w:r>
              <w:rPr>
                <w:sz w:val="20"/>
                <w:szCs w:val="20"/>
              </w:rPr>
            </w:r>
            <w:r>
              <w:rPr>
                <w:sz w:val="20"/>
                <w:szCs w:val="20"/>
              </w:rPr>
            </w:r>
          </w:p>
        </w:tc>
      </w:tr>
      <w:tr>
        <w:tblPrEx/>
        <w:trPr>
          <w:trHeight w:val="85"/>
        </w:trPr>
        <w:tc>
          <w:tcPr>
            <w:shd w:val="clear" w:color="auto" w:fill="auto"/>
            <w:tcW w:w="164" w:type="pct"/>
            <w:vAlign w:val="center"/>
            <w:textDirection w:val="lrTb"/>
            <w:noWrap w:val="false"/>
          </w:tcPr>
          <w:p>
            <w:pPr>
              <w:jc w:val="center"/>
              <w:rPr>
                <w:sz w:val="20"/>
                <w:szCs w:val="20"/>
              </w:rPr>
            </w:pPr>
            <w:r>
              <w:rPr>
                <w:sz w:val="20"/>
                <w:szCs w:val="20"/>
              </w:rPr>
              <w:t xml:space="preserve">9.2</w:t>
            </w:r>
            <w:r>
              <w:rPr>
                <w:sz w:val="20"/>
                <w:szCs w:val="20"/>
              </w:rPr>
            </w:r>
            <w:r>
              <w:rPr>
                <w:sz w:val="20"/>
                <w:szCs w:val="20"/>
              </w:rPr>
            </w:r>
          </w:p>
        </w:tc>
        <w:tc>
          <w:tcPr>
            <w:shd w:val="clear" w:color="auto" w:fill="auto"/>
            <w:tcW w:w="2615" w:type="pct"/>
            <w:vAlign w:val="center"/>
            <w:textDirection w:val="lrTb"/>
            <w:noWrap w:val="false"/>
          </w:tcPr>
          <w:p>
            <w:pPr>
              <w:rPr>
                <w:sz w:val="20"/>
                <w:szCs w:val="20"/>
              </w:rPr>
            </w:pPr>
            <w:r>
              <w:rPr>
                <w:sz w:val="20"/>
                <w:szCs w:val="20"/>
              </w:rPr>
              <w:t xml:space="preserve">- сверхнормативные утечки теплоносителя, м3/ч</w:t>
            </w:r>
            <w:r>
              <w:rPr>
                <w:sz w:val="20"/>
                <w:szCs w:val="20"/>
              </w:rPr>
            </w:r>
            <w:r>
              <w:rPr>
                <w:sz w:val="20"/>
                <w:szCs w:val="20"/>
              </w:rPr>
            </w:r>
          </w:p>
        </w:tc>
        <w:tc>
          <w:tcPr>
            <w:shd w:val="clear" w:color="auto" w:fill="auto"/>
            <w:tcW w:w="372" w:type="pct"/>
            <w:vAlign w:val="center"/>
            <w:textDirection w:val="lrTb"/>
            <w:noWrap w:val="false"/>
          </w:tcPr>
          <w:p>
            <w:pPr>
              <w:jc w:val="center"/>
              <w:rPr>
                <w:sz w:val="20"/>
                <w:szCs w:val="20"/>
              </w:rPr>
            </w:pPr>
            <w:r>
              <w:rPr>
                <w:sz w:val="20"/>
                <w:szCs w:val="20"/>
              </w:rPr>
              <w:t xml:space="preserve">0</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w:t>
            </w:r>
            <w:r>
              <w:rPr>
                <w:sz w:val="20"/>
                <w:szCs w:val="20"/>
              </w:rPr>
            </w:r>
            <w:r>
              <w:rPr>
                <w:sz w:val="20"/>
                <w:szCs w:val="20"/>
              </w:rPr>
            </w:r>
          </w:p>
        </w:tc>
        <w:tc>
          <w:tcPr>
            <w:tcW w:w="369" w:type="pct"/>
            <w:vAlign w:val="center"/>
            <w:textDirection w:val="lrTb"/>
            <w:noWrap w:val="false"/>
          </w:tcPr>
          <w:p>
            <w:pPr>
              <w:jc w:val="center"/>
              <w:rPr>
                <w:sz w:val="20"/>
                <w:szCs w:val="20"/>
              </w:rPr>
            </w:pPr>
            <w:r>
              <w:rPr>
                <w:sz w:val="20"/>
                <w:szCs w:val="20"/>
              </w:rPr>
              <w:t xml:space="preserve">0</w:t>
            </w:r>
            <w:r>
              <w:rPr>
                <w:sz w:val="20"/>
                <w:szCs w:val="20"/>
              </w:rPr>
            </w:r>
            <w:r>
              <w:rPr>
                <w:sz w:val="20"/>
                <w:szCs w:val="20"/>
              </w:rPr>
            </w:r>
          </w:p>
        </w:tc>
      </w:tr>
      <w:tr>
        <w:tblPrEx/>
        <w:trPr>
          <w:trHeight w:val="139"/>
        </w:trPr>
        <w:tc>
          <w:tcPr>
            <w:shd w:val="clear" w:color="auto" w:fill="auto"/>
            <w:tcW w:w="164" w:type="pct"/>
            <w:vAlign w:val="center"/>
            <w:textDirection w:val="lrTb"/>
            <w:noWrap w:val="false"/>
          </w:tcPr>
          <w:p>
            <w:pPr>
              <w:jc w:val="center"/>
              <w:rPr>
                <w:sz w:val="20"/>
                <w:szCs w:val="20"/>
              </w:rPr>
            </w:pPr>
            <w:r>
              <w:rPr>
                <w:sz w:val="20"/>
                <w:szCs w:val="20"/>
              </w:rPr>
              <w:t xml:space="preserve">9.3</w:t>
            </w:r>
            <w:r>
              <w:rPr>
                <w:sz w:val="20"/>
                <w:szCs w:val="20"/>
              </w:rPr>
            </w:r>
            <w:r>
              <w:rPr>
                <w:sz w:val="20"/>
                <w:szCs w:val="20"/>
              </w:rPr>
            </w:r>
          </w:p>
        </w:tc>
        <w:tc>
          <w:tcPr>
            <w:shd w:val="clear" w:color="auto" w:fill="auto"/>
            <w:tcW w:w="2615" w:type="pct"/>
            <w:vAlign w:val="center"/>
            <w:textDirection w:val="lrTb"/>
            <w:noWrap w:val="false"/>
          </w:tcPr>
          <w:p>
            <w:pPr>
              <w:rPr>
                <w:sz w:val="20"/>
                <w:szCs w:val="20"/>
              </w:rPr>
            </w:pPr>
            <w:r>
              <w:rPr>
                <w:sz w:val="20"/>
                <w:szCs w:val="20"/>
              </w:rPr>
              <w:t xml:space="preserve">- отпуск теплоносителя из тепловых сетей на цели горячего водоснабжения (для открытых систем теплоснабжения), т/ч</w:t>
            </w:r>
            <w:r>
              <w:rPr>
                <w:sz w:val="20"/>
                <w:szCs w:val="20"/>
              </w:rPr>
            </w:r>
            <w:r>
              <w:rPr>
                <w:sz w:val="20"/>
                <w:szCs w:val="20"/>
              </w:rPr>
            </w:r>
          </w:p>
        </w:tc>
        <w:tc>
          <w:tcPr>
            <w:shd w:val="clear" w:color="auto" w:fill="auto"/>
            <w:tcW w:w="372" w:type="pct"/>
            <w:vAlign w:val="center"/>
            <w:textDirection w:val="lrTb"/>
            <w:noWrap w:val="false"/>
          </w:tcPr>
          <w:p>
            <w:pPr>
              <w:jc w:val="center"/>
              <w:rPr>
                <w:sz w:val="20"/>
                <w:szCs w:val="20"/>
              </w:rPr>
            </w:pPr>
            <w:r>
              <w:rPr>
                <w:sz w:val="20"/>
                <w:szCs w:val="20"/>
              </w:rPr>
              <w:t xml:space="preserve">0</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0</w:t>
            </w:r>
            <w:r>
              <w:rPr>
                <w:sz w:val="20"/>
                <w:szCs w:val="20"/>
              </w:rPr>
            </w:r>
            <w:r>
              <w:rPr>
                <w:sz w:val="20"/>
                <w:szCs w:val="20"/>
              </w:rPr>
            </w:r>
          </w:p>
        </w:tc>
        <w:tc>
          <w:tcPr>
            <w:tcW w:w="369" w:type="pct"/>
            <w:vAlign w:val="center"/>
            <w:textDirection w:val="lrTb"/>
            <w:noWrap w:val="false"/>
          </w:tcPr>
          <w:p>
            <w:pPr>
              <w:jc w:val="center"/>
              <w:rPr>
                <w:sz w:val="20"/>
                <w:szCs w:val="20"/>
              </w:rPr>
            </w:pPr>
            <w:r>
              <w:rPr>
                <w:sz w:val="20"/>
                <w:szCs w:val="20"/>
              </w:rPr>
              <w:t xml:space="preserve">0</w:t>
            </w:r>
            <w:r>
              <w:rPr>
                <w:sz w:val="20"/>
                <w:szCs w:val="20"/>
              </w:rPr>
            </w:r>
            <w:r>
              <w:rPr>
                <w:sz w:val="20"/>
                <w:szCs w:val="20"/>
              </w:rPr>
            </w:r>
          </w:p>
        </w:tc>
      </w:tr>
      <w:tr>
        <w:tblPrEx/>
        <w:trPr>
          <w:trHeight w:val="70"/>
        </w:trPr>
        <w:tc>
          <w:tcPr>
            <w:shd w:val="clear" w:color="auto" w:fill="auto"/>
            <w:tcW w:w="164" w:type="pct"/>
            <w:vAlign w:val="center"/>
            <w:textDirection w:val="lrTb"/>
            <w:noWrap w:val="false"/>
          </w:tcPr>
          <w:p>
            <w:pPr>
              <w:jc w:val="center"/>
              <w:rPr>
                <w:sz w:val="20"/>
                <w:szCs w:val="20"/>
              </w:rPr>
            </w:pPr>
            <w:r>
              <w:rPr>
                <w:sz w:val="20"/>
                <w:szCs w:val="20"/>
              </w:rPr>
              <w:t xml:space="preserve">10</w:t>
            </w:r>
            <w:r>
              <w:rPr>
                <w:sz w:val="20"/>
                <w:szCs w:val="20"/>
              </w:rPr>
            </w:r>
            <w:r>
              <w:rPr>
                <w:sz w:val="20"/>
                <w:szCs w:val="20"/>
              </w:rPr>
            </w:r>
          </w:p>
        </w:tc>
        <w:tc>
          <w:tcPr>
            <w:shd w:val="clear" w:color="auto" w:fill="auto"/>
            <w:tcW w:w="2615" w:type="pct"/>
            <w:vAlign w:val="center"/>
            <w:textDirection w:val="lrTb"/>
            <w:noWrap w:val="false"/>
          </w:tcPr>
          <w:p>
            <w:pPr>
              <w:rPr>
                <w:sz w:val="20"/>
                <w:szCs w:val="20"/>
              </w:rPr>
            </w:pPr>
            <w:r>
              <w:rPr>
                <w:sz w:val="20"/>
                <w:szCs w:val="20"/>
              </w:rPr>
              <w:t xml:space="preserve">Максимальная подпитка тепловой сети в период повреждения участка (2% V), м3/ч</w:t>
            </w:r>
            <w:r>
              <w:rPr>
                <w:sz w:val="20"/>
                <w:szCs w:val="20"/>
              </w:rPr>
            </w:r>
            <w:r>
              <w:rPr>
                <w:sz w:val="20"/>
                <w:szCs w:val="20"/>
              </w:rPr>
            </w:r>
          </w:p>
        </w:tc>
        <w:tc>
          <w:tcPr>
            <w:shd w:val="clear" w:color="auto" w:fill="auto"/>
            <w:tcW w:w="372" w:type="pct"/>
            <w:vAlign w:val="center"/>
            <w:textDirection w:val="lrTb"/>
            <w:noWrap w:val="false"/>
          </w:tcPr>
          <w:p>
            <w:pPr>
              <w:jc w:val="center"/>
              <w:rPr>
                <w:sz w:val="20"/>
                <w:szCs w:val="20"/>
              </w:rPr>
            </w:pPr>
            <w:r>
              <w:rPr>
                <w:sz w:val="20"/>
                <w:szCs w:val="20"/>
              </w:rPr>
              <w:t xml:space="preserve">5,150</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5,150</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5,150</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5,150</w:t>
            </w:r>
            <w:r>
              <w:rPr>
                <w:sz w:val="20"/>
                <w:szCs w:val="20"/>
              </w:rPr>
            </w:r>
            <w:r>
              <w:rPr>
                <w:sz w:val="20"/>
                <w:szCs w:val="20"/>
              </w:rPr>
            </w:r>
          </w:p>
        </w:tc>
        <w:tc>
          <w:tcPr>
            <w:tcW w:w="370" w:type="pct"/>
            <w:vAlign w:val="center"/>
            <w:textDirection w:val="lrTb"/>
            <w:noWrap w:val="false"/>
          </w:tcPr>
          <w:p>
            <w:pPr>
              <w:jc w:val="center"/>
              <w:rPr>
                <w:sz w:val="20"/>
                <w:szCs w:val="20"/>
              </w:rPr>
            </w:pPr>
            <w:r>
              <w:rPr>
                <w:sz w:val="20"/>
                <w:szCs w:val="20"/>
              </w:rPr>
              <w:t xml:space="preserve">5,150</w:t>
            </w:r>
            <w:r>
              <w:rPr>
                <w:sz w:val="20"/>
                <w:szCs w:val="20"/>
              </w:rPr>
            </w:r>
            <w:r>
              <w:rPr>
                <w:sz w:val="20"/>
                <w:szCs w:val="20"/>
              </w:rPr>
            </w:r>
          </w:p>
        </w:tc>
        <w:tc>
          <w:tcPr>
            <w:tcW w:w="369" w:type="pct"/>
            <w:vAlign w:val="center"/>
            <w:textDirection w:val="lrTb"/>
            <w:noWrap w:val="false"/>
          </w:tcPr>
          <w:p>
            <w:pPr>
              <w:jc w:val="center"/>
              <w:rPr>
                <w:sz w:val="20"/>
                <w:szCs w:val="20"/>
              </w:rPr>
            </w:pPr>
            <w:r>
              <w:rPr>
                <w:sz w:val="20"/>
                <w:szCs w:val="20"/>
              </w:rPr>
              <w:t xml:space="preserve">5,150</w:t>
            </w:r>
            <w:r>
              <w:rPr>
                <w:sz w:val="20"/>
                <w:szCs w:val="20"/>
              </w:rPr>
            </w:r>
            <w:r>
              <w:rPr>
                <w:sz w:val="20"/>
                <w:szCs w:val="20"/>
              </w:rPr>
            </w:r>
          </w:p>
        </w:tc>
      </w:tr>
      <w:tr>
        <w:tblPrEx/>
        <w:trPr>
          <w:trHeight w:val="85"/>
        </w:trPr>
        <w:tc>
          <w:tcPr>
            <w:shd w:val="clear" w:color="auto" w:fill="auto"/>
            <w:tcW w:w="164" w:type="pct"/>
            <w:vAlign w:val="center"/>
            <w:textDirection w:val="lrTb"/>
            <w:noWrap w:val="false"/>
          </w:tcPr>
          <w:p>
            <w:pPr>
              <w:jc w:val="center"/>
              <w:rPr>
                <w:sz w:val="20"/>
                <w:szCs w:val="20"/>
              </w:rPr>
            </w:pPr>
            <w:r>
              <w:rPr>
                <w:sz w:val="20"/>
                <w:szCs w:val="20"/>
              </w:rPr>
              <w:t xml:space="preserve">11</w:t>
            </w:r>
            <w:r>
              <w:rPr>
                <w:sz w:val="20"/>
                <w:szCs w:val="20"/>
              </w:rPr>
            </w:r>
            <w:r>
              <w:rPr>
                <w:sz w:val="20"/>
                <w:szCs w:val="20"/>
              </w:rPr>
            </w:r>
          </w:p>
        </w:tc>
        <w:tc>
          <w:tcPr>
            <w:shd w:val="clear" w:color="auto" w:fill="auto"/>
            <w:tcW w:w="2615" w:type="pct"/>
            <w:vAlign w:val="center"/>
            <w:textDirection w:val="lrTb"/>
            <w:noWrap w:val="false"/>
          </w:tcPr>
          <w:p>
            <w:pPr>
              <w:rPr>
                <w:sz w:val="20"/>
                <w:szCs w:val="20"/>
              </w:rPr>
            </w:pPr>
            <w:r>
              <w:rPr>
                <w:sz w:val="20"/>
                <w:szCs w:val="20"/>
              </w:rPr>
              <w:t xml:space="preserve">Резерв (+)/дефицит (-), ВПУ,м3/ч</w:t>
            </w:r>
            <w:r>
              <w:rPr>
                <w:sz w:val="20"/>
                <w:szCs w:val="20"/>
              </w:rPr>
            </w:r>
            <w:r>
              <w:rPr>
                <w:sz w:val="20"/>
                <w:szCs w:val="20"/>
              </w:rPr>
            </w:r>
          </w:p>
        </w:tc>
        <w:tc>
          <w:tcPr>
            <w:shd w:val="clear" w:color="auto" w:fill="auto"/>
            <w:tcW w:w="372"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70"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tcW w:w="369" w:type="pct"/>
            <w:textDirection w:val="lrTb"/>
            <w:noWrap w:val="false"/>
          </w:tcPr>
          <w:p>
            <w:pPr>
              <w:jc w:val="center"/>
              <w:rPr>
                <w:sz w:val="20"/>
                <w:szCs w:val="20"/>
              </w:rPr>
            </w:pPr>
            <w:r>
              <w:rPr>
                <w:sz w:val="20"/>
                <w:szCs w:val="20"/>
              </w:rPr>
              <w:t xml:space="preserve">-</w:t>
            </w:r>
            <w:r>
              <w:rPr>
                <w:sz w:val="20"/>
                <w:szCs w:val="20"/>
              </w:rPr>
            </w:r>
            <w:r>
              <w:rPr>
                <w:sz w:val="20"/>
                <w:szCs w:val="20"/>
              </w:rPr>
            </w:r>
          </w:p>
        </w:tc>
      </w:tr>
    </w:tbl>
    <w:p>
      <w:pPr>
        <w:jc w:val="right"/>
        <w:rPr>
          <w:sz w:val="24"/>
          <w:szCs w:val="24"/>
          <w:lang w:eastAsia="ru-RU"/>
        </w:rPr>
      </w:pPr>
      <w:r>
        <w:rPr>
          <w:sz w:val="24"/>
          <w:szCs w:val="24"/>
          <w:lang w:eastAsia="ru-RU"/>
        </w:rPr>
      </w:r>
      <w:r>
        <w:rPr>
          <w:sz w:val="24"/>
          <w:szCs w:val="24"/>
          <w:lang w:eastAsia="ru-RU"/>
        </w:rPr>
      </w:r>
      <w:r>
        <w:rPr>
          <w:sz w:val="24"/>
          <w:szCs w:val="24"/>
          <w:lang w:eastAsia="ru-RU"/>
        </w:rPr>
      </w:r>
    </w:p>
    <w:p>
      <w:pPr>
        <w:jc w:val="center"/>
        <w:rPr>
          <w:sz w:val="24"/>
          <w:szCs w:val="24"/>
          <w:lang w:eastAsia="ru-RU"/>
        </w:rPr>
        <w:sectPr>
          <w:footnotePr/>
          <w:endnotePr/>
          <w:type w:val="nextPage"/>
          <w:pgSz w:w="16840" w:h="11910" w:orient="landscape"/>
          <w:pgMar w:top="1298" w:right="1038" w:bottom="743" w:left="941" w:header="0" w:footer="760" w:gutter="0"/>
          <w:cols w:num="1" w:sep="0" w:space="720" w:equalWidth="1"/>
          <w:docGrid w:linePitch="360"/>
        </w:sectPr>
      </w:pPr>
      <w:r>
        <w:rPr>
          <w:sz w:val="24"/>
          <w:szCs w:val="24"/>
          <w:lang w:eastAsia="ru-RU"/>
        </w:rPr>
      </w:r>
      <w:r>
        <w:rPr>
          <w:sz w:val="24"/>
          <w:szCs w:val="24"/>
          <w:lang w:eastAsia="ru-RU"/>
        </w:rPr>
      </w:r>
      <w:r>
        <w:rPr>
          <w:sz w:val="24"/>
          <w:szCs w:val="24"/>
          <w:lang w:eastAsia="ru-RU"/>
        </w:rPr>
      </w:r>
    </w:p>
    <w:p>
      <w:pPr>
        <w:pStyle w:val="1248"/>
        <w:ind w:firstLine="733"/>
        <w:jc w:val="left"/>
      </w:pPr>
      <w:r>
        <w:rPr>
          <w:lang w:eastAsia="ru-RU"/>
        </w:rPr>
        <w:t xml:space="preserve">6.4 </w:t>
      </w:r>
      <w:r>
        <w:t xml:space="preserve">Нормативный</w:t>
      </w:r>
      <w:r>
        <w:rPr>
          <w:spacing w:val="-14"/>
        </w:rPr>
        <w:t xml:space="preserve"> </w:t>
      </w:r>
      <w:r>
        <w:t xml:space="preserve">и</w:t>
      </w:r>
      <w:r>
        <w:rPr>
          <w:spacing w:val="-12"/>
        </w:rPr>
        <w:t xml:space="preserve"> </w:t>
      </w:r>
      <w:r>
        <w:t xml:space="preserve">фактический</w:t>
      </w:r>
      <w:r>
        <w:rPr>
          <w:spacing w:val="-12"/>
        </w:rPr>
        <w:t xml:space="preserve"> </w:t>
      </w:r>
      <w:r>
        <w:t xml:space="preserve">(для</w:t>
      </w:r>
      <w:r>
        <w:rPr>
          <w:spacing w:val="-13"/>
        </w:rPr>
        <w:t xml:space="preserve"> </w:t>
      </w:r>
      <w:r>
        <w:t xml:space="preserve">эксплуатационного</w:t>
      </w:r>
      <w:r>
        <w:rPr>
          <w:spacing w:val="-13"/>
        </w:rPr>
        <w:t xml:space="preserve"> </w:t>
      </w:r>
      <w:r>
        <w:t xml:space="preserve">и</w:t>
      </w:r>
      <w:r>
        <w:rPr>
          <w:spacing w:val="-12"/>
        </w:rPr>
        <w:t xml:space="preserve"> </w:t>
      </w:r>
      <w:r>
        <w:t xml:space="preserve">аварийного</w:t>
      </w:r>
      <w:r>
        <w:rPr>
          <w:spacing w:val="-13"/>
        </w:rPr>
        <w:t xml:space="preserve"> </w:t>
      </w:r>
      <w:r>
        <w:t xml:space="preserve">режимов) часовой расход подпиточной воды в зоне действия источников тепловой энергии</w:t>
      </w:r>
      <w:bookmarkEnd w:id="409"/>
      <w:r/>
      <w:r/>
    </w:p>
    <w:p>
      <w:pPr>
        <w:pStyle w:val="1247"/>
        <w:ind w:left="142" w:right="-51" w:firstLine="709"/>
        <w:jc w:val="both"/>
        <w:spacing w:before="120"/>
      </w:pPr>
      <w:r>
        <w:t xml:space="preserve">Установка для подпитки системы теплоснабжения на теплоисточнике должна обеспечивать подачу в тепловую сеть в рабочем режиме воду соответствующего качества и аварийную подпитку водой из систем хозяйственно-питьевого или производственного водопроводов:</w:t>
      </w:r>
      <w:r/>
    </w:p>
    <w:p>
      <w:pPr>
        <w:pStyle w:val="1247"/>
        <w:ind w:left="142" w:right="-53" w:firstLine="709"/>
        <w:jc w:val="both"/>
      </w:pPr>
      <w:r>
        <w:t xml:space="preserve">В закрытых системах теплоснабжения - 0,75 % фактического объема воды в трубопроводах тепловых се</w:t>
      </w:r>
      <w:r>
        <w:t xml:space="preserve">тей и присоединенных к ним системах отопления и вентиляции зданий. При этом для участков тепловых сетей длиной более 5 км от источников теплоты без распределения теплоты расчетный расход воды следует принимать равным 0,5 % объема воды в этих трубопроводах;</w:t>
      </w:r>
      <w:r/>
    </w:p>
    <w:p>
      <w:pPr>
        <w:pStyle w:val="1247"/>
        <w:ind w:left="142" w:right="-53" w:firstLine="709"/>
        <w:jc w:val="both"/>
      </w:pPr>
      <w:r>
        <w:t xml:space="preserve">Для открытых и закрытых систем теплоснабжения должна предусматриваться дополнительно аварийная подпитка химически не обработанной и недеаэрированной водой, расход которой </w:t>
      </w:r>
      <w:r>
        <w:t xml:space="preserve">принимается в количестве 2 % объема воды в трубопроводах тепловых сетей и присоединенных к ним системах отопления, вентиляции и в системах горячего водоснабжения для открытых систем теплоснабжения. При наличии нескольких отдельных тепловых сетей, отходящих</w:t>
      </w:r>
      <w:r>
        <w:t xml:space="preserve"> от коллектора теплоисточника, аварийную подпитку допускается определять только для одной наибольшей по объему тепловой сети. Для открытых систем теплоснабжения аварийная подпитка должна обеспечиваться только из систем хозяйственно-питьевого водоснабжения.</w:t>
      </w:r>
      <w:r/>
    </w:p>
    <w:p>
      <w:pPr>
        <w:pStyle w:val="1247"/>
        <w:ind w:left="142" w:right="-53" w:firstLine="709"/>
        <w:jc w:val="both"/>
      </w:pPr>
      <w:r>
        <w:t xml:space="preserve">При возникновении аварийной ситуации на любом участке магистрального трубопровода,</w:t>
      </w:r>
      <w:r>
        <w:t xml:space="preserve"> возможно организовать обеспечение подпитки тепловой сети за счет использования баков аккумуляторов. При серьезных авариях, в случае недостаточного объема подпитки химически обработанной воды, допускается использовать «сырую» воду согласно СНиП «Тепловые с</w:t>
      </w:r>
      <w:r>
        <w:t xml:space="preserve">ети» п.6.17 «Для открытых и закрытых систем теплоснабжения должна предусматриваться дополнительно аварийная подпитка химически не обработанной и недеаэрированной водой, расход которой принимается в количестве 2% объема воды в трубопроводах тепловых сетей».</w:t>
      </w:r>
      <w:r/>
    </w:p>
    <w:p>
      <w:pPr>
        <w:pStyle w:val="1248"/>
        <w:ind w:firstLine="733"/>
        <w:jc w:val="left"/>
      </w:pPr>
      <w:r/>
      <w:r/>
    </w:p>
    <w:p>
      <w:pPr>
        <w:pStyle w:val="1248"/>
        <w:ind w:right="110" w:firstLine="733"/>
      </w:pPr>
      <w:r/>
      <w:bookmarkStart w:id="411" w:name="_Toc130231996"/>
      <w:r/>
      <w:bookmarkStart w:id="412" w:name="_Toc165540776"/>
      <w:r>
        <w:rPr>
          <w:lang w:eastAsia="ru-RU"/>
        </w:rPr>
        <w:t xml:space="preserve">6.5 </w:t>
      </w:r>
      <w:r>
        <w:t xml:space="preserve">Существующий и перспективный баланс производительности водоподготовительных установок и потерь теплоносителя с учётом развития системы </w:t>
      </w:r>
      <w:r>
        <w:rPr>
          <w:spacing w:val="-2"/>
        </w:rPr>
        <w:t xml:space="preserve">теплоснабжения</w:t>
      </w:r>
      <w:bookmarkEnd w:id="411"/>
      <w:r/>
      <w:bookmarkEnd w:id="412"/>
      <w:r/>
      <w:r/>
    </w:p>
    <w:p>
      <w:pPr>
        <w:pStyle w:val="1247"/>
        <w:ind w:left="142" w:firstLine="709"/>
        <w:jc w:val="both"/>
        <w:spacing w:before="120"/>
      </w:pPr>
      <w:r>
        <w:t xml:space="preserve">Изменение баланса производительности водоподготовительных установок и потерь теплоносителя с учетом развития систем теплоснабжения не предполагается.</w:t>
      </w:r>
      <w:r/>
    </w:p>
    <w:p>
      <w:pPr>
        <w:pStyle w:val="1248"/>
        <w:ind w:right="113" w:firstLine="733"/>
        <w:spacing w:before="1"/>
        <w:rPr>
          <w:lang w:eastAsia="ru-RU"/>
        </w:rPr>
      </w:pPr>
      <w:r/>
      <w:bookmarkStart w:id="413" w:name="_bookmark232"/>
      <w:r/>
      <w:bookmarkStart w:id="414" w:name="_Toc130231997"/>
      <w:r/>
      <w:bookmarkStart w:id="415" w:name="_Toc165540777"/>
      <w:r/>
      <w:bookmarkEnd w:id="410"/>
      <w:r/>
      <w:bookmarkEnd w:id="413"/>
      <w:r>
        <w:rPr>
          <w:lang w:eastAsia="ru-RU"/>
        </w:rPr>
      </w:r>
      <w:r>
        <w:rPr>
          <w:lang w:eastAsia="ru-RU"/>
        </w:rPr>
      </w:r>
    </w:p>
    <w:p>
      <w:pPr>
        <w:pStyle w:val="1248"/>
        <w:ind w:right="113" w:firstLine="733"/>
        <w:spacing w:before="1"/>
      </w:pPr>
      <w:r>
        <w:rPr>
          <w:lang w:eastAsia="ru-RU"/>
        </w:rPr>
        <w:t xml:space="preserve">6.6 </w:t>
      </w:r>
      <w:r>
        <w:t xml:space="preserve">Описание изменений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w:t>
      </w:r>
      <w:r>
        <w:rPr>
          <w:spacing w:val="-9"/>
        </w:rPr>
        <w:t xml:space="preserve"> </w:t>
      </w:r>
      <w:r>
        <w:t xml:space="preserve">режимах,</w:t>
      </w:r>
      <w:r>
        <w:rPr>
          <w:spacing w:val="-3"/>
        </w:rPr>
        <w:t xml:space="preserve"> </w:t>
      </w:r>
      <w:r>
        <w:t xml:space="preserve">за</w:t>
      </w:r>
      <w:r>
        <w:rPr>
          <w:spacing w:val="-3"/>
        </w:rPr>
        <w:t xml:space="preserve"> </w:t>
      </w:r>
      <w:r>
        <w:t xml:space="preserve">период,</w:t>
      </w:r>
      <w:r>
        <w:rPr>
          <w:spacing w:val="-4"/>
        </w:rPr>
        <w:t xml:space="preserve"> </w:t>
      </w:r>
      <w:r>
        <w:t xml:space="preserve">предшествующий</w:t>
      </w:r>
      <w:r>
        <w:rPr>
          <w:spacing w:val="-3"/>
        </w:rPr>
        <w:t xml:space="preserve"> </w:t>
      </w:r>
      <w:r>
        <w:t xml:space="preserve">актуализации</w:t>
      </w:r>
      <w:r>
        <w:rPr>
          <w:spacing w:val="-4"/>
        </w:rPr>
        <w:t xml:space="preserve"> </w:t>
      </w:r>
      <w:r>
        <w:t xml:space="preserve">схемы</w:t>
      </w:r>
      <w:r>
        <w:rPr>
          <w:spacing w:val="-4"/>
        </w:rPr>
        <w:t xml:space="preserve"> </w:t>
      </w:r>
      <w:r>
        <w:rPr>
          <w:spacing w:val="-2"/>
        </w:rPr>
        <w:t xml:space="preserve">теплоснабжения</w:t>
      </w:r>
      <w:bookmarkEnd w:id="414"/>
      <w:r/>
      <w:bookmarkEnd w:id="415"/>
      <w:r/>
      <w:r/>
    </w:p>
    <w:p>
      <w:pPr>
        <w:pStyle w:val="1247"/>
        <w:ind w:left="119" w:right="108" w:firstLine="709"/>
        <w:jc w:val="both"/>
        <w:spacing w:before="120"/>
      </w:pPr>
      <w:r>
        <w:t xml:space="preserve">Ранее схема теплоснабжения </w:t>
      </w:r>
      <w:r>
        <w:t xml:space="preserve">Юргамышского</w:t>
      </w:r>
      <w:r>
        <w:t xml:space="preserve"> муниципального округа не была разработана.</w:t>
      </w:r>
      <w:r/>
    </w:p>
    <w:p>
      <w:pPr>
        <w:pStyle w:val="1247"/>
        <w:ind w:left="118"/>
      </w:pPr>
      <w:r/>
      <w:r/>
    </w:p>
    <w:p>
      <w:pPr>
        <w:pStyle w:val="1248"/>
        <w:ind w:right="108" w:firstLine="733"/>
      </w:pPr>
      <w:r/>
      <w:bookmarkStart w:id="416" w:name="_bookmark233"/>
      <w:r/>
      <w:bookmarkStart w:id="417" w:name="_Toc130231998"/>
      <w:r/>
      <w:bookmarkStart w:id="418" w:name="_Toc165540778"/>
      <w:r/>
      <w:bookmarkEnd w:id="416"/>
      <w:r>
        <w:rPr>
          <w:lang w:eastAsia="ru-RU"/>
        </w:rPr>
        <w:t xml:space="preserve">6.7 </w:t>
      </w:r>
      <w:r>
        <w:t xml:space="preserve">Сравнительный анализ расчётных и фактических потерь теплоносителя для всех зон действия источников тепловой энергии за период, предшествующий актуализации схемы теплоснабжения</w:t>
      </w:r>
      <w:bookmarkEnd w:id="417"/>
      <w:r/>
      <w:bookmarkEnd w:id="418"/>
      <w:r/>
      <w:r/>
    </w:p>
    <w:p>
      <w:pPr>
        <w:pStyle w:val="1247"/>
        <w:ind w:left="119" w:right="108" w:firstLine="709"/>
        <w:jc w:val="both"/>
        <w:spacing w:before="120"/>
      </w:pPr>
      <w:r>
        <w:t xml:space="preserve">Ранее схема теплоснабжения </w:t>
      </w:r>
      <w:r>
        <w:t xml:space="preserve">Юргамышского</w:t>
      </w:r>
      <w:r>
        <w:t xml:space="preserve"> муниципального округа не была разработана.</w:t>
      </w:r>
      <w:r/>
    </w:p>
    <w:p>
      <w:pPr>
        <w:jc w:val="both"/>
        <w:sectPr>
          <w:footnotePr/>
          <w:endnotePr/>
          <w:type w:val="nextPage"/>
          <w:pgSz w:w="11910" w:h="16840" w:orient="portrait"/>
          <w:pgMar w:top="1040" w:right="740" w:bottom="940" w:left="1300" w:header="0" w:footer="758" w:gutter="0"/>
          <w:cols w:num="1" w:sep="0" w:space="720" w:equalWidth="1"/>
          <w:docGrid w:linePitch="360"/>
        </w:sectPr>
      </w:pPr>
      <w:r/>
      <w:r/>
    </w:p>
    <w:p>
      <w:pPr>
        <w:pStyle w:val="1248"/>
        <w:ind w:right="106" w:firstLine="707"/>
        <w:spacing w:before="71"/>
      </w:pPr>
      <w:r/>
      <w:bookmarkStart w:id="419" w:name="_bookmark234"/>
      <w:r/>
      <w:bookmarkStart w:id="420" w:name="_Toc130231999"/>
      <w:r/>
      <w:bookmarkStart w:id="421" w:name="_Toc165540779"/>
      <w:r/>
      <w:bookmarkEnd w:id="419"/>
      <w:r>
        <w:t xml:space="preserve">Глава</w:t>
      </w:r>
      <w:r>
        <w:rPr>
          <w:spacing w:val="-3"/>
        </w:rPr>
        <w:t xml:space="preserve"> </w:t>
      </w:r>
      <w:r>
        <w:t xml:space="preserve">7 Предложения</w:t>
      </w:r>
      <w:r>
        <w:rPr>
          <w:spacing w:val="40"/>
        </w:rPr>
        <w:t xml:space="preserve"> </w:t>
      </w:r>
      <w:r>
        <w:t xml:space="preserve">по</w:t>
      </w:r>
      <w:r>
        <w:rPr>
          <w:spacing w:val="40"/>
        </w:rPr>
        <w:t xml:space="preserve"> </w:t>
      </w:r>
      <w:r>
        <w:t xml:space="preserve">строительству,</w:t>
      </w:r>
      <w:r>
        <w:rPr>
          <w:spacing w:val="40"/>
        </w:rPr>
        <w:t xml:space="preserve"> </w:t>
      </w:r>
      <w:r>
        <w:t xml:space="preserve">реконструкции,</w:t>
      </w:r>
      <w:r>
        <w:rPr>
          <w:spacing w:val="40"/>
        </w:rPr>
        <w:t xml:space="preserve"> </w:t>
      </w:r>
      <w:r>
        <w:t xml:space="preserve">техническому перевооружению и (или) модернизации источников тепловой энергии</w:t>
      </w:r>
      <w:bookmarkEnd w:id="420"/>
      <w:r/>
      <w:bookmarkEnd w:id="421"/>
      <w:r/>
      <w:r/>
    </w:p>
    <w:p>
      <w:pPr>
        <w:pStyle w:val="1248"/>
        <w:ind w:right="106" w:firstLine="733"/>
        <w:spacing w:before="120"/>
      </w:pPr>
      <w:r/>
      <w:bookmarkStart w:id="422" w:name="_bookmark235"/>
      <w:r/>
      <w:bookmarkStart w:id="423" w:name="_Toc130232000"/>
      <w:r/>
      <w:bookmarkStart w:id="424" w:name="_Toc165540780"/>
      <w:r/>
      <w:bookmarkEnd w:id="422"/>
      <w:r>
        <w:rPr>
          <w:lang w:eastAsia="ru-RU"/>
        </w:rPr>
        <w:t xml:space="preserve">7.1 </w:t>
      </w:r>
      <w:r>
        <w:t xml:space="preserve">Описание условий организации централизованного </w:t>
      </w:r>
      <w:r>
        <w:t xml:space="preserve">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w:t>
      </w:r>
      <w:r>
        <w:t xml:space="preserve">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расчёт которых выполняется в порядке, установленном методическими указаниями по разработке схем теплоснабжения</w:t>
      </w:r>
      <w:bookmarkEnd w:id="423"/>
      <w:r/>
      <w:bookmarkEnd w:id="424"/>
      <w:r/>
      <w:r/>
    </w:p>
    <w:p>
      <w:pPr>
        <w:pStyle w:val="1247"/>
        <w:ind w:left="119" w:right="113" w:firstLine="709"/>
        <w:jc w:val="both"/>
        <w:spacing w:before="120"/>
      </w:pPr>
      <w:r>
        <w:t xml:space="preserve">Определение условий организации цент</w:t>
      </w:r>
      <w:r>
        <w:t xml:space="preserve">рализованного теплоснабжения, индивидуального теплоснабжения, а также поквартирного отопления производится в соответствии С п.108-110 раздела VI. Методических рекомендаций по разработке схем теплоснабжения. Предложения по реконструкции существующих котельн</w:t>
      </w:r>
      <w:r>
        <w:t xml:space="preserve">ых </w:t>
      </w:r>
      <w:r>
        <w:t xml:space="preserve">Юргамышского</w:t>
      </w:r>
      <w:r>
        <w:t xml:space="preserve"> муниципального округа </w:t>
      </w:r>
      <w:r>
        <w:t xml:space="preserve">осуществляются с использованием расчетов радиуса эффективного теплоснабжения.</w:t>
      </w:r>
      <w:r/>
    </w:p>
    <w:p>
      <w:pPr>
        <w:pStyle w:val="1247"/>
        <w:ind w:left="118" w:right="113" w:firstLine="707"/>
        <w:jc w:val="both"/>
      </w:pPr>
      <w:r>
        <w:t xml:space="preserve">На первом этапе рассчитывается перспективный (с учетом приростов тепловой нагрузки) радиус эффективного теплоснабжения изолированных зон действия, образованных на базе существующих источников тепловой энергии (котельных).</w:t>
      </w:r>
      <w:r/>
    </w:p>
    <w:p>
      <w:pPr>
        <w:pStyle w:val="1247"/>
        <w:ind w:left="118" w:right="113" w:firstLine="707"/>
        <w:jc w:val="both"/>
      </w:pPr>
      <w:r>
        <w:t xml:space="preserve">1.</w:t>
      </w:r>
      <w:r>
        <w:tab/>
        <w:t xml:space="preserve">Если рассчитанный радиус эффективного теплоснабжения больше существующей зоны действия котельн</w:t>
      </w:r>
      <w:r>
        <w:t xml:space="preserve">ых, то возможно увеличение тепловой мощности котельной и расширение зоны ее действия с выводом из эксплуатации котельных, расположенных в радиусе эффективного теплоснабжения. В данном случае осуществляется реконструкция котельной с увеличением ее мощности.</w:t>
      </w:r>
      <w:r/>
    </w:p>
    <w:p>
      <w:pPr>
        <w:pStyle w:val="1247"/>
        <w:ind w:left="118" w:right="113" w:firstLine="707"/>
        <w:jc w:val="both"/>
      </w:pPr>
      <w:r>
        <w:t xml:space="preserve">2.</w:t>
      </w:r>
      <w:r>
        <w:tab/>
        <w:t xml:space="preserve">Если рассчитанный перспективный радиус эффективного теплоснабжения изолированных зон действия существующих котельных меньше, чем существующий радиус теплоснабжения, то расширение зоны действия котельных не целесообразно.</w:t>
      </w:r>
      <w:r/>
    </w:p>
    <w:p>
      <w:pPr>
        <w:pStyle w:val="1247"/>
        <w:ind w:left="118" w:right="113" w:firstLine="707"/>
        <w:jc w:val="both"/>
      </w:pPr>
      <w:r>
        <w:t xml:space="preserve">Предложения по организации индивидуального, в том числе поквартирного теплоснабжения в блокированных жилых зданиях, осуществляются только в зонах застройки поселения малоэтажными жилыми зданиями и плотностью тепловой нагрузки меньше 0,01 Гкал/га.</w:t>
      </w:r>
      <w:r/>
    </w:p>
    <w:p>
      <w:pPr>
        <w:pStyle w:val="1247"/>
        <w:ind w:left="118" w:right="113" w:firstLine="707"/>
        <w:jc w:val="both"/>
      </w:pPr>
      <w:r/>
      <w:r/>
    </w:p>
    <w:p>
      <w:pPr>
        <w:pStyle w:val="1248"/>
        <w:ind w:right="107" w:firstLine="733"/>
      </w:pPr>
      <w:r/>
      <w:bookmarkStart w:id="425" w:name="_bookmark236"/>
      <w:r/>
      <w:bookmarkStart w:id="426" w:name="_Toc130232001"/>
      <w:r/>
      <w:bookmarkStart w:id="427" w:name="_Toc165540781"/>
      <w:r/>
      <w:bookmarkEnd w:id="425"/>
      <w:r>
        <w:rPr>
          <w:lang w:eastAsia="ru-RU"/>
        </w:rPr>
        <w:t xml:space="preserve">7.2 </w:t>
      </w:r>
      <w:r>
        <w:t xml:space="preserve">Описание текущей ситуации, связанной с ран</w:t>
      </w:r>
      <w:r>
        <w:t xml:space="preserve">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надёжного теплоснабжения </w:t>
      </w:r>
      <w:r>
        <w:rPr>
          <w:spacing w:val="-2"/>
        </w:rPr>
        <w:t xml:space="preserve">потребителей</w:t>
      </w:r>
      <w:bookmarkEnd w:id="426"/>
      <w:r/>
      <w:bookmarkEnd w:id="427"/>
      <w:r/>
      <w:r/>
    </w:p>
    <w:p>
      <w:pPr>
        <w:pStyle w:val="1247"/>
        <w:ind w:left="118" w:right="108" w:firstLine="707"/>
        <w:jc w:val="both"/>
        <w:spacing w:before="116"/>
      </w:pPr>
      <w:r>
        <w:t xml:space="preserve">Решения об отнесении генерирующих объектов к генерирующим объектам, мощность которых поставляется в вынужденном режиме в целях обеспечения надёжного теплоснабжения потребителей на территории </w:t>
      </w:r>
      <w:r>
        <w:t xml:space="preserve">Юргамышского</w:t>
      </w:r>
      <w:r>
        <w:t xml:space="preserve"> муниципального округа</w:t>
      </w:r>
      <w:r>
        <w:t xml:space="preserve">, отсутствуют.</w:t>
      </w:r>
      <w:r/>
    </w:p>
    <w:p>
      <w:pPr>
        <w:pStyle w:val="1247"/>
        <w:spacing w:before="7"/>
        <w:rPr>
          <w:sz w:val="16"/>
        </w:rPr>
      </w:pPr>
      <w:r>
        <w:rPr>
          <w:sz w:val="16"/>
        </w:rPr>
      </w:r>
      <w:r>
        <w:rPr>
          <w:sz w:val="16"/>
        </w:rPr>
      </w:r>
      <w:r>
        <w:rPr>
          <w:sz w:val="16"/>
        </w:rPr>
      </w:r>
    </w:p>
    <w:p>
      <w:pPr>
        <w:pStyle w:val="1248"/>
        <w:ind w:right="104" w:firstLine="733"/>
      </w:pPr>
      <w:r/>
      <w:bookmarkStart w:id="428" w:name="_bookmark237"/>
      <w:r/>
      <w:bookmarkStart w:id="429" w:name="_Toc130232002"/>
      <w:r/>
      <w:bookmarkStart w:id="430" w:name="_Toc165540782"/>
      <w:r/>
      <w:bookmarkEnd w:id="428"/>
      <w:r>
        <w:rPr>
          <w:lang w:eastAsia="ru-RU"/>
        </w:rPr>
        <w:t xml:space="preserve">7.3 </w:t>
      </w:r>
      <w:r>
        <w:t xml:space="preserve">Анализ надёжности и качества теплоснабжения для случаев отнесения генерирующего объекта</w:t>
      </w:r>
      <w:r>
        <w:rPr>
          <w:spacing w:val="-2"/>
        </w:rPr>
        <w:t xml:space="preserve"> </w:t>
      </w:r>
      <w:r>
        <w:t xml:space="preserve">к объектам,</w:t>
      </w:r>
      <w:r>
        <w:rPr>
          <w:spacing w:val="-3"/>
        </w:rPr>
        <w:t xml:space="preserve"> </w:t>
      </w:r>
      <w:r>
        <w:t xml:space="preserve">вывод</w:t>
      </w:r>
      <w:r>
        <w:rPr>
          <w:spacing w:val="-2"/>
        </w:rPr>
        <w:t xml:space="preserve"> </w:t>
      </w:r>
      <w:r>
        <w:t xml:space="preserve">которых из эксплуатации может привести</w:t>
      </w:r>
      <w:r>
        <w:rPr>
          <w:spacing w:val="-2"/>
        </w:rPr>
        <w:t xml:space="preserve"> </w:t>
      </w:r>
      <w:r>
        <w:t xml:space="preserve">к нарушению</w:t>
      </w:r>
      <w:r>
        <w:rPr>
          <w:spacing w:val="-9"/>
        </w:rPr>
        <w:t xml:space="preserve"> </w:t>
      </w:r>
      <w:r>
        <w:t xml:space="preserve">надёжности</w:t>
      </w:r>
      <w:r>
        <w:rPr>
          <w:spacing w:val="-10"/>
        </w:rPr>
        <w:t xml:space="preserve"> </w:t>
      </w:r>
      <w:r>
        <w:t xml:space="preserve">теплоснабжения</w:t>
      </w:r>
      <w:r>
        <w:rPr>
          <w:spacing w:val="-9"/>
        </w:rPr>
        <w:t xml:space="preserve"> </w:t>
      </w:r>
      <w:r>
        <w:t xml:space="preserve">(при</w:t>
      </w:r>
      <w:r>
        <w:rPr>
          <w:spacing w:val="-8"/>
        </w:rPr>
        <w:t xml:space="preserve"> </w:t>
      </w:r>
      <w:r>
        <w:t xml:space="preserve">отнесении</w:t>
      </w:r>
      <w:r>
        <w:rPr>
          <w:spacing w:val="-8"/>
        </w:rPr>
        <w:t xml:space="preserve"> </w:t>
      </w:r>
      <w:r>
        <w:t xml:space="preserve">такого</w:t>
      </w:r>
      <w:r>
        <w:rPr>
          <w:spacing w:val="-8"/>
        </w:rPr>
        <w:t xml:space="preserve"> </w:t>
      </w:r>
      <w:r>
        <w:t xml:space="preserve">генерирующего</w:t>
      </w:r>
      <w:r>
        <w:rPr>
          <w:spacing w:val="-8"/>
        </w:rPr>
        <w:t xml:space="preserve"> </w:t>
      </w:r>
      <w:r>
        <w:t xml:space="preserve">объекта к объектам, электрическая мощность которых поставляется в вынужденном режиме в целях обеспечения над</w:t>
      </w:r>
      <w:r>
        <w:t xml:space="preserve">ёжного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bookmarkEnd w:id="429"/>
      <w:r/>
      <w:bookmarkEnd w:id="430"/>
      <w:r/>
      <w:r/>
    </w:p>
    <w:p>
      <w:pPr>
        <w:pStyle w:val="1247"/>
        <w:ind w:left="118" w:right="111" w:firstLine="707"/>
        <w:jc w:val="both"/>
        <w:spacing w:before="116"/>
      </w:pPr>
      <w:r>
        <w:t xml:space="preserve">До конца расчётного периода в </w:t>
      </w:r>
      <w:r>
        <w:t xml:space="preserve">Юргамышском</w:t>
      </w:r>
      <w:r>
        <w:t xml:space="preserve"> муниципальном округе</w:t>
      </w:r>
      <w:r>
        <w:t xml:space="preserve"> </w:t>
      </w:r>
      <w:r>
        <w:t xml:space="preserve">случаев </w:t>
      </w:r>
      <w:r>
        <w:t xml:space="preserve">отнесения генерирующего объекта к объектам, вывод которых из эксплуатации может привести к нарушению надёжности теплоснабжения, не ожидается.</w:t>
      </w:r>
      <w:r/>
    </w:p>
    <w:p>
      <w:pPr>
        <w:pStyle w:val="1247"/>
        <w:ind w:left="118" w:right="111" w:firstLine="707"/>
        <w:jc w:val="both"/>
        <w:spacing w:before="116"/>
      </w:pPr>
      <w:r/>
      <w:r/>
    </w:p>
    <w:p>
      <w:pPr>
        <w:pStyle w:val="1248"/>
        <w:ind w:right="104" w:firstLine="733"/>
        <w:spacing w:before="71"/>
      </w:pPr>
      <w:r/>
      <w:bookmarkStart w:id="431" w:name="_bookmark238"/>
      <w:r/>
      <w:bookmarkStart w:id="432" w:name="_Toc130232003"/>
      <w:r/>
      <w:bookmarkStart w:id="433" w:name="_Toc165540783"/>
      <w:r/>
      <w:bookmarkEnd w:id="431"/>
      <w:r>
        <w:rPr>
          <w:lang w:eastAsia="ru-RU"/>
        </w:rPr>
        <w:t xml:space="preserve">7.4 </w:t>
      </w:r>
      <w:r>
        <w:t xml:space="preserve">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bookmarkEnd w:id="432"/>
      <w:r/>
      <w:bookmarkEnd w:id="433"/>
      <w:r/>
      <w:r/>
    </w:p>
    <w:p>
      <w:pPr>
        <w:pStyle w:val="1247"/>
        <w:ind w:left="118" w:right="109" w:firstLine="707"/>
        <w:jc w:val="both"/>
        <w:spacing w:before="116"/>
      </w:pPr>
      <w:r>
        <w:t xml:space="preserve">Строительство</w:t>
      </w:r>
      <w:r>
        <w:rPr>
          <w:spacing w:val="-15"/>
        </w:rPr>
        <w:t xml:space="preserve"> </w:t>
      </w:r>
      <w:r>
        <w:t xml:space="preserve">источников</w:t>
      </w:r>
      <w:r>
        <w:rPr>
          <w:spacing w:val="-15"/>
        </w:rPr>
        <w:t xml:space="preserve"> </w:t>
      </w:r>
      <w:r>
        <w:t xml:space="preserve">тепловой</w:t>
      </w:r>
      <w:r>
        <w:rPr>
          <w:spacing w:val="-15"/>
        </w:rPr>
        <w:t xml:space="preserve"> </w:t>
      </w:r>
      <w:r>
        <w:t xml:space="preserve">энергии</w:t>
      </w:r>
      <w:r>
        <w:rPr>
          <w:spacing w:val="-15"/>
        </w:rPr>
        <w:t xml:space="preserve"> </w:t>
      </w:r>
      <w:r>
        <w:t xml:space="preserve">с</w:t>
      </w:r>
      <w:r>
        <w:rPr>
          <w:spacing w:val="-15"/>
        </w:rPr>
        <w:t xml:space="preserve"> </w:t>
      </w:r>
      <w:r>
        <w:t xml:space="preserve">комбинированной</w:t>
      </w:r>
      <w:r>
        <w:rPr>
          <w:spacing w:val="-15"/>
        </w:rPr>
        <w:t xml:space="preserve"> </w:t>
      </w:r>
      <w:r>
        <w:t xml:space="preserve">выработкой</w:t>
      </w:r>
      <w:r>
        <w:rPr>
          <w:spacing w:val="-15"/>
        </w:rPr>
        <w:t xml:space="preserve"> </w:t>
      </w:r>
      <w:r>
        <w:t xml:space="preserve">тепловой и электрической энергии для обеспечения перспективных тепловых нагрузок на расчётный период не планируется.</w:t>
      </w:r>
      <w:r/>
    </w:p>
    <w:p>
      <w:pPr>
        <w:pStyle w:val="1247"/>
        <w:spacing w:before="6"/>
        <w:rPr>
          <w:sz w:val="16"/>
        </w:rPr>
      </w:pPr>
      <w:r>
        <w:rPr>
          <w:sz w:val="16"/>
        </w:rPr>
      </w:r>
      <w:r>
        <w:rPr>
          <w:sz w:val="16"/>
        </w:rPr>
      </w:r>
      <w:r>
        <w:rPr>
          <w:sz w:val="16"/>
        </w:rPr>
      </w:r>
    </w:p>
    <w:p>
      <w:pPr>
        <w:pStyle w:val="1248"/>
        <w:ind w:right="111" w:firstLine="733"/>
      </w:pPr>
      <w:r/>
      <w:bookmarkStart w:id="434" w:name="_bookmark239"/>
      <w:r/>
      <w:bookmarkStart w:id="435" w:name="_Toc130232004"/>
      <w:r/>
      <w:bookmarkStart w:id="436" w:name="_Toc165540784"/>
      <w:r/>
      <w:bookmarkEnd w:id="434"/>
      <w:r>
        <w:rPr>
          <w:lang w:eastAsia="ru-RU"/>
        </w:rPr>
        <w:t xml:space="preserve">7.5 </w:t>
      </w:r>
      <w:r>
        <w:t xml:space="preserve">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bookmarkEnd w:id="435"/>
      <w:r/>
      <w:bookmarkEnd w:id="436"/>
      <w:r/>
      <w:r/>
    </w:p>
    <w:p>
      <w:pPr>
        <w:pStyle w:val="1247"/>
        <w:ind w:left="118" w:right="111" w:firstLine="707"/>
        <w:jc w:val="both"/>
        <w:spacing w:before="116"/>
      </w:pPr>
      <w:r>
        <w:t xml:space="preserve">Источники тепловой энергии, функционирующие в режиме комбинированной выработки электрической и тепловой энергии на территории </w:t>
      </w:r>
      <w:r>
        <w:t xml:space="preserve">Юргамышского</w:t>
      </w:r>
      <w:r>
        <w:t xml:space="preserve"> муниципального округа</w:t>
      </w:r>
      <w:r>
        <w:t xml:space="preserve">, отсутствуют.</w:t>
      </w:r>
      <w:r>
        <w:rPr>
          <w:spacing w:val="-5"/>
        </w:rPr>
        <w:t xml:space="preserve"> </w:t>
      </w:r>
      <w:r>
        <w:t xml:space="preserve">Перспективные</w:t>
      </w:r>
      <w:r>
        <w:rPr>
          <w:spacing w:val="-7"/>
        </w:rPr>
        <w:t xml:space="preserve"> </w:t>
      </w:r>
      <w:r>
        <w:t xml:space="preserve">потребители</w:t>
      </w:r>
      <w:r>
        <w:rPr>
          <w:spacing w:val="-5"/>
        </w:rPr>
        <w:t xml:space="preserve"> </w:t>
      </w:r>
      <w:r>
        <w:t xml:space="preserve">тепловой</w:t>
      </w:r>
      <w:r>
        <w:rPr>
          <w:spacing w:val="-5"/>
        </w:rPr>
        <w:t xml:space="preserve"> </w:t>
      </w:r>
      <w:r>
        <w:t xml:space="preserve">нагрузки</w:t>
      </w:r>
      <w:r>
        <w:rPr>
          <w:spacing w:val="-5"/>
        </w:rPr>
        <w:t xml:space="preserve"> </w:t>
      </w:r>
      <w:r>
        <w:t xml:space="preserve">будут</w:t>
      </w:r>
      <w:r>
        <w:rPr>
          <w:spacing w:val="-3"/>
        </w:rPr>
        <w:t xml:space="preserve"> </w:t>
      </w:r>
      <w:r>
        <w:t xml:space="preserve">обеспечиваться</w:t>
      </w:r>
      <w:r>
        <w:rPr>
          <w:spacing w:val="-5"/>
        </w:rPr>
        <w:t xml:space="preserve"> </w:t>
      </w:r>
      <w:r>
        <w:t xml:space="preserve">тепловой энергией от существующих источников тепловой энергии.</w:t>
      </w:r>
      <w:r/>
    </w:p>
    <w:p>
      <w:pPr>
        <w:pStyle w:val="1247"/>
        <w:spacing w:before="7"/>
        <w:rPr>
          <w:sz w:val="16"/>
        </w:rPr>
      </w:pPr>
      <w:r>
        <w:rPr>
          <w:sz w:val="16"/>
        </w:rPr>
      </w:r>
      <w:r>
        <w:rPr>
          <w:sz w:val="16"/>
        </w:rPr>
      </w:r>
      <w:r>
        <w:rPr>
          <w:sz w:val="16"/>
        </w:rPr>
      </w:r>
    </w:p>
    <w:p>
      <w:pPr>
        <w:pStyle w:val="1248"/>
        <w:ind w:right="111" w:firstLine="733"/>
      </w:pPr>
      <w:r/>
      <w:bookmarkStart w:id="437" w:name="_bookmark240"/>
      <w:r/>
      <w:bookmarkStart w:id="438" w:name="_Toc130232005"/>
      <w:r/>
      <w:bookmarkStart w:id="439" w:name="_Toc165540785"/>
      <w:r/>
      <w:bookmarkEnd w:id="437"/>
      <w:r>
        <w:rPr>
          <w:lang w:eastAsia="ru-RU"/>
        </w:rPr>
        <w:t xml:space="preserve">7.6 </w:t>
      </w:r>
      <w:r>
        <w:t xml:space="preserve">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w:t>
      </w:r>
      <w:r>
        <w:rPr>
          <w:spacing w:val="-15"/>
        </w:rPr>
        <w:t xml:space="preserve"> </w:t>
      </w:r>
      <w:r>
        <w:t xml:space="preserve">и</w:t>
      </w:r>
      <w:r>
        <w:rPr>
          <w:spacing w:val="-15"/>
        </w:rPr>
        <w:t xml:space="preserve"> </w:t>
      </w:r>
      <w:r>
        <w:t xml:space="preserve">тепловой</w:t>
      </w:r>
      <w:r>
        <w:rPr>
          <w:spacing w:val="-15"/>
        </w:rPr>
        <w:t xml:space="preserve"> </w:t>
      </w:r>
      <w:r>
        <w:t xml:space="preserve">энергии,</w:t>
      </w:r>
      <w:r>
        <w:rPr>
          <w:spacing w:val="-15"/>
        </w:rPr>
        <w:t xml:space="preserve"> </w:t>
      </w:r>
      <w:r>
        <w:t xml:space="preserve">с</w:t>
      </w:r>
      <w:r>
        <w:rPr>
          <w:spacing w:val="-15"/>
        </w:rPr>
        <w:t xml:space="preserve"> </w:t>
      </w:r>
      <w:r>
        <w:t xml:space="preserve">выработкой</w:t>
      </w:r>
      <w:r>
        <w:rPr>
          <w:spacing w:val="-15"/>
        </w:rPr>
        <w:t xml:space="preserve"> </w:t>
      </w:r>
      <w:r>
        <w:t xml:space="preserve">электроэнергии</w:t>
      </w:r>
      <w:r>
        <w:rPr>
          <w:spacing w:val="-15"/>
        </w:rPr>
        <w:t xml:space="preserve"> </w:t>
      </w:r>
      <w:r>
        <w:t xml:space="preserve">на</w:t>
      </w:r>
      <w:r>
        <w:rPr>
          <w:spacing w:val="-15"/>
        </w:rPr>
        <w:t xml:space="preserve"> </w:t>
      </w:r>
      <w:r>
        <w:t xml:space="preserve">собственные</w:t>
      </w:r>
      <w:r>
        <w:rPr>
          <w:spacing w:val="-15"/>
        </w:rPr>
        <w:t xml:space="preserve"> </w:t>
      </w:r>
      <w:r>
        <w:t xml:space="preserve">нужды теплоснабжающей организации в отношении источника тепловой энергии, на базе существующих и перспективных тепловых нагрузок</w:t>
      </w:r>
      <w:bookmarkEnd w:id="438"/>
      <w:r/>
      <w:bookmarkEnd w:id="439"/>
      <w:r/>
      <w:r/>
    </w:p>
    <w:p>
      <w:pPr>
        <w:pStyle w:val="1247"/>
        <w:ind w:left="118" w:right="111" w:firstLine="707"/>
        <w:jc w:val="both"/>
        <w:spacing w:before="116"/>
      </w:pPr>
      <w:r>
        <w:t xml:space="preserve">Реконструкция</w:t>
      </w:r>
      <w:r>
        <w:rPr>
          <w:spacing w:val="-13"/>
        </w:rPr>
        <w:t xml:space="preserve"> </w:t>
      </w:r>
      <w:r>
        <w:t xml:space="preserve">котельных</w:t>
      </w:r>
      <w:r>
        <w:rPr>
          <w:spacing w:val="-11"/>
        </w:rPr>
        <w:t xml:space="preserve"> </w:t>
      </w:r>
      <w:r>
        <w:t xml:space="preserve">для</w:t>
      </w:r>
      <w:r>
        <w:rPr>
          <w:spacing w:val="-12"/>
        </w:rPr>
        <w:t xml:space="preserve"> </w:t>
      </w:r>
      <w:r>
        <w:t xml:space="preserve">выработки</w:t>
      </w:r>
      <w:r>
        <w:rPr>
          <w:spacing w:val="-12"/>
        </w:rPr>
        <w:t xml:space="preserve"> </w:t>
      </w:r>
      <w:r>
        <w:t xml:space="preserve">электроэнергии</w:t>
      </w:r>
      <w:r>
        <w:rPr>
          <w:spacing w:val="-12"/>
        </w:rPr>
        <w:t xml:space="preserve"> </w:t>
      </w:r>
      <w:r>
        <w:t xml:space="preserve">в</w:t>
      </w:r>
      <w:r>
        <w:rPr>
          <w:spacing w:val="-15"/>
        </w:rPr>
        <w:t xml:space="preserve"> </w:t>
      </w:r>
      <w:r>
        <w:t xml:space="preserve">комбинированном</w:t>
      </w:r>
      <w:r>
        <w:rPr>
          <w:spacing w:val="-13"/>
        </w:rPr>
        <w:t xml:space="preserve"> </w:t>
      </w:r>
      <w:r>
        <w:t xml:space="preserve">цикле</w:t>
      </w:r>
      <w:r>
        <w:rPr>
          <w:spacing w:val="-13"/>
        </w:rPr>
        <w:t xml:space="preserve"> </w:t>
      </w:r>
      <w:r>
        <w:t xml:space="preserve">на базе существующих и перспективных нагрузок на расчётный период не планируется.</w:t>
      </w:r>
      <w:r/>
    </w:p>
    <w:p>
      <w:pPr>
        <w:pStyle w:val="1247"/>
        <w:spacing w:before="6"/>
        <w:rPr>
          <w:sz w:val="16"/>
        </w:rPr>
      </w:pPr>
      <w:r>
        <w:rPr>
          <w:sz w:val="16"/>
        </w:rPr>
      </w:r>
      <w:r>
        <w:rPr>
          <w:sz w:val="16"/>
        </w:rPr>
      </w:r>
      <w:r>
        <w:rPr>
          <w:sz w:val="16"/>
        </w:rPr>
      </w:r>
    </w:p>
    <w:p>
      <w:pPr>
        <w:pStyle w:val="1248"/>
        <w:ind w:right="103" w:firstLine="733"/>
      </w:pPr>
      <w:r/>
      <w:bookmarkStart w:id="440" w:name="_bookmark241"/>
      <w:r/>
      <w:bookmarkStart w:id="441" w:name="_Toc130232006"/>
      <w:r/>
      <w:bookmarkStart w:id="442" w:name="_Toc165540786"/>
      <w:r/>
      <w:bookmarkEnd w:id="440"/>
      <w:r>
        <w:rPr>
          <w:lang w:eastAsia="ru-RU"/>
        </w:rPr>
        <w:t xml:space="preserve">7.7 </w:t>
      </w:r>
      <w:r>
        <w:t xml:space="preserve">Обоснование предлагаемых для реконструкции и (или) модернизации котельных с увеличением зоны их действия путём включения в неё зон действия существующих источников тепловой энергии</w:t>
      </w:r>
      <w:bookmarkEnd w:id="441"/>
      <w:r/>
      <w:bookmarkEnd w:id="442"/>
      <w:r/>
      <w:r/>
    </w:p>
    <w:p>
      <w:pPr>
        <w:pStyle w:val="1247"/>
        <w:ind w:left="118" w:right="113" w:firstLine="707"/>
        <w:jc w:val="both"/>
        <w:spacing w:before="116"/>
      </w:pPr>
      <w:r>
        <w:t xml:space="preserve">На</w:t>
      </w:r>
      <w:r>
        <w:rPr>
          <w:spacing w:val="-15"/>
        </w:rPr>
        <w:t xml:space="preserve"> </w:t>
      </w:r>
      <w:r>
        <w:t xml:space="preserve">территории</w:t>
      </w:r>
      <w:r>
        <w:rPr>
          <w:spacing w:val="-15"/>
        </w:rPr>
        <w:t xml:space="preserve"> </w:t>
      </w:r>
      <w:r>
        <w:t xml:space="preserve">Юргамышского</w:t>
      </w:r>
      <w:r>
        <w:t xml:space="preserve"> муниципального округа </w:t>
      </w:r>
      <w:r>
        <w:t xml:space="preserve">увеличение</w:t>
      </w:r>
      <w:r>
        <w:rPr>
          <w:spacing w:val="-15"/>
        </w:rPr>
        <w:t xml:space="preserve"> </w:t>
      </w:r>
      <w:r>
        <w:t xml:space="preserve">зоны</w:t>
      </w:r>
      <w:r>
        <w:rPr>
          <w:spacing w:val="-15"/>
        </w:rPr>
        <w:t xml:space="preserve"> </w:t>
      </w:r>
      <w:r>
        <w:t xml:space="preserve">действия</w:t>
      </w:r>
      <w:r>
        <w:rPr>
          <w:spacing w:val="-15"/>
        </w:rPr>
        <w:t xml:space="preserve"> </w:t>
      </w:r>
      <w:r>
        <w:t xml:space="preserve">централизованных источников</w:t>
      </w:r>
      <w:r>
        <w:rPr>
          <w:spacing w:val="-6"/>
        </w:rPr>
        <w:t xml:space="preserve"> </w:t>
      </w:r>
      <w:r>
        <w:t xml:space="preserve">теплоснабжения</w:t>
      </w:r>
      <w:r>
        <w:rPr>
          <w:spacing w:val="-3"/>
        </w:rPr>
        <w:t xml:space="preserve"> </w:t>
      </w:r>
      <w:r>
        <w:t xml:space="preserve">путём</w:t>
      </w:r>
      <w:r>
        <w:rPr>
          <w:spacing w:val="-4"/>
        </w:rPr>
        <w:t xml:space="preserve"> </w:t>
      </w:r>
      <w:r>
        <w:t xml:space="preserve">включения</w:t>
      </w:r>
      <w:r>
        <w:rPr>
          <w:spacing w:val="-3"/>
        </w:rPr>
        <w:t xml:space="preserve"> </w:t>
      </w:r>
      <w:r>
        <w:t xml:space="preserve">в</w:t>
      </w:r>
      <w:r>
        <w:rPr>
          <w:spacing w:val="-4"/>
        </w:rPr>
        <w:t xml:space="preserve"> </w:t>
      </w:r>
      <w:r>
        <w:t xml:space="preserve">неё</w:t>
      </w:r>
      <w:r>
        <w:rPr>
          <w:spacing w:val="-4"/>
        </w:rPr>
        <w:t xml:space="preserve"> </w:t>
      </w:r>
      <w:r>
        <w:t xml:space="preserve">зон</w:t>
      </w:r>
      <w:r>
        <w:rPr>
          <w:spacing w:val="-2"/>
        </w:rPr>
        <w:t xml:space="preserve"> </w:t>
      </w:r>
      <w:r>
        <w:t xml:space="preserve">действия</w:t>
      </w:r>
      <w:r>
        <w:rPr>
          <w:spacing w:val="-3"/>
        </w:rPr>
        <w:t xml:space="preserve"> </w:t>
      </w:r>
      <w:r>
        <w:t xml:space="preserve">существующих</w:t>
      </w:r>
      <w:r>
        <w:rPr>
          <w:spacing w:val="-1"/>
        </w:rPr>
        <w:t xml:space="preserve"> </w:t>
      </w:r>
      <w:r>
        <w:t xml:space="preserve">источников тепловой энергии не планируется.</w:t>
      </w:r>
      <w:r/>
    </w:p>
    <w:p>
      <w:pPr>
        <w:pStyle w:val="1247"/>
        <w:ind w:left="119" w:right="113" w:firstLine="709"/>
        <w:jc w:val="both"/>
      </w:pPr>
      <w:r/>
      <w:r/>
    </w:p>
    <w:p>
      <w:pPr>
        <w:pStyle w:val="1248"/>
        <w:ind w:right="109" w:firstLine="733"/>
      </w:pPr>
      <w:r/>
      <w:bookmarkStart w:id="443" w:name="_bookmark242"/>
      <w:r/>
      <w:bookmarkStart w:id="444" w:name="_Toc130232007"/>
      <w:r/>
      <w:bookmarkStart w:id="445" w:name="_Toc165540787"/>
      <w:r/>
      <w:bookmarkEnd w:id="443"/>
      <w:r>
        <w:rPr>
          <w:lang w:eastAsia="ru-RU"/>
        </w:rPr>
        <w:t xml:space="preserve">7.8 </w:t>
      </w:r>
      <w:r>
        <w:t xml:space="preserve">Обоснование</w:t>
      </w:r>
      <w:r>
        <w:rPr>
          <w:spacing w:val="-15"/>
        </w:rPr>
        <w:t xml:space="preserve"> </w:t>
      </w:r>
      <w:r>
        <w:t xml:space="preserve">предлагаемых</w:t>
      </w:r>
      <w:r>
        <w:rPr>
          <w:spacing w:val="-15"/>
        </w:rPr>
        <w:t xml:space="preserve"> </w:t>
      </w:r>
      <w:r>
        <w:t xml:space="preserve">для</w:t>
      </w:r>
      <w:r>
        <w:rPr>
          <w:spacing w:val="-15"/>
        </w:rPr>
        <w:t xml:space="preserve"> </w:t>
      </w:r>
      <w:r>
        <w:t xml:space="preserve">перевода</w:t>
      </w:r>
      <w:r>
        <w:rPr>
          <w:spacing w:val="-15"/>
        </w:rPr>
        <w:t xml:space="preserve"> </w:t>
      </w:r>
      <w:r>
        <w:t xml:space="preserve">в</w:t>
      </w:r>
      <w:r>
        <w:rPr>
          <w:spacing w:val="-15"/>
        </w:rPr>
        <w:t xml:space="preserve"> </w:t>
      </w:r>
      <w:r>
        <w:t xml:space="preserve">пиковый</w:t>
      </w:r>
      <w:r>
        <w:rPr>
          <w:spacing w:val="-15"/>
        </w:rPr>
        <w:t xml:space="preserve"> </w:t>
      </w:r>
      <w:r>
        <w:t xml:space="preserve">режим</w:t>
      </w:r>
      <w:r>
        <w:rPr>
          <w:spacing w:val="-15"/>
        </w:rPr>
        <w:t xml:space="preserve"> </w:t>
      </w:r>
      <w:r>
        <w:t xml:space="preserve">работы</w:t>
      </w:r>
      <w:r>
        <w:rPr>
          <w:spacing w:val="-15"/>
        </w:rPr>
        <w:t xml:space="preserve"> </w:t>
      </w:r>
      <w:r>
        <w:t xml:space="preserve">котельных по отношению к источникам тепловой энергии, функционирующим в режиме комбинированной выработки электрической и тепловой энергии</w:t>
      </w:r>
      <w:bookmarkEnd w:id="444"/>
      <w:r/>
      <w:bookmarkEnd w:id="445"/>
      <w:r/>
      <w:r/>
    </w:p>
    <w:p>
      <w:pPr>
        <w:pStyle w:val="1247"/>
        <w:ind w:left="118" w:right="110" w:firstLine="707"/>
        <w:jc w:val="both"/>
        <w:spacing w:before="115"/>
      </w:pPr>
      <w:r>
        <w:t xml:space="preserve">Источники тепловой энергии с комбинированной выработкой тепловой и электрической энергии в </w:t>
      </w:r>
      <w:r>
        <w:t xml:space="preserve">Юргамышском</w:t>
      </w:r>
      <w:r>
        <w:t xml:space="preserve"> муниципальном округе</w:t>
      </w:r>
      <w:r>
        <w:t xml:space="preserve"> </w:t>
      </w:r>
      <w:r>
        <w:t xml:space="preserve">отсутствуют, перевод в пиковый режим работы котельных не требуется.</w:t>
      </w:r>
      <w:r/>
    </w:p>
    <w:p>
      <w:pPr>
        <w:pStyle w:val="1247"/>
        <w:spacing w:before="7"/>
        <w:rPr>
          <w:sz w:val="16"/>
        </w:rPr>
      </w:pPr>
      <w:r>
        <w:rPr>
          <w:sz w:val="16"/>
        </w:rPr>
      </w:r>
      <w:r>
        <w:rPr>
          <w:sz w:val="16"/>
        </w:rPr>
      </w:r>
      <w:r>
        <w:rPr>
          <w:sz w:val="16"/>
        </w:rPr>
      </w:r>
    </w:p>
    <w:p>
      <w:pPr>
        <w:pStyle w:val="1248"/>
        <w:ind w:right="110" w:firstLine="733"/>
      </w:pPr>
      <w:r/>
      <w:bookmarkStart w:id="446" w:name="_bookmark243"/>
      <w:r/>
      <w:bookmarkStart w:id="447" w:name="_Toc130232008"/>
      <w:r/>
      <w:bookmarkStart w:id="448" w:name="_Toc165540788"/>
      <w:r/>
      <w:bookmarkEnd w:id="446"/>
      <w:r>
        <w:rPr>
          <w:lang w:eastAsia="ru-RU"/>
        </w:rPr>
        <w:t xml:space="preserve">7.9 </w:t>
      </w:r>
      <w:r>
        <w:t xml:space="preserve">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bookmarkEnd w:id="447"/>
      <w:r/>
      <w:bookmarkEnd w:id="448"/>
      <w:r/>
      <w:r/>
    </w:p>
    <w:p>
      <w:pPr>
        <w:pStyle w:val="1247"/>
        <w:ind w:left="118" w:right="112" w:firstLine="707"/>
        <w:jc w:val="both"/>
        <w:spacing w:before="116"/>
      </w:pPr>
      <w:r>
        <w:t xml:space="preserve">Источники тепловой энергии с комбинированной выработкой тепл</w:t>
      </w:r>
      <w:r>
        <w:t xml:space="preserve">овой и электрической энергии в </w:t>
      </w:r>
      <w:r>
        <w:t xml:space="preserve">Юргамышском</w:t>
      </w:r>
      <w:r>
        <w:t xml:space="preserve"> муниципальном округе </w:t>
      </w:r>
      <w:r>
        <w:t xml:space="preserve">отсутствуют. Обоснование предложений по расширению зон действия источников не требуется.</w:t>
      </w:r>
      <w:r/>
    </w:p>
    <w:p>
      <w:pPr>
        <w:pStyle w:val="1247"/>
        <w:ind w:left="118" w:right="112" w:firstLine="707"/>
        <w:jc w:val="both"/>
        <w:spacing w:before="116"/>
      </w:pPr>
      <w:r/>
      <w:r/>
    </w:p>
    <w:p>
      <w:pPr>
        <w:rPr>
          <w:b/>
          <w:bCs/>
          <w:sz w:val="24"/>
          <w:szCs w:val="24"/>
          <w:lang w:eastAsia="ru-RU"/>
        </w:rPr>
      </w:pPr>
      <w:r/>
      <w:bookmarkStart w:id="449" w:name="_bookmark244"/>
      <w:r/>
      <w:bookmarkStart w:id="450" w:name="_Toc130232009"/>
      <w:r/>
      <w:bookmarkStart w:id="451" w:name="_Toc165540789"/>
      <w:r/>
      <w:bookmarkEnd w:id="449"/>
      <w:r>
        <w:rPr>
          <w:lang w:eastAsia="ru-RU"/>
        </w:rPr>
        <w:br w:type="page" w:clear="all"/>
      </w:r>
      <w:r>
        <w:rPr>
          <w:b/>
          <w:bCs/>
          <w:sz w:val="24"/>
          <w:szCs w:val="24"/>
          <w:lang w:eastAsia="ru-RU"/>
        </w:rPr>
      </w:r>
      <w:r>
        <w:rPr>
          <w:b/>
          <w:bCs/>
          <w:sz w:val="24"/>
          <w:szCs w:val="24"/>
          <w:lang w:eastAsia="ru-RU"/>
        </w:rPr>
      </w:r>
    </w:p>
    <w:p>
      <w:pPr>
        <w:pStyle w:val="1248"/>
        <w:ind w:right="111" w:firstLine="733"/>
        <w:spacing w:before="71"/>
      </w:pPr>
      <w:r>
        <w:rPr>
          <w:lang w:eastAsia="ru-RU"/>
        </w:rPr>
        <w:t xml:space="preserve">7.10 </w:t>
      </w:r>
      <w:r>
        <w:t xml:space="preserve">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bookmarkEnd w:id="450"/>
      <w:r/>
      <w:bookmarkEnd w:id="451"/>
      <w:r/>
      <w:r/>
    </w:p>
    <w:p>
      <w:pPr>
        <w:pStyle w:val="1247"/>
        <w:ind w:left="118" w:right="104" w:firstLine="707"/>
        <w:jc w:val="both"/>
        <w:spacing w:before="116"/>
      </w:pPr>
      <w:r>
        <w:t xml:space="preserve">Одним из направлений развития теплоснабжения в Юргамышском муниципальном округе является перевод </w:t>
      </w:r>
      <w:r>
        <w:t xml:space="preserve">твердотопливных </w:t>
      </w:r>
      <w:r>
        <w:t xml:space="preserve">котельных на природный газ. В связи с этим, в с. Чинеево в сентябре 202</w:t>
      </w:r>
      <w:r>
        <w:t xml:space="preserve">4 г. вместо угольной котельной по ул. Центральная, 7Б планируется построить 2 отдельностоящие газовые БМК для МКОУ Чинеевская СОШ» и  Чинеевского культурно-досугового объединения. Угольная котельная по ул. Центральная, 7Б  подлежит выводу из эксплуатации. </w:t>
      </w:r>
      <w:r/>
    </w:p>
    <w:p>
      <w:pPr>
        <w:pStyle w:val="1247"/>
        <w:spacing w:before="6"/>
        <w:rPr>
          <w:sz w:val="16"/>
        </w:rPr>
      </w:pPr>
      <w:r>
        <w:rPr>
          <w:sz w:val="16"/>
        </w:rPr>
      </w:r>
      <w:r>
        <w:rPr>
          <w:sz w:val="16"/>
        </w:rPr>
      </w:r>
      <w:r>
        <w:rPr>
          <w:sz w:val="16"/>
        </w:rPr>
      </w:r>
    </w:p>
    <w:p>
      <w:pPr>
        <w:pStyle w:val="1248"/>
        <w:ind w:right="111" w:firstLine="733"/>
      </w:pPr>
      <w:r/>
      <w:bookmarkStart w:id="452" w:name="_bookmark245"/>
      <w:r/>
      <w:bookmarkStart w:id="453" w:name="_Toc130232010"/>
      <w:r/>
      <w:bookmarkStart w:id="454" w:name="_Toc165540790"/>
      <w:r/>
      <w:bookmarkEnd w:id="452"/>
      <w:r>
        <w:rPr>
          <w:lang w:eastAsia="ru-RU"/>
        </w:rPr>
        <w:t xml:space="preserve">7.11 </w:t>
      </w:r>
      <w:r>
        <w:t xml:space="preserve">Обоснование организации индивидуального теплоснабжения в зонах застройки поселения малоэтажными жилыми зданиями</w:t>
      </w:r>
      <w:bookmarkEnd w:id="453"/>
      <w:r/>
      <w:bookmarkEnd w:id="454"/>
      <w:r/>
      <w:r/>
    </w:p>
    <w:p>
      <w:pPr>
        <w:pStyle w:val="1247"/>
        <w:ind w:left="118" w:right="108" w:firstLine="707"/>
        <w:jc w:val="both"/>
        <w:spacing w:before="116"/>
      </w:pPr>
      <w:r>
        <w:t xml:space="preserve">Мероприятия по внедрению индивидуального теплоснабжения в зонах застройки малоэтажными жилыми зданиями данной схемой не предусматриваются.</w:t>
      </w:r>
      <w:r/>
    </w:p>
    <w:p>
      <w:pPr>
        <w:pStyle w:val="1247"/>
        <w:ind w:left="119" w:right="108" w:firstLine="709"/>
        <w:jc w:val="both"/>
      </w:pPr>
      <w:r>
        <w:t xml:space="preserve">Следует отметить, что в соответ</w:t>
      </w:r>
      <w:r>
        <w:t xml:space="preserve">ствии с пунктом 1 статьи 26 Жилищного кодекса Российской Федерации, переустройство и перепланировка жилого помещения проводятся с соблюдением требований законодательства по согласованию с органами местного самоуправления, на основании принятого им решения.</w:t>
      </w:r>
      <w:r/>
    </w:p>
    <w:p>
      <w:pPr>
        <w:pStyle w:val="1247"/>
        <w:ind w:left="119" w:right="108" w:firstLine="709"/>
        <w:jc w:val="both"/>
      </w:pPr>
      <w:r>
        <w:t xml:space="preserve">В соответствии с пунктом 3 части 2 стать</w:t>
      </w:r>
      <w:r>
        <w:t xml:space="preserve">и 26 ЖК РФ для проведения переустройства и (или) перепланировки помещения собственник обязан представить подготовленный и оформленный в установленном порядке проект переустройства и (или) перепланировки переустраиваемого и (или) перепланируемого помещения.</w:t>
      </w:r>
      <w:r/>
    </w:p>
    <w:p>
      <w:pPr>
        <w:pStyle w:val="1247"/>
        <w:ind w:left="119" w:right="108" w:firstLine="709"/>
        <w:jc w:val="both"/>
      </w:pPr>
      <w:r>
        <w:t xml:space="preserve">Завершение переустройства и (или) перепланировки жилого помещения подтверждается актом приемочной комиссии (часть 1 статьи 28 ЖК РФ).</w:t>
      </w:r>
      <w:r/>
    </w:p>
    <w:p>
      <w:pPr>
        <w:pStyle w:val="1247"/>
        <w:spacing w:before="7"/>
        <w:rPr>
          <w:sz w:val="16"/>
        </w:rPr>
      </w:pPr>
      <w:r>
        <w:rPr>
          <w:sz w:val="16"/>
        </w:rPr>
      </w:r>
      <w:r>
        <w:rPr>
          <w:sz w:val="16"/>
        </w:rPr>
      </w:r>
      <w:r>
        <w:rPr>
          <w:sz w:val="16"/>
        </w:rPr>
      </w:r>
    </w:p>
    <w:p>
      <w:pPr>
        <w:pStyle w:val="1248"/>
        <w:ind w:right="105" w:firstLine="733"/>
      </w:pPr>
      <w:r/>
      <w:bookmarkStart w:id="455" w:name="_bookmark246"/>
      <w:r/>
      <w:bookmarkStart w:id="456" w:name="_Toc130232011"/>
      <w:r/>
      <w:bookmarkStart w:id="457" w:name="_Toc165540791"/>
      <w:r/>
      <w:bookmarkEnd w:id="455"/>
      <w:r>
        <w:rPr>
          <w:lang w:eastAsia="ru-RU"/>
        </w:rPr>
        <w:t xml:space="preserve">7.12 </w:t>
      </w:r>
      <w:r>
        <w:t xml:space="preserve">Обоснование</w:t>
      </w:r>
      <w:r>
        <w:rPr>
          <w:spacing w:val="-11"/>
        </w:rPr>
        <w:t xml:space="preserve"> </w:t>
      </w:r>
      <w:r>
        <w:t xml:space="preserve">перспективных</w:t>
      </w:r>
      <w:r>
        <w:rPr>
          <w:spacing w:val="-10"/>
        </w:rPr>
        <w:t xml:space="preserve"> </w:t>
      </w:r>
      <w:r>
        <w:t xml:space="preserve">балансов</w:t>
      </w:r>
      <w:r>
        <w:rPr>
          <w:spacing w:val="-10"/>
        </w:rPr>
        <w:t xml:space="preserve"> </w:t>
      </w:r>
      <w:r>
        <w:t xml:space="preserve">производства</w:t>
      </w:r>
      <w:r>
        <w:rPr>
          <w:spacing w:val="-10"/>
        </w:rPr>
        <w:t xml:space="preserve"> </w:t>
      </w:r>
      <w:r>
        <w:t xml:space="preserve">и</w:t>
      </w:r>
      <w:r>
        <w:rPr>
          <w:spacing w:val="-12"/>
        </w:rPr>
        <w:t xml:space="preserve"> </w:t>
      </w:r>
      <w:r>
        <w:t xml:space="preserve">потребления</w:t>
      </w:r>
      <w:r>
        <w:rPr>
          <w:spacing w:val="-11"/>
        </w:rPr>
        <w:t xml:space="preserve"> </w:t>
      </w:r>
      <w:r>
        <w:t xml:space="preserve">тепловой мощности источников тепловой энергии и теплоносителя и присоединённой тепловой нагрузки в каждой из систем теплоснабжения поселения</w:t>
      </w:r>
      <w:bookmarkEnd w:id="456"/>
      <w:r/>
      <w:bookmarkEnd w:id="457"/>
      <w:r/>
      <w:r/>
    </w:p>
    <w:p>
      <w:pPr>
        <w:pStyle w:val="1247"/>
        <w:ind w:left="119" w:right="108" w:firstLine="709"/>
        <w:jc w:val="both"/>
        <w:spacing w:before="120"/>
      </w:pPr>
      <w:r>
        <w:t xml:space="preserve">Перспективная тепловая мощность источник</w:t>
      </w:r>
      <w:r>
        <w:t xml:space="preserve">ов теплоснабжения не изменится.</w:t>
      </w:r>
      <w:r/>
    </w:p>
    <w:p>
      <w:pPr>
        <w:pStyle w:val="1247"/>
        <w:ind w:left="119" w:right="108" w:firstLine="709"/>
        <w:jc w:val="both"/>
      </w:pPr>
      <w:r>
        <w:t xml:space="preserve">Перераспределения тепловой нагрузки не планируется.</w:t>
      </w:r>
      <w:r/>
    </w:p>
    <w:p>
      <w:pPr>
        <w:pStyle w:val="1247"/>
        <w:spacing w:before="7"/>
        <w:rPr>
          <w:sz w:val="16"/>
        </w:rPr>
      </w:pPr>
      <w:r>
        <w:rPr>
          <w:sz w:val="16"/>
        </w:rPr>
      </w:r>
      <w:r>
        <w:rPr>
          <w:sz w:val="16"/>
        </w:rPr>
      </w:r>
      <w:r>
        <w:rPr>
          <w:sz w:val="16"/>
        </w:rPr>
      </w:r>
    </w:p>
    <w:p>
      <w:pPr>
        <w:pStyle w:val="1248"/>
        <w:ind w:right="108" w:firstLine="733"/>
      </w:pPr>
      <w:r/>
      <w:bookmarkStart w:id="458" w:name="_bookmark247"/>
      <w:r/>
      <w:bookmarkStart w:id="459" w:name="_Toc130232012"/>
      <w:r/>
      <w:bookmarkStart w:id="460" w:name="_Toc165540792"/>
      <w:r/>
      <w:bookmarkEnd w:id="458"/>
      <w:r>
        <w:rPr>
          <w:lang w:eastAsia="ru-RU"/>
        </w:rPr>
        <w:t xml:space="preserve">7.13 </w:t>
      </w:r>
      <w:r>
        <w:t xml:space="preserve">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bookmarkEnd w:id="459"/>
      <w:r/>
      <w:bookmarkEnd w:id="460"/>
      <w:r/>
      <w:r/>
    </w:p>
    <w:p>
      <w:pPr>
        <w:pStyle w:val="1247"/>
        <w:ind w:left="118" w:right="113" w:firstLine="707"/>
        <w:jc w:val="both"/>
        <w:spacing w:before="115"/>
      </w:pPr>
      <w:r>
        <w:t xml:space="preserve">На территории </w:t>
      </w:r>
      <w:r>
        <w:t xml:space="preserve">Юргамышского</w:t>
      </w:r>
      <w:r>
        <w:t xml:space="preserve"> муниципально</w:t>
      </w:r>
      <w:r>
        <w:t xml:space="preserve">го</w:t>
      </w:r>
      <w:r>
        <w:t xml:space="preserve"> округ</w:t>
      </w:r>
      <w:r>
        <w:t xml:space="preserve">а</w:t>
      </w:r>
      <w:r>
        <w:t xml:space="preserve"> </w:t>
      </w:r>
      <w:r>
        <w:t xml:space="preserve">отсутствуют источник</w:t>
      </w:r>
      <w:r>
        <w:t xml:space="preserve">и</w:t>
      </w:r>
      <w:r>
        <w:t xml:space="preserve"> тепловой энергии с использованием возобновляемых источников энерг</w:t>
      </w:r>
      <w:r>
        <w:t xml:space="preserve">ии, ввод новых </w:t>
      </w:r>
      <w:r>
        <w:t xml:space="preserve">таких источников к 2039</w:t>
      </w:r>
      <w:r>
        <w:t xml:space="preserve"> году</w:t>
      </w:r>
      <w:r>
        <w:t xml:space="preserve">, </w:t>
      </w:r>
      <w:r>
        <w:t xml:space="preserve">не планируется.</w:t>
      </w:r>
      <w:r/>
    </w:p>
    <w:p>
      <w:pPr>
        <w:pStyle w:val="1247"/>
        <w:spacing w:before="8"/>
        <w:rPr>
          <w:sz w:val="16"/>
        </w:rPr>
      </w:pPr>
      <w:r>
        <w:rPr>
          <w:sz w:val="16"/>
        </w:rPr>
      </w:r>
      <w:r>
        <w:rPr>
          <w:sz w:val="16"/>
        </w:rPr>
      </w:r>
      <w:r>
        <w:rPr>
          <w:sz w:val="16"/>
        </w:rPr>
      </w:r>
    </w:p>
    <w:p>
      <w:pPr>
        <w:pStyle w:val="1248"/>
        <w:ind w:right="109" w:firstLine="733"/>
        <w:jc w:val="left"/>
      </w:pPr>
      <w:r/>
      <w:bookmarkStart w:id="461" w:name="_bookmark248"/>
      <w:r/>
      <w:bookmarkStart w:id="462" w:name="_Toc130232013"/>
      <w:r/>
      <w:bookmarkStart w:id="463" w:name="_Toc165540793"/>
      <w:r/>
      <w:bookmarkEnd w:id="461"/>
      <w:r>
        <w:rPr>
          <w:lang w:eastAsia="ru-RU"/>
        </w:rPr>
        <w:t xml:space="preserve">7.14 </w:t>
      </w:r>
      <w:r>
        <w:t xml:space="preserve">Обоснование</w:t>
      </w:r>
      <w:r>
        <w:rPr>
          <w:spacing w:val="40"/>
        </w:rPr>
        <w:t xml:space="preserve"> </w:t>
      </w:r>
      <w:r>
        <w:t xml:space="preserve">организации</w:t>
      </w:r>
      <w:r>
        <w:rPr>
          <w:spacing w:val="40"/>
        </w:rPr>
        <w:t xml:space="preserve"> </w:t>
      </w:r>
      <w:r>
        <w:t xml:space="preserve">теплоснабжения</w:t>
      </w:r>
      <w:r>
        <w:rPr>
          <w:spacing w:val="40"/>
        </w:rPr>
        <w:t xml:space="preserve"> </w:t>
      </w:r>
      <w:r>
        <w:t xml:space="preserve">в</w:t>
      </w:r>
      <w:r>
        <w:rPr>
          <w:spacing w:val="40"/>
        </w:rPr>
        <w:t xml:space="preserve"> </w:t>
      </w:r>
      <w:r>
        <w:t xml:space="preserve">производственных</w:t>
      </w:r>
      <w:r>
        <w:rPr>
          <w:spacing w:val="40"/>
        </w:rPr>
        <w:t xml:space="preserve"> </w:t>
      </w:r>
      <w:r>
        <w:t xml:space="preserve">зонах</w:t>
      </w:r>
      <w:r>
        <w:rPr>
          <w:spacing w:val="40"/>
        </w:rPr>
        <w:t xml:space="preserve"> </w:t>
      </w:r>
      <w:r>
        <w:t xml:space="preserve">на территории поселения</w:t>
      </w:r>
      <w:bookmarkEnd w:id="462"/>
      <w:r/>
      <w:bookmarkEnd w:id="463"/>
      <w:r/>
      <w:r/>
    </w:p>
    <w:p>
      <w:pPr>
        <w:pStyle w:val="1247"/>
        <w:ind w:left="118" w:right="89" w:firstLine="707"/>
        <w:jc w:val="both"/>
        <w:spacing w:before="115"/>
      </w:pPr>
      <w:r>
        <w:t xml:space="preserve">Организация</w:t>
      </w:r>
      <w:r>
        <w:rPr>
          <w:spacing w:val="-9"/>
        </w:rPr>
        <w:t xml:space="preserve"> </w:t>
      </w:r>
      <w:r>
        <w:t xml:space="preserve">теплоснабжения</w:t>
      </w:r>
      <w:r>
        <w:rPr>
          <w:spacing w:val="-6"/>
        </w:rPr>
        <w:t xml:space="preserve"> </w:t>
      </w:r>
      <w:r>
        <w:t xml:space="preserve">в</w:t>
      </w:r>
      <w:r>
        <w:rPr>
          <w:spacing w:val="-7"/>
        </w:rPr>
        <w:t xml:space="preserve"> </w:t>
      </w:r>
      <w:r>
        <w:t xml:space="preserve">производственных</w:t>
      </w:r>
      <w:r>
        <w:rPr>
          <w:spacing w:val="-6"/>
        </w:rPr>
        <w:t xml:space="preserve"> </w:t>
      </w:r>
      <w:r>
        <w:t xml:space="preserve">зонах</w:t>
      </w:r>
      <w:r>
        <w:rPr>
          <w:spacing w:val="-6"/>
        </w:rPr>
        <w:t xml:space="preserve"> </w:t>
      </w:r>
      <w:r>
        <w:t xml:space="preserve">на</w:t>
      </w:r>
      <w:r>
        <w:rPr>
          <w:spacing w:val="-7"/>
        </w:rPr>
        <w:t xml:space="preserve"> </w:t>
      </w:r>
      <w:r>
        <w:t xml:space="preserve">территории</w:t>
      </w:r>
      <w:r>
        <w:rPr>
          <w:spacing w:val="-6"/>
        </w:rPr>
        <w:t xml:space="preserve"> </w:t>
      </w:r>
      <w:r>
        <w:t xml:space="preserve">Юргамышского</w:t>
      </w:r>
      <w:r>
        <w:t xml:space="preserve"> муниципального округа </w:t>
      </w:r>
      <w:r>
        <w:t xml:space="preserve">на расчётный период не требуется.</w:t>
      </w:r>
      <w:r/>
    </w:p>
    <w:p>
      <w:pPr>
        <w:pStyle w:val="1247"/>
        <w:spacing w:before="7"/>
        <w:rPr>
          <w:sz w:val="16"/>
        </w:rPr>
      </w:pPr>
      <w:r>
        <w:rPr>
          <w:sz w:val="16"/>
        </w:rPr>
      </w:r>
      <w:r>
        <w:rPr>
          <w:sz w:val="16"/>
        </w:rPr>
      </w:r>
      <w:r>
        <w:rPr>
          <w:sz w:val="16"/>
        </w:rPr>
      </w:r>
    </w:p>
    <w:p>
      <w:pPr>
        <w:rPr>
          <w:b/>
          <w:bCs/>
          <w:sz w:val="24"/>
          <w:szCs w:val="24"/>
          <w:lang w:eastAsia="ru-RU"/>
        </w:rPr>
      </w:pPr>
      <w:r/>
      <w:bookmarkStart w:id="464" w:name="_bookmark249"/>
      <w:r/>
      <w:bookmarkStart w:id="465" w:name="_Toc130232014"/>
      <w:r/>
      <w:bookmarkStart w:id="466" w:name="_Toc165540794"/>
      <w:r/>
      <w:bookmarkEnd w:id="464"/>
      <w:r>
        <w:rPr>
          <w:lang w:eastAsia="ru-RU"/>
        </w:rPr>
        <w:br w:type="page" w:clear="all"/>
      </w:r>
      <w:r>
        <w:rPr>
          <w:b/>
          <w:bCs/>
          <w:sz w:val="24"/>
          <w:szCs w:val="24"/>
          <w:lang w:eastAsia="ru-RU"/>
        </w:rPr>
      </w:r>
      <w:r>
        <w:rPr>
          <w:b/>
          <w:bCs/>
          <w:sz w:val="24"/>
          <w:szCs w:val="24"/>
          <w:lang w:eastAsia="ru-RU"/>
        </w:rPr>
      </w:r>
    </w:p>
    <w:p>
      <w:pPr>
        <w:pStyle w:val="1248"/>
        <w:ind w:left="1313" w:hanging="462"/>
        <w:jc w:val="left"/>
      </w:pPr>
      <w:r>
        <w:rPr>
          <w:lang w:eastAsia="ru-RU"/>
        </w:rPr>
        <w:t xml:space="preserve">7.15 </w:t>
      </w:r>
      <w:r>
        <w:t xml:space="preserve">Результаты</w:t>
      </w:r>
      <w:r>
        <w:rPr>
          <w:spacing w:val="-5"/>
        </w:rPr>
        <w:t xml:space="preserve"> </w:t>
      </w:r>
      <w:r>
        <w:t xml:space="preserve">расчётов</w:t>
      </w:r>
      <w:r>
        <w:rPr>
          <w:spacing w:val="-5"/>
        </w:rPr>
        <w:t xml:space="preserve"> </w:t>
      </w:r>
      <w:r>
        <w:t xml:space="preserve">радиуса</w:t>
      </w:r>
      <w:r>
        <w:rPr>
          <w:spacing w:val="-2"/>
        </w:rPr>
        <w:t xml:space="preserve"> </w:t>
      </w:r>
      <w:r>
        <w:t xml:space="preserve">эффективного</w:t>
      </w:r>
      <w:r>
        <w:rPr>
          <w:spacing w:val="-2"/>
        </w:rPr>
        <w:t xml:space="preserve"> теплоснабжения</w:t>
      </w:r>
      <w:bookmarkEnd w:id="465"/>
      <w:r/>
      <w:bookmarkEnd w:id="466"/>
      <w:r/>
      <w:r/>
    </w:p>
    <w:p>
      <w:pPr>
        <w:ind w:firstLine="708"/>
        <w:jc w:val="both"/>
        <w:spacing w:before="120" w:line="276" w:lineRule="auto"/>
        <w:rPr>
          <w:sz w:val="24"/>
          <w:szCs w:val="24"/>
        </w:rPr>
      </w:pPr>
      <w:r>
        <w:rPr>
          <w:sz w:val="24"/>
          <w:szCs w:val="24"/>
        </w:rPr>
        <w:t xml:space="preserve">Радиус эффективного теплоснабжения источников тепловой энергии определяется по методике кандидата технических наук, советника генерального директора ОАО «Объединение ВНИПИэнергопром» г. Москва, Папушкина В. Н.</w:t>
      </w:r>
      <w:r>
        <w:rPr>
          <w:sz w:val="24"/>
          <w:szCs w:val="24"/>
        </w:rPr>
      </w:r>
      <w:r>
        <w:rPr>
          <w:sz w:val="24"/>
          <w:szCs w:val="24"/>
        </w:rPr>
      </w:r>
    </w:p>
    <w:p>
      <w:pPr>
        <w:ind w:firstLine="709"/>
        <w:spacing w:line="276" w:lineRule="auto"/>
        <w:rPr>
          <w:sz w:val="24"/>
          <w:szCs w:val="24"/>
        </w:rPr>
      </w:pPr>
      <w:r>
        <w:rPr>
          <w:sz w:val="24"/>
          <w:szCs w:val="24"/>
        </w:rPr>
        <w:t xml:space="preserve">Результаты расчетов представлены в таблице 7.15.1.</w:t>
      </w:r>
      <w:r>
        <w:rPr>
          <w:sz w:val="24"/>
          <w:szCs w:val="24"/>
        </w:rPr>
      </w:r>
      <w:r>
        <w:rPr>
          <w:sz w:val="24"/>
          <w:szCs w:val="24"/>
        </w:rPr>
      </w:r>
    </w:p>
    <w:p>
      <w:pPr>
        <w:jc w:val="right"/>
        <w:rPr>
          <w:sz w:val="24"/>
          <w:szCs w:val="24"/>
        </w:rPr>
      </w:pPr>
      <w:r>
        <w:rPr>
          <w:sz w:val="24"/>
          <w:szCs w:val="24"/>
        </w:rPr>
      </w:r>
      <w:r>
        <w:rPr>
          <w:sz w:val="24"/>
          <w:szCs w:val="24"/>
        </w:rPr>
      </w:r>
      <w:r>
        <w:rPr>
          <w:sz w:val="24"/>
          <w:szCs w:val="24"/>
        </w:rPr>
      </w:r>
    </w:p>
    <w:p>
      <w:pPr>
        <w:jc w:val="right"/>
        <w:rPr>
          <w:sz w:val="24"/>
          <w:szCs w:val="24"/>
        </w:rPr>
      </w:pPr>
      <w:r>
        <w:rPr>
          <w:sz w:val="24"/>
          <w:szCs w:val="24"/>
        </w:rPr>
        <w:t xml:space="preserve">Таблица </w:t>
      </w:r>
      <w:r>
        <w:rPr>
          <w:sz w:val="24"/>
          <w:szCs w:val="24"/>
        </w:rPr>
        <w:t xml:space="preserve">7.15.1</w:t>
      </w:r>
      <w:r>
        <w:rPr>
          <w:sz w:val="24"/>
          <w:szCs w:val="24"/>
        </w:rPr>
      </w:r>
      <w:r>
        <w:rPr>
          <w:sz w:val="24"/>
          <w:szCs w:val="24"/>
        </w:rPr>
      </w:r>
    </w:p>
    <w:p>
      <w:pPr>
        <w:jc w:val="center"/>
        <w:rPr>
          <w:bCs/>
          <w:sz w:val="24"/>
          <w:szCs w:val="24"/>
          <w:lang w:eastAsia="ru-RU"/>
        </w:rPr>
      </w:pPr>
      <w:r/>
      <w:bookmarkStart w:id="467" w:name="_bookmark252"/>
      <w:r/>
      <w:bookmarkStart w:id="468" w:name="_Toc130232015"/>
      <w:r/>
      <w:bookmarkEnd w:id="467"/>
      <w:r>
        <w:rPr>
          <w:bCs/>
          <w:sz w:val="24"/>
          <w:szCs w:val="24"/>
          <w:lang w:eastAsia="ru-RU"/>
        </w:rPr>
        <w:t xml:space="preserve">Результаты расчета радиуса теплоснабжения для централизованных котельных</w:t>
      </w:r>
      <w:r>
        <w:rPr>
          <w:bCs/>
          <w:sz w:val="24"/>
          <w:szCs w:val="24"/>
          <w:lang w:eastAsia="ru-RU"/>
        </w:rPr>
      </w:r>
      <w:r>
        <w:rPr>
          <w:bCs/>
          <w:sz w:val="24"/>
          <w:szCs w:val="24"/>
          <w:lang w:eastAsia="ru-RU"/>
        </w:rPr>
      </w:r>
    </w:p>
    <w:tbl>
      <w:tblPr>
        <w:tblW w:w="4960" w:type="pct"/>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4A0" w:firstRow="1" w:lastRow="0" w:firstColumn="1" w:lastColumn="0" w:noHBand="0" w:noVBand="1"/>
      </w:tblPr>
      <w:tblGrid>
        <w:gridCol w:w="4820"/>
        <w:gridCol w:w="1652"/>
        <w:gridCol w:w="1652"/>
        <w:gridCol w:w="1652"/>
      </w:tblGrid>
      <w:tr>
        <w:tblPrEx/>
        <w:trPr>
          <w:trHeight w:val="562"/>
        </w:trPr>
        <w:tc>
          <w:tcPr>
            <w:shd w:val="clear" w:color="auto" w:fill="auto"/>
            <w:tcW w:w="2465" w:type="pct"/>
            <w:vAlign w:val="center"/>
            <w:textDirection w:val="lrTb"/>
            <w:noWrap/>
          </w:tcPr>
          <w:p>
            <w:pPr>
              <w:jc w:val="center"/>
              <w:rPr>
                <w:sz w:val="20"/>
                <w:szCs w:val="20"/>
              </w:rPr>
            </w:pPr>
            <w:r>
              <w:rPr>
                <w:sz w:val="20"/>
                <w:szCs w:val="20"/>
              </w:rPr>
              <w:t xml:space="preserve">Теплоисточник</w:t>
            </w:r>
            <w:r>
              <w:rPr>
                <w:sz w:val="20"/>
                <w:szCs w:val="20"/>
              </w:rPr>
            </w:r>
            <w:r>
              <w:rPr>
                <w:sz w:val="20"/>
                <w:szCs w:val="20"/>
              </w:rPr>
            </w:r>
          </w:p>
        </w:tc>
        <w:tc>
          <w:tcPr>
            <w:tcBorders>
              <w:right w:val="single" w:color="auto" w:sz="8" w:space="0"/>
            </w:tcBorders>
            <w:tcW w:w="845" w:type="pct"/>
            <w:vAlign w:val="center"/>
            <w:textDirection w:val="lrTb"/>
            <w:noWrap w:val="false"/>
          </w:tcPr>
          <w:p>
            <w:pPr>
              <w:jc w:val="center"/>
              <w:rPr>
                <w:sz w:val="20"/>
                <w:szCs w:val="20"/>
              </w:rPr>
            </w:pPr>
            <w:r>
              <w:rPr>
                <w:sz w:val="20"/>
                <w:szCs w:val="20"/>
              </w:rPr>
              <w:t xml:space="preserve">Котельная </w:t>
            </w:r>
            <w:r>
              <w:rPr>
                <w:rFonts w:ascii="Liberation Serif" w:hAnsi="Liberation Serif" w:cs="Calibri"/>
                <w:color w:val="000000"/>
                <w:sz w:val="20"/>
                <w:szCs w:val="20"/>
              </w:rPr>
              <w:t xml:space="preserve">р.п. Юргамыш, ул. Ленина, 47а</w:t>
            </w:r>
            <w:r>
              <w:rPr>
                <w:sz w:val="20"/>
                <w:szCs w:val="20"/>
              </w:rPr>
            </w:r>
            <w:r>
              <w:rPr>
                <w:sz w:val="20"/>
                <w:szCs w:val="20"/>
              </w:rPr>
            </w:r>
          </w:p>
        </w:tc>
        <w:tc>
          <w:tcPr>
            <w:tcBorders>
              <w:right w:val="single" w:color="auto" w:sz="8" w:space="0"/>
            </w:tcBorders>
            <w:tcW w:w="845" w:type="pct"/>
            <w:vAlign w:val="center"/>
            <w:textDirection w:val="lrTb"/>
            <w:noWrap w:val="false"/>
          </w:tcPr>
          <w:p>
            <w:pPr>
              <w:jc w:val="center"/>
              <w:rPr>
                <w:sz w:val="20"/>
                <w:szCs w:val="20"/>
              </w:rPr>
            </w:pPr>
            <w:r>
              <w:rPr>
                <w:color w:val="000000"/>
                <w:sz w:val="20"/>
                <w:szCs w:val="20"/>
              </w:rPr>
              <w:t xml:space="preserve">Котельная </w:t>
            </w:r>
            <w:r>
              <w:rPr>
                <w:rFonts w:ascii="Liberation Serif" w:hAnsi="Liberation Serif" w:cs="Calibri"/>
                <w:color w:val="000000"/>
                <w:sz w:val="20"/>
                <w:szCs w:val="20"/>
              </w:rPr>
              <w:t xml:space="preserve">р.п.  Юргамыш, ул. Железнодорожная, территория тягловой подстанции ОАО «РЖД»</w:t>
            </w:r>
            <w:r>
              <w:rPr>
                <w:sz w:val="20"/>
                <w:szCs w:val="20"/>
              </w:rPr>
            </w:r>
            <w:r>
              <w:rPr>
                <w:sz w:val="20"/>
                <w:szCs w:val="20"/>
              </w:rPr>
            </w:r>
          </w:p>
        </w:tc>
        <w:tc>
          <w:tcPr>
            <w:tcBorders>
              <w:right w:val="single" w:color="auto" w:sz="8" w:space="0"/>
            </w:tcBorders>
            <w:tcW w:w="845" w:type="pct"/>
            <w:vAlign w:val="center"/>
            <w:textDirection w:val="lrTb"/>
            <w:noWrap w:val="false"/>
          </w:tcPr>
          <w:p>
            <w:pPr>
              <w:jc w:val="center"/>
              <w:rPr>
                <w:sz w:val="20"/>
                <w:szCs w:val="20"/>
              </w:rPr>
            </w:pPr>
            <w:r>
              <w:rPr>
                <w:color w:val="000000"/>
                <w:sz w:val="20"/>
                <w:szCs w:val="20"/>
              </w:rPr>
              <w:t xml:space="preserve">Котельная </w:t>
            </w:r>
            <w:r>
              <w:rPr>
                <w:rFonts w:ascii="Liberation Serif" w:hAnsi="Liberation Serif" w:cs="Calibri"/>
                <w:color w:val="000000"/>
                <w:sz w:val="20"/>
                <w:szCs w:val="20"/>
              </w:rPr>
              <w:t xml:space="preserve">п. Новый Мир, ЛПДС «Юргамыш»</w:t>
            </w:r>
            <w:r>
              <w:rPr>
                <w:sz w:val="20"/>
                <w:szCs w:val="20"/>
              </w:rPr>
            </w:r>
            <w:r>
              <w:rPr>
                <w:sz w:val="20"/>
                <w:szCs w:val="20"/>
              </w:rPr>
            </w:r>
          </w:p>
        </w:tc>
      </w:tr>
      <w:tr>
        <w:tblPrEx/>
        <w:trPr>
          <w:trHeight w:val="264"/>
        </w:trPr>
        <w:tc>
          <w:tcPr>
            <w:shd w:val="clear" w:color="auto" w:fill="auto"/>
            <w:tcW w:w="2465" w:type="pct"/>
            <w:vAlign w:val="center"/>
            <w:textDirection w:val="lrTb"/>
            <w:noWrap/>
          </w:tcPr>
          <w:p>
            <w:pPr>
              <w:rPr>
                <w:sz w:val="20"/>
                <w:szCs w:val="20"/>
              </w:rPr>
            </w:pPr>
            <w:r>
              <w:rPr>
                <w:sz w:val="20"/>
                <w:szCs w:val="20"/>
              </w:rPr>
              <w:t xml:space="preserve">Площадь действия источника тепла, км</w:t>
            </w:r>
            <w:r>
              <w:rPr>
                <w:sz w:val="20"/>
                <w:szCs w:val="20"/>
                <w:vertAlign w:val="superscript"/>
              </w:rPr>
              <w:t xml:space="preserve">2</w:t>
            </w:r>
            <w:r>
              <w:rPr>
                <w:sz w:val="20"/>
                <w:szCs w:val="20"/>
              </w:rPr>
            </w:r>
            <w:r>
              <w:rPr>
                <w:sz w:val="20"/>
                <w:szCs w:val="20"/>
              </w:rPr>
            </w:r>
          </w:p>
        </w:tc>
        <w:tc>
          <w:tcPr>
            <w:tcBorders>
              <w:right w:val="single" w:color="auto" w:sz="8" w:space="0"/>
            </w:tcBorders>
            <w:tcW w:w="845" w:type="pct"/>
            <w:vAlign w:val="center"/>
            <w:textDirection w:val="lrTb"/>
            <w:noWrap w:val="false"/>
          </w:tcPr>
          <w:p>
            <w:pPr>
              <w:jc w:val="center"/>
              <w:rPr>
                <w:sz w:val="20"/>
                <w:szCs w:val="20"/>
              </w:rPr>
            </w:pPr>
            <w:r>
              <w:rPr>
                <w:sz w:val="20"/>
                <w:szCs w:val="20"/>
              </w:rPr>
              <w:t xml:space="preserve">0,2010</w:t>
            </w:r>
            <w:r>
              <w:rPr>
                <w:sz w:val="20"/>
                <w:szCs w:val="20"/>
              </w:rPr>
            </w:r>
            <w:r>
              <w:rPr>
                <w:sz w:val="20"/>
                <w:szCs w:val="20"/>
              </w:rPr>
            </w:r>
          </w:p>
        </w:tc>
        <w:tc>
          <w:tcPr>
            <w:tcBorders>
              <w:left w:val="single" w:color="auto" w:sz="8" w:space="0"/>
              <w:right w:val="single" w:color="auto" w:sz="8" w:space="0"/>
            </w:tcBorders>
            <w:tcW w:w="845" w:type="pct"/>
            <w:vAlign w:val="center"/>
            <w:textDirection w:val="lrTb"/>
            <w:noWrap w:val="false"/>
          </w:tcPr>
          <w:p>
            <w:pPr>
              <w:jc w:val="center"/>
              <w:rPr>
                <w:sz w:val="20"/>
                <w:szCs w:val="20"/>
              </w:rPr>
            </w:pPr>
            <w:r>
              <w:rPr>
                <w:sz w:val="20"/>
                <w:szCs w:val="20"/>
              </w:rPr>
              <w:t xml:space="preserve">0,034</w:t>
            </w:r>
            <w:r>
              <w:rPr>
                <w:sz w:val="20"/>
                <w:szCs w:val="20"/>
              </w:rPr>
            </w:r>
            <w:r>
              <w:rPr>
                <w:sz w:val="20"/>
                <w:szCs w:val="20"/>
              </w:rPr>
            </w:r>
          </w:p>
        </w:tc>
        <w:tc>
          <w:tcPr>
            <w:tcBorders>
              <w:left w:val="single" w:color="auto" w:sz="8" w:space="0"/>
              <w:right w:val="single" w:color="auto" w:sz="8" w:space="0"/>
            </w:tcBorders>
            <w:tcW w:w="845" w:type="pct"/>
            <w:vAlign w:val="center"/>
            <w:textDirection w:val="lrTb"/>
            <w:noWrap w:val="false"/>
          </w:tcPr>
          <w:p>
            <w:pPr>
              <w:jc w:val="center"/>
              <w:rPr>
                <w:sz w:val="20"/>
                <w:szCs w:val="20"/>
              </w:rPr>
            </w:pPr>
            <w:r>
              <w:rPr>
                <w:sz w:val="20"/>
                <w:szCs w:val="20"/>
              </w:rPr>
              <w:t xml:space="preserve">1,49</w:t>
            </w:r>
            <w:r>
              <w:rPr>
                <w:sz w:val="20"/>
                <w:szCs w:val="20"/>
              </w:rPr>
            </w:r>
            <w:r>
              <w:rPr>
                <w:sz w:val="20"/>
                <w:szCs w:val="20"/>
              </w:rPr>
            </w:r>
          </w:p>
        </w:tc>
      </w:tr>
      <w:tr>
        <w:tblPrEx/>
        <w:trPr>
          <w:trHeight w:val="264"/>
        </w:trPr>
        <w:tc>
          <w:tcPr>
            <w:shd w:val="clear" w:color="auto" w:fill="auto"/>
            <w:tcW w:w="2465" w:type="pct"/>
            <w:vAlign w:val="center"/>
            <w:textDirection w:val="lrTb"/>
            <w:noWrap/>
          </w:tcPr>
          <w:p>
            <w:pPr>
              <w:rPr>
                <w:sz w:val="20"/>
                <w:szCs w:val="20"/>
              </w:rPr>
            </w:pPr>
            <w:r>
              <w:rPr>
                <w:sz w:val="20"/>
                <w:szCs w:val="20"/>
              </w:rPr>
              <w:t xml:space="preserve">Число абонентов, шт.</w:t>
            </w:r>
            <w:r>
              <w:rPr>
                <w:sz w:val="20"/>
                <w:szCs w:val="20"/>
              </w:rPr>
            </w:r>
            <w:r>
              <w:rPr>
                <w:sz w:val="20"/>
                <w:szCs w:val="20"/>
              </w:rPr>
            </w:r>
          </w:p>
        </w:tc>
        <w:tc>
          <w:tcPr>
            <w:tcBorders>
              <w:right w:val="single" w:color="auto" w:sz="8" w:space="0"/>
            </w:tcBorders>
            <w:tcW w:w="845" w:type="pct"/>
            <w:vAlign w:val="center"/>
            <w:textDirection w:val="lrTb"/>
            <w:noWrap w:val="false"/>
          </w:tcPr>
          <w:p>
            <w:pPr>
              <w:jc w:val="center"/>
              <w:rPr>
                <w:sz w:val="20"/>
                <w:szCs w:val="20"/>
              </w:rPr>
            </w:pPr>
            <w:r>
              <w:rPr>
                <w:sz w:val="20"/>
                <w:szCs w:val="20"/>
              </w:rPr>
              <w:t xml:space="preserve">37</w:t>
            </w:r>
            <w:r>
              <w:rPr>
                <w:sz w:val="20"/>
                <w:szCs w:val="20"/>
              </w:rPr>
            </w:r>
            <w:r>
              <w:rPr>
                <w:sz w:val="20"/>
                <w:szCs w:val="20"/>
              </w:rPr>
            </w:r>
          </w:p>
        </w:tc>
        <w:tc>
          <w:tcPr>
            <w:tcBorders>
              <w:left w:val="single" w:color="auto" w:sz="8" w:space="0"/>
              <w:right w:val="single" w:color="auto" w:sz="8" w:space="0"/>
            </w:tcBorders>
            <w:tcW w:w="845" w:type="pct"/>
            <w:vAlign w:val="center"/>
            <w:textDirection w:val="lrTb"/>
            <w:noWrap w:val="false"/>
          </w:tcPr>
          <w:p>
            <w:pPr>
              <w:jc w:val="center"/>
              <w:rPr>
                <w:sz w:val="20"/>
                <w:szCs w:val="20"/>
              </w:rPr>
            </w:pPr>
            <w:r>
              <w:rPr>
                <w:sz w:val="20"/>
                <w:szCs w:val="20"/>
              </w:rPr>
              <w:t xml:space="preserve">7</w:t>
            </w:r>
            <w:r>
              <w:rPr>
                <w:sz w:val="20"/>
                <w:szCs w:val="20"/>
              </w:rPr>
            </w:r>
            <w:r>
              <w:rPr>
                <w:sz w:val="20"/>
                <w:szCs w:val="20"/>
              </w:rPr>
            </w:r>
          </w:p>
        </w:tc>
        <w:tc>
          <w:tcPr>
            <w:tcBorders>
              <w:left w:val="single" w:color="auto" w:sz="8" w:space="0"/>
              <w:right w:val="single" w:color="auto" w:sz="8" w:space="0"/>
            </w:tcBorders>
            <w:tcW w:w="845" w:type="pct"/>
            <w:vAlign w:val="center"/>
            <w:textDirection w:val="lrTb"/>
            <w:noWrap w:val="false"/>
          </w:tcPr>
          <w:p>
            <w:pPr>
              <w:jc w:val="center"/>
              <w:rPr>
                <w:sz w:val="20"/>
                <w:szCs w:val="20"/>
              </w:rPr>
            </w:pPr>
            <w:r>
              <w:rPr>
                <w:sz w:val="20"/>
                <w:szCs w:val="20"/>
              </w:rPr>
              <w:t xml:space="preserve">227</w:t>
            </w:r>
            <w:r>
              <w:rPr>
                <w:sz w:val="20"/>
                <w:szCs w:val="20"/>
              </w:rPr>
            </w:r>
            <w:r>
              <w:rPr>
                <w:sz w:val="20"/>
                <w:szCs w:val="20"/>
              </w:rPr>
            </w:r>
          </w:p>
        </w:tc>
      </w:tr>
      <w:tr>
        <w:tblPrEx/>
        <w:trPr>
          <w:trHeight w:val="264"/>
        </w:trPr>
        <w:tc>
          <w:tcPr>
            <w:shd w:val="clear" w:color="auto" w:fill="auto"/>
            <w:tcBorders>
              <w:top w:val="single" w:color="auto" w:sz="4" w:space="0"/>
              <w:left w:val="single" w:color="auto" w:sz="4" w:space="0"/>
              <w:bottom w:val="single" w:color="auto" w:sz="4" w:space="0"/>
              <w:right w:val="single" w:color="auto" w:sz="4" w:space="0"/>
            </w:tcBorders>
            <w:tcW w:w="2465" w:type="pct"/>
            <w:vAlign w:val="center"/>
            <w:textDirection w:val="lrTb"/>
            <w:noWrap/>
          </w:tcPr>
          <w:p>
            <w:pPr>
              <w:rPr>
                <w:sz w:val="20"/>
                <w:szCs w:val="20"/>
              </w:rPr>
            </w:pPr>
            <w:r>
              <w:rPr>
                <w:sz w:val="20"/>
                <w:szCs w:val="20"/>
              </w:rPr>
              <w:t xml:space="preserve">Среднее число абонентов на 1 км</w:t>
            </w:r>
            <w:r>
              <w:rPr>
                <w:sz w:val="20"/>
                <w:szCs w:val="20"/>
                <w:vertAlign w:val="superscript"/>
              </w:rPr>
              <w:t xml:space="preserve">2</w:t>
            </w:r>
            <w:r>
              <w:rPr>
                <w:sz w:val="20"/>
                <w:szCs w:val="20"/>
              </w:rPr>
            </w:r>
            <w:r>
              <w:rPr>
                <w:sz w:val="20"/>
                <w:szCs w:val="20"/>
              </w:rPr>
            </w:r>
          </w:p>
        </w:tc>
        <w:tc>
          <w:tcPr>
            <w:tcBorders>
              <w:top w:val="single" w:color="auto" w:sz="4" w:space="0"/>
              <w:left w:val="single" w:color="auto" w:sz="4" w:space="0"/>
              <w:bottom w:val="single" w:color="auto" w:sz="4" w:space="0"/>
              <w:right w:val="single" w:color="auto" w:sz="8" w:space="0"/>
            </w:tcBorders>
            <w:tcW w:w="845" w:type="pct"/>
            <w:vAlign w:val="center"/>
            <w:textDirection w:val="lrTb"/>
            <w:noWrap w:val="false"/>
          </w:tcPr>
          <w:p>
            <w:pPr>
              <w:jc w:val="center"/>
              <w:rPr>
                <w:sz w:val="20"/>
                <w:szCs w:val="20"/>
              </w:rPr>
            </w:pPr>
            <w:r>
              <w:rPr>
                <w:sz w:val="20"/>
                <w:szCs w:val="20"/>
              </w:rPr>
              <w:t xml:space="preserve">184,08</w:t>
            </w:r>
            <w:r>
              <w:rPr>
                <w:sz w:val="20"/>
                <w:szCs w:val="20"/>
              </w:rPr>
            </w:r>
            <w:r>
              <w:rPr>
                <w:sz w:val="20"/>
                <w:szCs w:val="20"/>
              </w:rPr>
            </w:r>
          </w:p>
        </w:tc>
        <w:tc>
          <w:tcPr>
            <w:tcBorders>
              <w:top w:val="single" w:color="auto" w:sz="4" w:space="0"/>
              <w:left w:val="single" w:color="auto" w:sz="8" w:space="0"/>
              <w:bottom w:val="single" w:color="auto" w:sz="4" w:space="0"/>
              <w:right w:val="single" w:color="auto" w:sz="8" w:space="0"/>
            </w:tcBorders>
            <w:tcW w:w="845" w:type="pct"/>
            <w:vAlign w:val="center"/>
            <w:textDirection w:val="lrTb"/>
            <w:noWrap w:val="false"/>
          </w:tcPr>
          <w:p>
            <w:pPr>
              <w:jc w:val="center"/>
              <w:rPr>
                <w:sz w:val="20"/>
                <w:szCs w:val="20"/>
              </w:rPr>
            </w:pPr>
            <w:r>
              <w:rPr>
                <w:sz w:val="20"/>
                <w:szCs w:val="20"/>
              </w:rPr>
              <w:t xml:space="preserve">147,06</w:t>
            </w:r>
            <w:r>
              <w:rPr>
                <w:sz w:val="20"/>
                <w:szCs w:val="20"/>
              </w:rPr>
            </w:r>
            <w:r>
              <w:rPr>
                <w:sz w:val="20"/>
                <w:szCs w:val="20"/>
              </w:rPr>
            </w:r>
          </w:p>
        </w:tc>
        <w:tc>
          <w:tcPr>
            <w:tcBorders>
              <w:top w:val="single" w:color="auto" w:sz="4" w:space="0"/>
              <w:left w:val="single" w:color="auto" w:sz="8" w:space="0"/>
              <w:bottom w:val="single" w:color="auto" w:sz="4" w:space="0"/>
              <w:right w:val="single" w:color="auto" w:sz="8" w:space="0"/>
            </w:tcBorders>
            <w:tcW w:w="845" w:type="pct"/>
            <w:vAlign w:val="center"/>
            <w:textDirection w:val="lrTb"/>
            <w:noWrap w:val="false"/>
          </w:tcPr>
          <w:p>
            <w:pPr>
              <w:jc w:val="center"/>
              <w:rPr>
                <w:sz w:val="20"/>
                <w:szCs w:val="20"/>
              </w:rPr>
            </w:pPr>
            <w:r>
              <w:rPr>
                <w:sz w:val="20"/>
                <w:szCs w:val="20"/>
              </w:rPr>
              <w:t xml:space="preserve">152,35</w:t>
            </w:r>
            <w:r>
              <w:rPr>
                <w:sz w:val="20"/>
                <w:szCs w:val="20"/>
              </w:rPr>
            </w:r>
            <w:r>
              <w:rPr>
                <w:sz w:val="20"/>
                <w:szCs w:val="20"/>
              </w:rPr>
            </w:r>
          </w:p>
        </w:tc>
      </w:tr>
      <w:tr>
        <w:tblPrEx/>
        <w:trPr>
          <w:trHeight w:val="264"/>
        </w:trPr>
        <w:tc>
          <w:tcPr>
            <w:shd w:val="clear" w:color="auto" w:fill="auto"/>
            <w:tcBorders>
              <w:top w:val="single" w:color="auto" w:sz="4" w:space="0"/>
              <w:left w:val="single" w:color="auto" w:sz="4" w:space="0"/>
              <w:bottom w:val="single" w:color="auto" w:sz="4" w:space="0"/>
              <w:right w:val="single" w:color="auto" w:sz="4" w:space="0"/>
            </w:tcBorders>
            <w:tcW w:w="2465" w:type="pct"/>
            <w:vAlign w:val="center"/>
            <w:textDirection w:val="lrTb"/>
            <w:noWrap/>
          </w:tcPr>
          <w:p>
            <w:pPr>
              <w:rPr>
                <w:sz w:val="20"/>
                <w:szCs w:val="20"/>
              </w:rPr>
            </w:pPr>
            <w:r>
              <w:rPr>
                <w:sz w:val="20"/>
                <w:szCs w:val="20"/>
              </w:rPr>
              <w:t xml:space="preserve">Материальная характеристика тепловых сетей, м</w:t>
            </w:r>
            <w:r>
              <w:rPr>
                <w:sz w:val="20"/>
                <w:szCs w:val="20"/>
                <w:vertAlign w:val="superscript"/>
              </w:rPr>
              <w:t xml:space="preserve">2</w:t>
            </w:r>
            <w:r>
              <w:rPr>
                <w:sz w:val="20"/>
                <w:szCs w:val="20"/>
              </w:rPr>
            </w:r>
            <w:r>
              <w:rPr>
                <w:sz w:val="20"/>
                <w:szCs w:val="20"/>
              </w:rPr>
            </w:r>
          </w:p>
        </w:tc>
        <w:tc>
          <w:tcPr>
            <w:tcBorders>
              <w:top w:val="single" w:color="auto" w:sz="4" w:space="0"/>
              <w:left w:val="single" w:color="auto" w:sz="4" w:space="0"/>
              <w:bottom w:val="single" w:color="auto" w:sz="4" w:space="0"/>
              <w:right w:val="single" w:color="auto" w:sz="8" w:space="0"/>
            </w:tcBorders>
            <w:tcW w:w="845" w:type="pct"/>
            <w:vAlign w:val="center"/>
            <w:textDirection w:val="lrTb"/>
            <w:noWrap w:val="false"/>
          </w:tcPr>
          <w:p>
            <w:pPr>
              <w:jc w:val="center"/>
              <w:rPr>
                <w:sz w:val="20"/>
                <w:szCs w:val="20"/>
              </w:rPr>
            </w:pPr>
            <w:r>
              <w:rPr>
                <w:sz w:val="20"/>
                <w:szCs w:val="20"/>
              </w:rPr>
              <w:t xml:space="preserve">1000,73</w:t>
            </w:r>
            <w:r>
              <w:rPr>
                <w:sz w:val="20"/>
                <w:szCs w:val="20"/>
              </w:rPr>
            </w:r>
            <w:r>
              <w:rPr>
                <w:sz w:val="20"/>
                <w:szCs w:val="20"/>
              </w:rPr>
            </w:r>
          </w:p>
        </w:tc>
        <w:tc>
          <w:tcPr>
            <w:tcBorders>
              <w:top w:val="single" w:color="auto" w:sz="4" w:space="0"/>
              <w:left w:val="single" w:color="auto" w:sz="8" w:space="0"/>
              <w:bottom w:val="single" w:color="auto" w:sz="4" w:space="0"/>
              <w:right w:val="single" w:color="auto" w:sz="8" w:space="0"/>
            </w:tcBorders>
            <w:tcW w:w="845" w:type="pct"/>
            <w:vAlign w:val="center"/>
            <w:textDirection w:val="lrTb"/>
            <w:noWrap w:val="false"/>
          </w:tcPr>
          <w:p>
            <w:pPr>
              <w:jc w:val="center"/>
              <w:rPr>
                <w:sz w:val="20"/>
                <w:szCs w:val="20"/>
              </w:rPr>
            </w:pPr>
            <w:r>
              <w:rPr>
                <w:sz w:val="20"/>
                <w:szCs w:val="20"/>
              </w:rPr>
              <w:t xml:space="preserve">69,12</w:t>
            </w:r>
            <w:r>
              <w:rPr>
                <w:sz w:val="20"/>
                <w:szCs w:val="20"/>
              </w:rPr>
            </w:r>
            <w:r>
              <w:rPr>
                <w:sz w:val="20"/>
                <w:szCs w:val="20"/>
              </w:rPr>
            </w:r>
          </w:p>
        </w:tc>
        <w:tc>
          <w:tcPr>
            <w:tcBorders>
              <w:top w:val="single" w:color="auto" w:sz="4" w:space="0"/>
              <w:left w:val="single" w:color="auto" w:sz="8" w:space="0"/>
              <w:bottom w:val="single" w:color="auto" w:sz="4" w:space="0"/>
              <w:right w:val="single" w:color="auto" w:sz="8" w:space="0"/>
            </w:tcBorders>
            <w:tcW w:w="845" w:type="pct"/>
            <w:vAlign w:val="center"/>
            <w:textDirection w:val="lrTb"/>
            <w:noWrap w:val="false"/>
          </w:tcPr>
          <w:p>
            <w:pPr>
              <w:jc w:val="center"/>
              <w:rPr>
                <w:sz w:val="20"/>
                <w:szCs w:val="20"/>
              </w:rPr>
            </w:pPr>
            <w:r>
              <w:rPr>
                <w:sz w:val="20"/>
                <w:szCs w:val="20"/>
              </w:rPr>
              <w:t xml:space="preserve">3976,06</w:t>
            </w:r>
            <w:r>
              <w:rPr>
                <w:sz w:val="20"/>
                <w:szCs w:val="20"/>
              </w:rPr>
            </w:r>
            <w:r>
              <w:rPr>
                <w:sz w:val="20"/>
                <w:szCs w:val="20"/>
              </w:rPr>
            </w:r>
          </w:p>
        </w:tc>
      </w:tr>
      <w:tr>
        <w:tblPrEx/>
        <w:trPr>
          <w:trHeight w:val="264"/>
        </w:trPr>
        <w:tc>
          <w:tcPr>
            <w:shd w:val="clear" w:color="auto" w:fill="auto"/>
            <w:tcBorders>
              <w:top w:val="single" w:color="auto" w:sz="4" w:space="0"/>
              <w:left w:val="single" w:color="auto" w:sz="4" w:space="0"/>
              <w:bottom w:val="single" w:color="auto" w:sz="4" w:space="0"/>
              <w:right w:val="single" w:color="auto" w:sz="4" w:space="0"/>
            </w:tcBorders>
            <w:tcW w:w="2465" w:type="pct"/>
            <w:vAlign w:val="center"/>
            <w:textDirection w:val="lrTb"/>
            <w:noWrap/>
          </w:tcPr>
          <w:p>
            <w:pPr>
              <w:rPr>
                <w:sz w:val="20"/>
                <w:szCs w:val="20"/>
              </w:rPr>
            </w:pPr>
            <w:r>
              <w:rPr>
                <w:sz w:val="20"/>
                <w:szCs w:val="20"/>
              </w:rPr>
              <w:t xml:space="preserve">Стоимость тепловых сетей, млн. руб.</w:t>
            </w:r>
            <w:r>
              <w:rPr>
                <w:sz w:val="20"/>
                <w:szCs w:val="20"/>
              </w:rPr>
            </w:r>
            <w:r>
              <w:rPr>
                <w:sz w:val="20"/>
                <w:szCs w:val="20"/>
              </w:rPr>
            </w:r>
          </w:p>
        </w:tc>
        <w:tc>
          <w:tcPr>
            <w:tcBorders>
              <w:top w:val="single" w:color="auto" w:sz="4" w:space="0"/>
              <w:left w:val="single" w:color="auto" w:sz="4" w:space="0"/>
              <w:bottom w:val="single" w:color="auto" w:sz="4" w:space="0"/>
              <w:right w:val="single" w:color="auto" w:sz="8" w:space="0"/>
            </w:tcBorders>
            <w:tcW w:w="845" w:type="pct"/>
            <w:vAlign w:val="center"/>
            <w:textDirection w:val="lrTb"/>
            <w:noWrap w:val="false"/>
          </w:tcPr>
          <w:p>
            <w:pPr>
              <w:jc w:val="center"/>
              <w:rPr>
                <w:sz w:val="20"/>
                <w:szCs w:val="20"/>
              </w:rPr>
            </w:pPr>
            <w:r>
              <w:rPr>
                <w:sz w:val="20"/>
                <w:szCs w:val="20"/>
              </w:rPr>
              <w:t xml:space="preserve">2,19</w:t>
            </w:r>
            <w:r>
              <w:rPr>
                <w:sz w:val="20"/>
                <w:szCs w:val="20"/>
              </w:rPr>
            </w:r>
            <w:r>
              <w:rPr>
                <w:sz w:val="20"/>
                <w:szCs w:val="20"/>
              </w:rPr>
            </w:r>
          </w:p>
        </w:tc>
        <w:tc>
          <w:tcPr>
            <w:tcBorders>
              <w:top w:val="single" w:color="auto" w:sz="4" w:space="0"/>
              <w:left w:val="single" w:color="auto" w:sz="8" w:space="0"/>
              <w:bottom w:val="single" w:color="auto" w:sz="4" w:space="0"/>
              <w:right w:val="single" w:color="auto" w:sz="8" w:space="0"/>
            </w:tcBorders>
            <w:tcW w:w="845" w:type="pct"/>
            <w:vAlign w:val="center"/>
            <w:textDirection w:val="lrTb"/>
            <w:noWrap w:val="false"/>
          </w:tcPr>
          <w:p>
            <w:pPr>
              <w:jc w:val="center"/>
              <w:rPr>
                <w:sz w:val="20"/>
                <w:szCs w:val="20"/>
              </w:rPr>
            </w:pPr>
            <w:r>
              <w:rPr>
                <w:sz w:val="20"/>
                <w:szCs w:val="20"/>
              </w:rPr>
              <w:t xml:space="preserve">0,23</w:t>
            </w:r>
            <w:r>
              <w:rPr>
                <w:sz w:val="20"/>
                <w:szCs w:val="20"/>
              </w:rPr>
            </w:r>
            <w:r>
              <w:rPr>
                <w:sz w:val="20"/>
                <w:szCs w:val="20"/>
              </w:rPr>
            </w:r>
          </w:p>
        </w:tc>
        <w:tc>
          <w:tcPr>
            <w:tcBorders>
              <w:top w:val="single" w:color="auto" w:sz="4" w:space="0"/>
              <w:left w:val="single" w:color="auto" w:sz="8" w:space="0"/>
              <w:bottom w:val="single" w:color="auto" w:sz="4" w:space="0"/>
              <w:right w:val="single" w:color="auto" w:sz="8" w:space="0"/>
            </w:tcBorders>
            <w:tcW w:w="845" w:type="pct"/>
            <w:vAlign w:val="center"/>
            <w:textDirection w:val="lrTb"/>
            <w:noWrap w:val="false"/>
          </w:tcPr>
          <w:p>
            <w:pPr>
              <w:jc w:val="center"/>
              <w:rPr>
                <w:sz w:val="20"/>
                <w:szCs w:val="20"/>
              </w:rPr>
            </w:pPr>
            <w:r>
              <w:rPr>
                <w:sz w:val="20"/>
                <w:szCs w:val="20"/>
              </w:rPr>
              <w:t xml:space="preserve">8,70</w:t>
            </w:r>
            <w:r>
              <w:rPr>
                <w:sz w:val="20"/>
                <w:szCs w:val="20"/>
              </w:rPr>
            </w:r>
            <w:r>
              <w:rPr>
                <w:sz w:val="20"/>
                <w:szCs w:val="20"/>
              </w:rPr>
            </w:r>
          </w:p>
        </w:tc>
      </w:tr>
      <w:tr>
        <w:tblPrEx/>
        <w:trPr>
          <w:trHeight w:val="264"/>
        </w:trPr>
        <w:tc>
          <w:tcPr>
            <w:shd w:val="clear" w:color="auto" w:fill="auto"/>
            <w:tcBorders>
              <w:top w:val="single" w:color="auto" w:sz="4" w:space="0"/>
              <w:left w:val="single" w:color="auto" w:sz="4" w:space="0"/>
              <w:bottom w:val="single" w:color="auto" w:sz="4" w:space="0"/>
              <w:right w:val="single" w:color="auto" w:sz="4" w:space="0"/>
            </w:tcBorders>
            <w:tcW w:w="2465" w:type="pct"/>
            <w:vAlign w:val="center"/>
            <w:textDirection w:val="lrTb"/>
            <w:noWrap/>
          </w:tcPr>
          <w:p>
            <w:pPr>
              <w:rPr>
                <w:sz w:val="20"/>
                <w:szCs w:val="20"/>
              </w:rPr>
            </w:pPr>
            <w:r>
              <w:rPr>
                <w:sz w:val="20"/>
                <w:szCs w:val="20"/>
              </w:rPr>
              <w:t xml:space="preserve">Удельная стоимость материальной характеристики, руб./м</w:t>
            </w:r>
            <w:r>
              <w:rPr>
                <w:sz w:val="20"/>
                <w:szCs w:val="20"/>
                <w:vertAlign w:val="superscript"/>
              </w:rPr>
              <w:t xml:space="preserve">2</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845" w:type="pct"/>
            <w:vAlign w:val="center"/>
            <w:textDirection w:val="lrTb"/>
            <w:noWrap w:val="false"/>
          </w:tcPr>
          <w:p>
            <w:pPr>
              <w:jc w:val="center"/>
              <w:rPr>
                <w:sz w:val="20"/>
                <w:szCs w:val="20"/>
              </w:rPr>
            </w:pPr>
            <w:r>
              <w:rPr>
                <w:sz w:val="20"/>
                <w:szCs w:val="20"/>
              </w:rPr>
              <w:t xml:space="preserve">2188,40</w:t>
            </w:r>
            <w:r>
              <w:rPr>
                <w:sz w:val="20"/>
                <w:szCs w:val="20"/>
              </w:rPr>
            </w:r>
            <w:r>
              <w:rPr>
                <w:sz w:val="20"/>
                <w:szCs w:val="20"/>
              </w:rPr>
            </w:r>
          </w:p>
        </w:tc>
        <w:tc>
          <w:tcPr>
            <w:tcBorders>
              <w:top w:val="single" w:color="auto" w:sz="4" w:space="0"/>
              <w:left w:val="single" w:color="auto" w:sz="4" w:space="0"/>
              <w:bottom w:val="single" w:color="auto" w:sz="4" w:space="0"/>
              <w:right w:val="single" w:color="auto" w:sz="8" w:space="0"/>
            </w:tcBorders>
            <w:tcW w:w="845" w:type="pct"/>
            <w:vAlign w:val="center"/>
            <w:textDirection w:val="lrTb"/>
            <w:noWrap w:val="false"/>
          </w:tcPr>
          <w:p>
            <w:pPr>
              <w:jc w:val="center"/>
              <w:rPr>
                <w:sz w:val="20"/>
                <w:szCs w:val="20"/>
              </w:rPr>
            </w:pPr>
            <w:r>
              <w:rPr>
                <w:sz w:val="20"/>
                <w:szCs w:val="20"/>
              </w:rPr>
              <w:t xml:space="preserve">3327,55</w:t>
            </w:r>
            <w:r>
              <w:rPr>
                <w:sz w:val="20"/>
                <w:szCs w:val="20"/>
              </w:rPr>
            </w:r>
            <w:r>
              <w:rPr>
                <w:sz w:val="20"/>
                <w:szCs w:val="20"/>
              </w:rPr>
            </w:r>
          </w:p>
        </w:tc>
        <w:tc>
          <w:tcPr>
            <w:tcBorders>
              <w:top w:val="single" w:color="auto" w:sz="4" w:space="0"/>
              <w:left w:val="single" w:color="auto" w:sz="4" w:space="0"/>
              <w:bottom w:val="single" w:color="auto" w:sz="4" w:space="0"/>
              <w:right w:val="single" w:color="auto" w:sz="8" w:space="0"/>
            </w:tcBorders>
            <w:tcW w:w="845" w:type="pct"/>
            <w:vAlign w:val="center"/>
            <w:textDirection w:val="lrTb"/>
            <w:noWrap w:val="false"/>
          </w:tcPr>
          <w:p>
            <w:pPr>
              <w:jc w:val="center"/>
              <w:rPr>
                <w:sz w:val="20"/>
                <w:szCs w:val="20"/>
              </w:rPr>
            </w:pPr>
            <w:r>
              <w:rPr>
                <w:sz w:val="20"/>
                <w:szCs w:val="20"/>
              </w:rPr>
              <w:t xml:space="preserve">2188,10</w:t>
            </w:r>
            <w:r>
              <w:rPr>
                <w:sz w:val="20"/>
                <w:szCs w:val="20"/>
              </w:rPr>
            </w:r>
            <w:r>
              <w:rPr>
                <w:sz w:val="20"/>
                <w:szCs w:val="20"/>
              </w:rPr>
            </w:r>
          </w:p>
        </w:tc>
      </w:tr>
      <w:tr>
        <w:tblPrEx/>
        <w:trPr>
          <w:trHeight w:val="264"/>
        </w:trPr>
        <w:tc>
          <w:tcPr>
            <w:shd w:val="clear" w:color="auto" w:fill="auto"/>
            <w:tcBorders>
              <w:top w:val="single" w:color="auto" w:sz="4" w:space="0"/>
              <w:left w:val="single" w:color="auto" w:sz="4" w:space="0"/>
              <w:bottom w:val="single" w:color="auto" w:sz="4" w:space="0"/>
              <w:right w:val="single" w:color="auto" w:sz="4" w:space="0"/>
            </w:tcBorders>
            <w:tcW w:w="2465" w:type="pct"/>
            <w:vAlign w:val="center"/>
            <w:textDirection w:val="lrTb"/>
            <w:noWrap/>
          </w:tcPr>
          <w:p>
            <w:pPr>
              <w:rPr>
                <w:sz w:val="20"/>
                <w:szCs w:val="20"/>
              </w:rPr>
            </w:pPr>
            <w:r>
              <w:rPr>
                <w:sz w:val="20"/>
                <w:szCs w:val="20"/>
              </w:rPr>
              <w:t xml:space="preserve">Суммарная присоединённая нагрузка, Гкал/ч</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845" w:type="pct"/>
            <w:vAlign w:val="center"/>
            <w:textDirection w:val="lrTb"/>
            <w:noWrap w:val="false"/>
          </w:tcPr>
          <w:p>
            <w:pPr>
              <w:jc w:val="center"/>
              <w:rPr>
                <w:sz w:val="20"/>
                <w:szCs w:val="20"/>
              </w:rPr>
            </w:pPr>
            <w:r>
              <w:rPr>
                <w:sz w:val="20"/>
                <w:szCs w:val="20"/>
              </w:rPr>
              <w:t xml:space="preserve">3,324</w:t>
            </w:r>
            <w:r>
              <w:rPr>
                <w:sz w:val="20"/>
                <w:szCs w:val="20"/>
              </w:rPr>
            </w:r>
            <w:r>
              <w:rPr>
                <w:sz w:val="20"/>
                <w:szCs w:val="20"/>
              </w:rPr>
            </w:r>
          </w:p>
        </w:tc>
        <w:tc>
          <w:tcPr>
            <w:tcBorders>
              <w:top w:val="single" w:color="auto" w:sz="4" w:space="0"/>
              <w:left w:val="single" w:color="auto" w:sz="4" w:space="0"/>
              <w:bottom w:val="single" w:color="auto" w:sz="4" w:space="0"/>
              <w:right w:val="single" w:color="auto" w:sz="8" w:space="0"/>
            </w:tcBorders>
            <w:tcW w:w="845" w:type="pct"/>
            <w:vAlign w:val="center"/>
            <w:textDirection w:val="lrTb"/>
            <w:noWrap w:val="false"/>
          </w:tcPr>
          <w:p>
            <w:pPr>
              <w:jc w:val="center"/>
              <w:rPr>
                <w:sz w:val="20"/>
                <w:szCs w:val="20"/>
              </w:rPr>
            </w:pPr>
            <w:r>
              <w:rPr>
                <w:sz w:val="20"/>
                <w:szCs w:val="20"/>
              </w:rPr>
              <w:t xml:space="preserve">0,</w:t>
            </w:r>
            <w:r>
              <w:rPr>
                <w:sz w:val="20"/>
                <w:szCs w:val="20"/>
              </w:rPr>
              <w:t xml:space="preserve">3732</w:t>
            </w:r>
            <w:r>
              <w:rPr>
                <w:sz w:val="20"/>
                <w:szCs w:val="20"/>
              </w:rPr>
            </w:r>
            <w:r>
              <w:rPr>
                <w:sz w:val="20"/>
                <w:szCs w:val="20"/>
              </w:rPr>
            </w:r>
          </w:p>
        </w:tc>
        <w:tc>
          <w:tcPr>
            <w:tcBorders>
              <w:top w:val="single" w:color="auto" w:sz="4" w:space="0"/>
              <w:left w:val="single" w:color="auto" w:sz="4" w:space="0"/>
              <w:bottom w:val="single" w:color="auto" w:sz="4" w:space="0"/>
              <w:right w:val="single" w:color="auto" w:sz="8" w:space="0"/>
            </w:tcBorders>
            <w:tcW w:w="845" w:type="pct"/>
            <w:vAlign w:val="center"/>
            <w:textDirection w:val="lrTb"/>
            <w:noWrap w:val="false"/>
          </w:tcPr>
          <w:p>
            <w:pPr>
              <w:jc w:val="center"/>
              <w:rPr>
                <w:sz w:val="20"/>
                <w:szCs w:val="20"/>
              </w:rPr>
            </w:pPr>
            <w:r>
              <w:rPr>
                <w:sz w:val="20"/>
                <w:szCs w:val="20"/>
              </w:rPr>
              <w:t xml:space="preserve">7,798</w:t>
            </w:r>
            <w:r>
              <w:rPr>
                <w:sz w:val="20"/>
                <w:szCs w:val="20"/>
              </w:rPr>
            </w:r>
            <w:r>
              <w:rPr>
                <w:sz w:val="20"/>
                <w:szCs w:val="20"/>
              </w:rPr>
            </w:r>
          </w:p>
        </w:tc>
      </w:tr>
      <w:tr>
        <w:tblPrEx/>
        <w:trPr>
          <w:trHeight w:val="264"/>
        </w:trPr>
        <w:tc>
          <w:tcPr>
            <w:shd w:val="clear" w:color="auto" w:fill="auto"/>
            <w:tcBorders>
              <w:top w:val="single" w:color="auto" w:sz="4" w:space="0"/>
              <w:left w:val="single" w:color="auto" w:sz="4" w:space="0"/>
              <w:bottom w:val="single" w:color="auto" w:sz="4" w:space="0"/>
              <w:right w:val="single" w:color="auto" w:sz="4" w:space="0"/>
            </w:tcBorders>
            <w:tcW w:w="2465" w:type="pct"/>
            <w:vAlign w:val="center"/>
            <w:textDirection w:val="lrTb"/>
            <w:noWrap/>
          </w:tcPr>
          <w:p>
            <w:pPr>
              <w:rPr>
                <w:sz w:val="20"/>
                <w:szCs w:val="20"/>
              </w:rPr>
            </w:pPr>
            <w:r>
              <w:rPr>
                <w:sz w:val="20"/>
                <w:szCs w:val="20"/>
              </w:rPr>
              <w:t xml:space="preserve">Теплоплотность зоны действия источника, Гкал/ч·км</w:t>
            </w:r>
            <w:r>
              <w:rPr>
                <w:sz w:val="20"/>
                <w:szCs w:val="20"/>
                <w:vertAlign w:val="superscript"/>
              </w:rPr>
              <w:t xml:space="preserve">2</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845" w:type="pct"/>
            <w:vAlign w:val="center"/>
            <w:textDirection w:val="lrTb"/>
            <w:noWrap w:val="false"/>
          </w:tcPr>
          <w:p>
            <w:pPr>
              <w:jc w:val="center"/>
              <w:rPr>
                <w:sz w:val="20"/>
                <w:szCs w:val="20"/>
              </w:rPr>
            </w:pPr>
            <w:r>
              <w:rPr>
                <w:sz w:val="20"/>
                <w:szCs w:val="20"/>
              </w:rPr>
              <w:t xml:space="preserve">16,54</w:t>
            </w:r>
            <w:r>
              <w:rPr>
                <w:sz w:val="20"/>
                <w:szCs w:val="20"/>
              </w:rPr>
            </w:r>
            <w:r>
              <w:rPr>
                <w:sz w:val="20"/>
                <w:szCs w:val="20"/>
              </w:rPr>
            </w:r>
          </w:p>
        </w:tc>
        <w:tc>
          <w:tcPr>
            <w:tcBorders>
              <w:top w:val="single" w:color="auto" w:sz="4" w:space="0"/>
              <w:left w:val="single" w:color="auto" w:sz="4" w:space="0"/>
              <w:bottom w:val="single" w:color="auto" w:sz="4" w:space="0"/>
              <w:right w:val="single" w:color="auto" w:sz="8" w:space="0"/>
            </w:tcBorders>
            <w:tcW w:w="845" w:type="pct"/>
            <w:vAlign w:val="center"/>
            <w:textDirection w:val="lrTb"/>
            <w:noWrap w:val="false"/>
          </w:tcPr>
          <w:p>
            <w:pPr>
              <w:jc w:val="center"/>
              <w:rPr>
                <w:sz w:val="20"/>
                <w:szCs w:val="20"/>
              </w:rPr>
            </w:pPr>
            <w:r>
              <w:rPr>
                <w:sz w:val="20"/>
                <w:szCs w:val="20"/>
              </w:rPr>
              <w:t xml:space="preserve">10,98</w:t>
            </w:r>
            <w:r>
              <w:rPr>
                <w:sz w:val="20"/>
                <w:szCs w:val="20"/>
              </w:rPr>
            </w:r>
            <w:r>
              <w:rPr>
                <w:sz w:val="20"/>
                <w:szCs w:val="20"/>
              </w:rPr>
            </w:r>
          </w:p>
        </w:tc>
        <w:tc>
          <w:tcPr>
            <w:tcBorders>
              <w:top w:val="single" w:color="auto" w:sz="4" w:space="0"/>
              <w:left w:val="single" w:color="auto" w:sz="4" w:space="0"/>
              <w:bottom w:val="single" w:color="auto" w:sz="4" w:space="0"/>
              <w:right w:val="single" w:color="auto" w:sz="8" w:space="0"/>
            </w:tcBorders>
            <w:tcW w:w="845" w:type="pct"/>
            <w:vAlign w:val="center"/>
            <w:textDirection w:val="lrTb"/>
            <w:noWrap w:val="false"/>
          </w:tcPr>
          <w:p>
            <w:pPr>
              <w:jc w:val="center"/>
              <w:rPr>
                <w:sz w:val="20"/>
                <w:szCs w:val="20"/>
              </w:rPr>
            </w:pPr>
            <w:r>
              <w:rPr>
                <w:sz w:val="20"/>
                <w:szCs w:val="20"/>
              </w:rPr>
              <w:t xml:space="preserve">5,23</w:t>
            </w:r>
            <w:r>
              <w:rPr>
                <w:sz w:val="20"/>
                <w:szCs w:val="20"/>
              </w:rPr>
            </w:r>
            <w:r>
              <w:rPr>
                <w:sz w:val="20"/>
                <w:szCs w:val="20"/>
              </w:rPr>
            </w:r>
          </w:p>
        </w:tc>
      </w:tr>
      <w:tr>
        <w:tblPrEx/>
        <w:trPr>
          <w:trHeight w:val="264"/>
        </w:trPr>
        <w:tc>
          <w:tcPr>
            <w:shd w:val="clear" w:color="auto" w:fill="auto"/>
            <w:tcBorders>
              <w:top w:val="single" w:color="auto" w:sz="4" w:space="0"/>
              <w:left w:val="single" w:color="auto" w:sz="4" w:space="0"/>
              <w:bottom w:val="single" w:color="auto" w:sz="4" w:space="0"/>
              <w:right w:val="single" w:color="auto" w:sz="4" w:space="0"/>
            </w:tcBorders>
            <w:tcW w:w="2465" w:type="pct"/>
            <w:vAlign w:val="center"/>
            <w:textDirection w:val="lrTb"/>
            <w:noWrap/>
          </w:tcPr>
          <w:p>
            <w:pPr>
              <w:rPr>
                <w:sz w:val="20"/>
                <w:szCs w:val="20"/>
              </w:rPr>
            </w:pPr>
            <w:r>
              <w:rPr>
                <w:sz w:val="20"/>
                <w:szCs w:val="20"/>
              </w:rPr>
              <w:t xml:space="preserve">Расчетный перепад температур в т/с, ºС</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845" w:type="pct"/>
            <w:vAlign w:val="center"/>
            <w:textDirection w:val="lrTb"/>
            <w:noWrap w:val="false"/>
          </w:tcPr>
          <w:p>
            <w:pPr>
              <w:jc w:val="center"/>
              <w:rPr>
                <w:sz w:val="20"/>
                <w:szCs w:val="20"/>
              </w:rPr>
            </w:pPr>
            <w:r>
              <w:rPr>
                <w:sz w:val="20"/>
                <w:szCs w:val="20"/>
              </w:rPr>
              <w:t xml:space="preserve">25</w:t>
            </w:r>
            <w:r>
              <w:rPr>
                <w:sz w:val="20"/>
                <w:szCs w:val="20"/>
              </w:rPr>
            </w:r>
            <w:r>
              <w:rPr>
                <w:sz w:val="20"/>
                <w:szCs w:val="20"/>
              </w:rPr>
            </w:r>
          </w:p>
        </w:tc>
        <w:tc>
          <w:tcPr>
            <w:tcBorders>
              <w:top w:val="single" w:color="auto" w:sz="4" w:space="0"/>
              <w:left w:val="single" w:color="auto" w:sz="4" w:space="0"/>
              <w:bottom w:val="single" w:color="auto" w:sz="4" w:space="0"/>
              <w:right w:val="single" w:color="auto" w:sz="8" w:space="0"/>
            </w:tcBorders>
            <w:tcW w:w="845" w:type="pct"/>
            <w:vAlign w:val="center"/>
            <w:textDirection w:val="lrTb"/>
            <w:noWrap w:val="false"/>
          </w:tcPr>
          <w:p>
            <w:pPr>
              <w:jc w:val="center"/>
              <w:rPr>
                <w:sz w:val="20"/>
                <w:szCs w:val="20"/>
              </w:rPr>
            </w:pPr>
            <w:r>
              <w:rPr>
                <w:sz w:val="20"/>
                <w:szCs w:val="20"/>
              </w:rPr>
              <w:t xml:space="preserve">25</w:t>
            </w:r>
            <w:r>
              <w:rPr>
                <w:sz w:val="20"/>
                <w:szCs w:val="20"/>
              </w:rPr>
            </w:r>
            <w:r>
              <w:rPr>
                <w:sz w:val="20"/>
                <w:szCs w:val="20"/>
              </w:rPr>
            </w:r>
          </w:p>
        </w:tc>
        <w:tc>
          <w:tcPr>
            <w:tcBorders>
              <w:top w:val="single" w:color="auto" w:sz="4" w:space="0"/>
              <w:left w:val="single" w:color="auto" w:sz="4" w:space="0"/>
              <w:bottom w:val="single" w:color="auto" w:sz="4" w:space="0"/>
              <w:right w:val="single" w:color="auto" w:sz="8" w:space="0"/>
            </w:tcBorders>
            <w:tcW w:w="845" w:type="pct"/>
            <w:vAlign w:val="center"/>
            <w:textDirection w:val="lrTb"/>
            <w:noWrap w:val="false"/>
          </w:tcPr>
          <w:p>
            <w:pPr>
              <w:jc w:val="center"/>
              <w:rPr>
                <w:sz w:val="20"/>
                <w:szCs w:val="20"/>
              </w:rPr>
            </w:pPr>
            <w:r>
              <w:rPr>
                <w:sz w:val="20"/>
                <w:szCs w:val="20"/>
              </w:rPr>
              <w:t xml:space="preserve">25</w:t>
            </w:r>
            <w:r>
              <w:rPr>
                <w:sz w:val="20"/>
                <w:szCs w:val="20"/>
              </w:rPr>
            </w:r>
            <w:r>
              <w:rPr>
                <w:sz w:val="20"/>
                <w:szCs w:val="20"/>
              </w:rPr>
            </w:r>
          </w:p>
        </w:tc>
      </w:tr>
      <w:tr>
        <w:tblPrEx/>
        <w:trPr>
          <w:trHeight w:val="264"/>
        </w:trPr>
        <w:tc>
          <w:tcPr>
            <w:shd w:val="clear" w:color="auto" w:fill="auto"/>
            <w:tcBorders>
              <w:top w:val="single" w:color="auto" w:sz="4" w:space="0"/>
              <w:left w:val="single" w:color="auto" w:sz="4" w:space="0"/>
              <w:bottom w:val="single" w:color="auto" w:sz="4" w:space="0"/>
              <w:right w:val="single" w:color="auto" w:sz="4" w:space="0"/>
            </w:tcBorders>
            <w:tcW w:w="2465" w:type="pct"/>
            <w:vAlign w:val="center"/>
            <w:textDirection w:val="lrTb"/>
            <w:noWrap/>
          </w:tcPr>
          <w:p>
            <w:pPr>
              <w:rPr>
                <w:sz w:val="20"/>
                <w:szCs w:val="20"/>
              </w:rPr>
            </w:pPr>
            <w:r>
              <w:rPr>
                <w:sz w:val="20"/>
                <w:szCs w:val="20"/>
              </w:rPr>
              <w:t xml:space="preserve">Радиус эффективного теплоснабжения, км</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845" w:type="pct"/>
            <w:vAlign w:val="center"/>
            <w:textDirection w:val="lrTb"/>
            <w:noWrap w:val="false"/>
          </w:tcPr>
          <w:p>
            <w:pPr>
              <w:jc w:val="center"/>
              <w:rPr>
                <w:sz w:val="20"/>
                <w:szCs w:val="20"/>
              </w:rPr>
            </w:pPr>
            <w:r>
              <w:rPr>
                <w:sz w:val="20"/>
                <w:szCs w:val="20"/>
              </w:rPr>
              <w:t xml:space="preserve">н/д</w:t>
            </w:r>
            <w:r>
              <w:rPr>
                <w:sz w:val="20"/>
                <w:szCs w:val="20"/>
              </w:rPr>
            </w:r>
            <w:r>
              <w:rPr>
                <w:sz w:val="20"/>
                <w:szCs w:val="20"/>
              </w:rPr>
            </w:r>
          </w:p>
        </w:tc>
        <w:tc>
          <w:tcPr>
            <w:tcBorders>
              <w:top w:val="single" w:color="auto" w:sz="4" w:space="0"/>
              <w:left w:val="single" w:color="auto" w:sz="4" w:space="0"/>
              <w:bottom w:val="single" w:color="auto" w:sz="4" w:space="0"/>
              <w:right w:val="single" w:color="auto" w:sz="8" w:space="0"/>
            </w:tcBorders>
            <w:tcW w:w="845" w:type="pct"/>
            <w:vAlign w:val="center"/>
            <w:textDirection w:val="lrTb"/>
            <w:noWrap w:val="false"/>
          </w:tcPr>
          <w:p>
            <w:pPr>
              <w:jc w:val="center"/>
              <w:rPr>
                <w:sz w:val="20"/>
                <w:szCs w:val="20"/>
              </w:rPr>
            </w:pPr>
            <w:r>
              <w:rPr>
                <w:sz w:val="20"/>
                <w:szCs w:val="20"/>
              </w:rPr>
              <w:t xml:space="preserve">0,</w:t>
            </w:r>
            <w:r>
              <w:rPr>
                <w:sz w:val="20"/>
                <w:szCs w:val="20"/>
              </w:rPr>
              <w:t xml:space="preserve">320</w:t>
            </w:r>
            <w:r>
              <w:rPr>
                <w:sz w:val="20"/>
                <w:szCs w:val="20"/>
              </w:rPr>
            </w:r>
            <w:r>
              <w:rPr>
                <w:sz w:val="20"/>
                <w:szCs w:val="20"/>
              </w:rPr>
            </w:r>
          </w:p>
        </w:tc>
        <w:tc>
          <w:tcPr>
            <w:tcBorders>
              <w:top w:val="single" w:color="auto" w:sz="4" w:space="0"/>
              <w:left w:val="single" w:color="auto" w:sz="4" w:space="0"/>
              <w:bottom w:val="single" w:color="auto" w:sz="4" w:space="0"/>
              <w:right w:val="single" w:color="auto" w:sz="8" w:space="0"/>
            </w:tcBorders>
            <w:tcW w:w="845" w:type="pct"/>
            <w:vAlign w:val="center"/>
            <w:textDirection w:val="lrTb"/>
            <w:noWrap w:val="false"/>
          </w:tcPr>
          <w:p>
            <w:pPr>
              <w:jc w:val="center"/>
              <w:rPr>
                <w:sz w:val="20"/>
                <w:szCs w:val="20"/>
              </w:rPr>
            </w:pPr>
            <w:r>
              <w:rPr>
                <w:sz w:val="20"/>
                <w:szCs w:val="20"/>
              </w:rPr>
              <w:t xml:space="preserve">3,5</w:t>
            </w:r>
            <w:r>
              <w:rPr>
                <w:sz w:val="20"/>
                <w:szCs w:val="20"/>
              </w:rPr>
            </w:r>
            <w:r>
              <w:rPr>
                <w:sz w:val="20"/>
                <w:szCs w:val="20"/>
              </w:rPr>
            </w:r>
          </w:p>
        </w:tc>
      </w:tr>
    </w:tbl>
    <w:p>
      <w:pPr>
        <w:jc w:val="center"/>
        <w:rPr>
          <w:bCs/>
          <w:sz w:val="24"/>
          <w:szCs w:val="24"/>
          <w:lang w:eastAsia="ru-RU"/>
        </w:rPr>
      </w:pPr>
      <w:r>
        <w:rPr>
          <w:bCs/>
          <w:sz w:val="24"/>
          <w:szCs w:val="24"/>
          <w:lang w:eastAsia="ru-RU"/>
        </w:rPr>
      </w:r>
      <w:r>
        <w:rPr>
          <w:bCs/>
          <w:sz w:val="24"/>
          <w:szCs w:val="24"/>
          <w:lang w:eastAsia="ru-RU"/>
        </w:rPr>
      </w:r>
      <w:r>
        <w:rPr>
          <w:bCs/>
          <w:sz w:val="24"/>
          <w:szCs w:val="24"/>
          <w:lang w:eastAsia="ru-RU"/>
        </w:rPr>
      </w:r>
    </w:p>
    <w:p>
      <w:pPr>
        <w:pStyle w:val="1248"/>
        <w:ind w:right="107" w:firstLine="733"/>
      </w:pPr>
      <w:r/>
      <w:bookmarkStart w:id="469" w:name="_Toc165540795"/>
      <w:r>
        <w:rPr>
          <w:lang w:eastAsia="ru-RU"/>
        </w:rPr>
        <w:t xml:space="preserve">7.16 </w:t>
      </w:r>
      <w:r>
        <w:t xml:space="preserve">Описание изменений в предложениях по строительству, реконструкции, техническому перевооружению и (или) модер</w:t>
      </w:r>
      <w:r>
        <w:t xml:space="preserve">низации источников тепловой энергии за период, предшествующий актуализации схемы теплоснабжения, в том числе с учётом введённых в эксплуатацию новых, реконструированных и прошедших техническое перевооружение и (или) модернизацию источников тепловой энергии</w:t>
      </w:r>
      <w:bookmarkEnd w:id="468"/>
      <w:r/>
      <w:bookmarkEnd w:id="469"/>
      <w:r/>
      <w:r/>
    </w:p>
    <w:p>
      <w:pPr>
        <w:pStyle w:val="1247"/>
        <w:ind w:left="119" w:right="108" w:firstLine="709"/>
        <w:jc w:val="both"/>
        <w:spacing w:before="120"/>
      </w:pPr>
      <w:r>
        <w:t xml:space="preserve">Ранее схема теплоснабжения </w:t>
      </w:r>
      <w:r>
        <w:t xml:space="preserve">Юргамышского</w:t>
      </w:r>
      <w:r>
        <w:t xml:space="preserve"> муниципального округа не была разработана.</w:t>
      </w:r>
      <w:r/>
    </w:p>
    <w:p>
      <w:pPr>
        <w:pStyle w:val="1247"/>
        <w:ind w:left="119" w:right="113" w:firstLine="709"/>
        <w:jc w:val="both"/>
      </w:pPr>
      <w:r/>
      <w:r/>
    </w:p>
    <w:p>
      <w:pPr>
        <w:pStyle w:val="1248"/>
        <w:ind w:right="107" w:firstLine="733"/>
        <w:spacing w:before="67"/>
      </w:pPr>
      <w:r/>
      <w:bookmarkStart w:id="470" w:name="_Toc130232016"/>
      <w:r/>
      <w:bookmarkStart w:id="471" w:name="_Toc165540796"/>
      <w:r>
        <w:rPr>
          <w:lang w:eastAsia="ru-RU"/>
        </w:rPr>
        <w:t xml:space="preserve">7.17 </w:t>
      </w:r>
      <w:r>
        <w:t xml:space="preserve">Обоснование покрытия перспективной тепловой нагрузки, не обеспеченной тепловой мощностью</w:t>
      </w:r>
      <w:bookmarkEnd w:id="470"/>
      <w:r/>
      <w:bookmarkEnd w:id="471"/>
      <w:r/>
      <w:r/>
    </w:p>
    <w:p>
      <w:pPr>
        <w:pStyle w:val="1247"/>
        <w:ind w:left="118" w:right="113" w:firstLine="707"/>
        <w:jc w:val="both"/>
        <w:spacing w:before="115"/>
      </w:pPr>
      <w:r>
        <w:t xml:space="preserve">Исходя из расчётов существующих и перспективных резервов и дефицитов мощности котельных, резервы позволят покрыть перспективную тепловую нагрузку потребителей, не обеспеченных тепловой мощностью.</w:t>
      </w:r>
      <w:r/>
    </w:p>
    <w:p>
      <w:pPr>
        <w:pStyle w:val="1247"/>
        <w:ind w:left="118" w:right="113" w:firstLine="707"/>
        <w:jc w:val="both"/>
        <w:spacing w:before="115"/>
      </w:pPr>
      <w:r/>
      <w:r/>
    </w:p>
    <w:p>
      <w:pPr>
        <w:pStyle w:val="1248"/>
        <w:ind w:right="108" w:firstLine="733"/>
      </w:pPr>
      <w:r/>
      <w:bookmarkStart w:id="472" w:name="_bookmark254"/>
      <w:r/>
      <w:bookmarkStart w:id="473" w:name="_Toc130232017"/>
      <w:r/>
      <w:bookmarkStart w:id="474" w:name="_Toc165540797"/>
      <w:r/>
      <w:bookmarkEnd w:id="472"/>
      <w:r>
        <w:rPr>
          <w:lang w:eastAsia="ru-RU"/>
        </w:rPr>
        <w:t xml:space="preserve">7.18 </w:t>
      </w:r>
      <w:r>
        <w:t xml:space="preserve">Максимальная выработка электрической энергии на базе прироста теплового потребления на коллекторах существующих источников тепловой энергии, функционирующих в режиме комбинированной выработки электрической и тепловой </w:t>
      </w:r>
      <w:r>
        <w:rPr>
          <w:spacing w:val="-2"/>
        </w:rPr>
        <w:t xml:space="preserve">энергии</w:t>
      </w:r>
      <w:bookmarkEnd w:id="473"/>
      <w:r/>
      <w:bookmarkEnd w:id="474"/>
      <w:r/>
      <w:r/>
    </w:p>
    <w:p>
      <w:pPr>
        <w:pStyle w:val="1247"/>
        <w:ind w:left="119" w:right="108" w:firstLine="709"/>
        <w:jc w:val="both"/>
        <w:spacing w:before="120"/>
      </w:pPr>
      <w:r>
        <w:t xml:space="preserve">На территории </w:t>
      </w:r>
      <w:r>
        <w:t xml:space="preserve">Юргамышского</w:t>
      </w:r>
      <w:r>
        <w:t xml:space="preserve"> муниципального округа </w:t>
      </w:r>
      <w:r>
        <w:t xml:space="preserve">отсутствуют источники тепловой энергии, функционирующие в режиме комбинированной выработки электрической и тепловой </w:t>
      </w:r>
      <w:r>
        <w:rPr>
          <w:spacing w:val="-2"/>
        </w:rPr>
        <w:t xml:space="preserve">энергии.</w:t>
      </w:r>
      <w:r/>
    </w:p>
    <w:p>
      <w:pPr>
        <w:jc w:val="both"/>
      </w:pPr>
      <w:r/>
      <w:r/>
    </w:p>
    <w:p>
      <w:pPr>
        <w:rPr>
          <w:b/>
          <w:bCs/>
          <w:sz w:val="24"/>
          <w:szCs w:val="24"/>
          <w:lang w:eastAsia="ru-RU"/>
        </w:rPr>
      </w:pPr>
      <w:r/>
      <w:bookmarkStart w:id="475" w:name="_Toc130232018"/>
      <w:r/>
      <w:bookmarkStart w:id="476" w:name="_Toc165540798"/>
      <w:r>
        <w:rPr>
          <w:lang w:eastAsia="ru-RU"/>
        </w:rPr>
        <w:br w:type="page" w:clear="all"/>
      </w:r>
      <w:r>
        <w:rPr>
          <w:b/>
          <w:bCs/>
          <w:sz w:val="24"/>
          <w:szCs w:val="24"/>
          <w:lang w:eastAsia="ru-RU"/>
        </w:rPr>
      </w:r>
      <w:r>
        <w:rPr>
          <w:b/>
          <w:bCs/>
          <w:sz w:val="24"/>
          <w:szCs w:val="24"/>
          <w:lang w:eastAsia="ru-RU"/>
        </w:rPr>
      </w:r>
    </w:p>
    <w:p>
      <w:pPr>
        <w:pStyle w:val="1248"/>
        <w:ind w:right="114" w:firstLine="733"/>
        <w:jc w:val="left"/>
        <w:tabs>
          <w:tab w:val="left" w:pos="2954" w:leader="none"/>
          <w:tab w:val="left" w:pos="4877" w:leader="none"/>
          <w:tab w:val="left" w:pos="6064" w:leader="none"/>
          <w:tab w:val="left" w:pos="7239" w:leader="none"/>
          <w:tab w:val="left" w:pos="8743" w:leader="none"/>
        </w:tabs>
      </w:pPr>
      <w:r>
        <w:rPr>
          <w:lang w:eastAsia="ru-RU"/>
        </w:rPr>
        <w:t xml:space="preserve">7.19 </w:t>
      </w:r>
      <w:r>
        <w:rPr>
          <w:spacing w:val="-2"/>
        </w:rPr>
        <w:t xml:space="preserve">Определение</w:t>
      </w:r>
      <w:r>
        <w:tab/>
      </w:r>
      <w:r>
        <w:rPr>
          <w:spacing w:val="-2"/>
        </w:rPr>
        <w:t xml:space="preserve">перспективных</w:t>
      </w:r>
      <w:r>
        <w:tab/>
      </w:r>
      <w:r>
        <w:rPr>
          <w:spacing w:val="-2"/>
        </w:rPr>
        <w:t xml:space="preserve">режимов</w:t>
      </w:r>
      <w:r>
        <w:tab/>
      </w:r>
      <w:r>
        <w:rPr>
          <w:spacing w:val="-2"/>
        </w:rPr>
        <w:t xml:space="preserve">загрузки</w:t>
      </w:r>
      <w:r>
        <w:tab/>
      </w:r>
      <w:r>
        <w:rPr>
          <w:spacing w:val="-2"/>
        </w:rPr>
        <w:t xml:space="preserve">источников</w:t>
      </w:r>
      <w:r>
        <w:tab/>
      </w:r>
      <w:r>
        <w:rPr>
          <w:spacing w:val="-2"/>
        </w:rPr>
        <w:t xml:space="preserve">тепловой </w:t>
      </w:r>
      <w:r>
        <w:t xml:space="preserve">энергии по присоединённой нагрузке</w:t>
      </w:r>
      <w:bookmarkEnd w:id="475"/>
      <w:r/>
      <w:bookmarkEnd w:id="476"/>
      <w:r/>
      <w:r/>
    </w:p>
    <w:p>
      <w:pPr>
        <w:pStyle w:val="1247"/>
        <w:ind w:left="118" w:firstLine="707"/>
        <w:jc w:val="both"/>
        <w:spacing w:before="115"/>
      </w:pPr>
      <w:r>
        <w:t xml:space="preserve">Перспективные</w:t>
      </w:r>
      <w:r>
        <w:rPr>
          <w:spacing w:val="80"/>
        </w:rPr>
        <w:t xml:space="preserve"> </w:t>
      </w:r>
      <w:r>
        <w:t xml:space="preserve">режимы</w:t>
      </w:r>
      <w:r>
        <w:rPr>
          <w:spacing w:val="80"/>
        </w:rPr>
        <w:t xml:space="preserve"> </w:t>
      </w:r>
      <w:r>
        <w:t xml:space="preserve">загрузки</w:t>
      </w:r>
      <w:r>
        <w:rPr>
          <w:spacing w:val="80"/>
        </w:rPr>
        <w:t xml:space="preserve"> </w:t>
      </w:r>
      <w:r>
        <w:t xml:space="preserve">и</w:t>
      </w:r>
      <w:r>
        <w:rPr>
          <w:spacing w:val="80"/>
        </w:rPr>
        <w:t xml:space="preserve"> </w:t>
      </w:r>
      <w:r>
        <w:t xml:space="preserve">выработки</w:t>
      </w:r>
      <w:r>
        <w:rPr>
          <w:spacing w:val="80"/>
        </w:rPr>
        <w:t xml:space="preserve"> </w:t>
      </w:r>
      <w:r>
        <w:t xml:space="preserve">тепловой</w:t>
      </w:r>
      <w:r>
        <w:rPr>
          <w:spacing w:val="80"/>
        </w:rPr>
        <w:t xml:space="preserve"> </w:t>
      </w:r>
      <w:r>
        <w:t xml:space="preserve">энергии</w:t>
      </w:r>
      <w:r>
        <w:rPr>
          <w:spacing w:val="80"/>
        </w:rPr>
        <w:t xml:space="preserve"> </w:t>
      </w:r>
      <w:r>
        <w:t xml:space="preserve">на</w:t>
      </w:r>
      <w:r>
        <w:rPr>
          <w:spacing w:val="80"/>
        </w:rPr>
        <w:t xml:space="preserve"> </w:t>
      </w:r>
      <w:r>
        <w:t xml:space="preserve">источниках теплоснабжения приведены в Главе 4</w:t>
      </w:r>
      <w:r>
        <w:t xml:space="preserve"> Обосновывающих материалов Схемы теплоснабжения</w:t>
      </w:r>
      <w:r>
        <w:t xml:space="preserve">.</w:t>
      </w:r>
      <w:r/>
    </w:p>
    <w:p>
      <w:pPr>
        <w:pStyle w:val="1247"/>
        <w:spacing w:before="7"/>
        <w:rPr>
          <w:sz w:val="16"/>
        </w:rPr>
      </w:pPr>
      <w:r>
        <w:rPr>
          <w:sz w:val="16"/>
        </w:rPr>
      </w:r>
      <w:r>
        <w:rPr>
          <w:sz w:val="16"/>
        </w:rPr>
      </w:r>
      <w:r>
        <w:rPr>
          <w:sz w:val="16"/>
        </w:rPr>
      </w:r>
    </w:p>
    <w:p>
      <w:pPr>
        <w:pStyle w:val="1247"/>
        <w:spacing w:before="7"/>
        <w:rPr>
          <w:sz w:val="16"/>
        </w:rPr>
      </w:pPr>
      <w:r>
        <w:rPr>
          <w:sz w:val="16"/>
        </w:rPr>
      </w:r>
      <w:r>
        <w:rPr>
          <w:sz w:val="16"/>
        </w:rPr>
      </w:r>
      <w:r>
        <w:rPr>
          <w:sz w:val="16"/>
        </w:rPr>
      </w:r>
    </w:p>
    <w:p>
      <w:pPr>
        <w:pStyle w:val="1248"/>
        <w:ind w:left="1313" w:hanging="462"/>
        <w:jc w:val="left"/>
      </w:pPr>
      <w:r/>
      <w:bookmarkStart w:id="477" w:name="_bookmark256"/>
      <w:r/>
      <w:bookmarkStart w:id="478" w:name="_Toc130232019"/>
      <w:r/>
      <w:bookmarkStart w:id="479" w:name="_Toc165540799"/>
      <w:r/>
      <w:bookmarkEnd w:id="477"/>
      <w:r>
        <w:rPr>
          <w:lang w:eastAsia="ru-RU"/>
        </w:rPr>
        <w:t xml:space="preserve">7.20 </w:t>
      </w:r>
      <w:r>
        <w:t xml:space="preserve">Определение</w:t>
      </w:r>
      <w:r>
        <w:rPr>
          <w:spacing w:val="-14"/>
        </w:rPr>
        <w:t xml:space="preserve"> </w:t>
      </w:r>
      <w:r>
        <w:t xml:space="preserve">потребности</w:t>
      </w:r>
      <w:r>
        <w:rPr>
          <w:spacing w:val="-9"/>
        </w:rPr>
        <w:t xml:space="preserve"> </w:t>
      </w:r>
      <w:r>
        <w:t xml:space="preserve">в</w:t>
      </w:r>
      <w:r>
        <w:rPr>
          <w:spacing w:val="-13"/>
        </w:rPr>
        <w:t xml:space="preserve"> </w:t>
      </w:r>
      <w:r>
        <w:t xml:space="preserve">топливе</w:t>
      </w:r>
      <w:r>
        <w:rPr>
          <w:spacing w:val="-11"/>
        </w:rPr>
        <w:t xml:space="preserve"> </w:t>
      </w:r>
      <w:r>
        <w:t xml:space="preserve">и</w:t>
      </w:r>
      <w:r>
        <w:rPr>
          <w:spacing w:val="-9"/>
        </w:rPr>
        <w:t xml:space="preserve"> </w:t>
      </w:r>
      <w:r>
        <w:t xml:space="preserve">рекомендации</w:t>
      </w:r>
      <w:r>
        <w:rPr>
          <w:spacing w:val="-12"/>
        </w:rPr>
        <w:t xml:space="preserve"> </w:t>
      </w:r>
      <w:r>
        <w:t xml:space="preserve">по</w:t>
      </w:r>
      <w:r>
        <w:rPr>
          <w:spacing w:val="-10"/>
        </w:rPr>
        <w:t xml:space="preserve"> </w:t>
      </w:r>
      <w:r>
        <w:t xml:space="preserve">видам</w:t>
      </w:r>
      <w:r>
        <w:rPr>
          <w:spacing w:val="-10"/>
        </w:rPr>
        <w:t xml:space="preserve"> </w:t>
      </w:r>
      <w:r>
        <w:rPr>
          <w:spacing w:val="-2"/>
        </w:rPr>
        <w:t xml:space="preserve">используемого</w:t>
      </w:r>
      <w:bookmarkEnd w:id="478"/>
      <w:r/>
      <w:bookmarkEnd w:id="479"/>
      <w:r/>
      <w:r/>
    </w:p>
    <w:p>
      <w:pPr>
        <w:ind w:left="118"/>
        <w:rPr>
          <w:b/>
          <w:sz w:val="24"/>
        </w:rPr>
      </w:pPr>
      <w:r>
        <w:rPr>
          <w:b/>
          <w:spacing w:val="-2"/>
          <w:sz w:val="24"/>
        </w:rPr>
        <w:t xml:space="preserve">топлива</w:t>
      </w:r>
      <w:r>
        <w:rPr>
          <w:b/>
          <w:sz w:val="24"/>
        </w:rPr>
      </w:r>
      <w:r>
        <w:rPr>
          <w:b/>
          <w:sz w:val="24"/>
        </w:rPr>
      </w:r>
    </w:p>
    <w:p>
      <w:pPr>
        <w:pStyle w:val="1247"/>
        <w:ind w:left="119" w:right="108" w:firstLine="709"/>
        <w:jc w:val="both"/>
      </w:pPr>
      <w:r>
        <w:t xml:space="preserve">Приоритетным видом топлива на момент </w:t>
      </w:r>
      <w:r>
        <w:t xml:space="preserve">разработки </w:t>
      </w:r>
      <w:r>
        <w:t xml:space="preserve">схемы теплоснабжения в </w:t>
      </w:r>
      <w:r>
        <w:t xml:space="preserve">Юргамышском</w:t>
      </w:r>
      <w:r>
        <w:t xml:space="preserve"> муниципальном округе </w:t>
      </w:r>
      <w:r>
        <w:t xml:space="preserve">остается природный газ</w:t>
      </w:r>
      <w:r>
        <w:t xml:space="preserve">.</w:t>
      </w:r>
      <w:r/>
    </w:p>
    <w:p>
      <w:pPr>
        <w:pStyle w:val="1247"/>
        <w:ind w:left="119" w:right="108" w:firstLine="709"/>
        <w:jc w:val="both"/>
        <w:spacing w:before="120"/>
      </w:pPr>
      <w:r/>
      <w:r/>
    </w:p>
    <w:p>
      <w:pPr>
        <w:pStyle w:val="1247"/>
        <w:ind w:left="119" w:right="108" w:firstLine="709"/>
        <w:jc w:val="both"/>
      </w:pPr>
      <w:r/>
      <w:r/>
    </w:p>
    <w:p>
      <w:pPr>
        <w:jc w:val="both"/>
        <w:sectPr>
          <w:footnotePr/>
          <w:endnotePr/>
          <w:type w:val="nextPage"/>
          <w:pgSz w:w="11910" w:h="16840" w:orient="portrait"/>
          <w:pgMar w:top="1040" w:right="740" w:bottom="940" w:left="1300" w:header="0" w:footer="758" w:gutter="0"/>
          <w:cols w:num="1" w:sep="0" w:space="720" w:equalWidth="1"/>
          <w:docGrid w:linePitch="360"/>
        </w:sectPr>
      </w:pPr>
      <w:r/>
      <w:r/>
    </w:p>
    <w:p>
      <w:pPr>
        <w:pStyle w:val="1248"/>
        <w:ind w:right="114" w:firstLine="707"/>
        <w:spacing w:before="71"/>
      </w:pPr>
      <w:r/>
      <w:bookmarkStart w:id="480" w:name="_bookmark253"/>
      <w:r/>
      <w:bookmarkStart w:id="481" w:name="_bookmark255"/>
      <w:r/>
      <w:bookmarkStart w:id="482" w:name="_bookmark257"/>
      <w:r/>
      <w:bookmarkStart w:id="483" w:name="_Toc130232020"/>
      <w:r/>
      <w:bookmarkStart w:id="484" w:name="_Toc165540800"/>
      <w:r/>
      <w:bookmarkEnd w:id="480"/>
      <w:r/>
      <w:bookmarkEnd w:id="481"/>
      <w:r/>
      <w:bookmarkEnd w:id="482"/>
      <w:r>
        <w:t xml:space="preserve">Глава</w:t>
      </w:r>
      <w:r>
        <w:rPr>
          <w:spacing w:val="-4"/>
        </w:rPr>
        <w:t xml:space="preserve"> </w:t>
      </w:r>
      <w:r>
        <w:t xml:space="preserve">8 Предложения по строительству, реконструкции и (или) модернизации тепловых сетей</w:t>
      </w:r>
      <w:bookmarkEnd w:id="483"/>
      <w:r/>
      <w:bookmarkEnd w:id="484"/>
      <w:r/>
      <w:r/>
    </w:p>
    <w:p>
      <w:pPr>
        <w:pStyle w:val="1248"/>
        <w:ind w:right="107" w:firstLine="733"/>
        <w:spacing w:before="120"/>
      </w:pPr>
      <w:r/>
      <w:bookmarkStart w:id="485" w:name="_bookmark258"/>
      <w:r/>
      <w:bookmarkStart w:id="486" w:name="_Toc130232021"/>
      <w:r/>
      <w:bookmarkStart w:id="487" w:name="_Toc165540801"/>
      <w:r/>
      <w:bookmarkEnd w:id="485"/>
      <w:r>
        <w:rPr>
          <w:lang w:eastAsia="ru-RU"/>
        </w:rPr>
        <w:t xml:space="preserve">8.1 </w:t>
      </w:r>
      <w:r>
        <w:t xml:space="preserve">Предложения по реконструкции и (или) модернизации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486"/>
      <w:r/>
      <w:bookmarkEnd w:id="487"/>
      <w:r/>
      <w:r/>
    </w:p>
    <w:p>
      <w:pPr>
        <w:pStyle w:val="1247"/>
        <w:ind w:left="118" w:right="107" w:firstLine="707"/>
        <w:jc w:val="both"/>
        <w:spacing w:before="116"/>
      </w:pPr>
      <w:r>
        <w:t xml:space="preserve">Предложений по строительству и реконструкции тепловых сетей, обес</w:t>
      </w:r>
      <w:r>
        <w:t xml:space="preserve">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 не поступало.</w:t>
      </w:r>
      <w:r/>
    </w:p>
    <w:p>
      <w:pPr>
        <w:pStyle w:val="1247"/>
        <w:spacing w:before="7"/>
        <w:rPr>
          <w:sz w:val="16"/>
        </w:rPr>
      </w:pPr>
      <w:r>
        <w:rPr>
          <w:sz w:val="16"/>
        </w:rPr>
      </w:r>
      <w:r>
        <w:rPr>
          <w:sz w:val="16"/>
        </w:rPr>
      </w:r>
      <w:r>
        <w:rPr>
          <w:sz w:val="16"/>
        </w:rPr>
      </w:r>
    </w:p>
    <w:p>
      <w:pPr>
        <w:pStyle w:val="1248"/>
        <w:ind w:right="115" w:firstLine="733"/>
      </w:pPr>
      <w:r/>
      <w:bookmarkStart w:id="488" w:name="_bookmark259"/>
      <w:r/>
      <w:bookmarkStart w:id="489" w:name="_Toc130232022"/>
      <w:r/>
      <w:bookmarkStart w:id="490" w:name="_Toc165540802"/>
      <w:r/>
      <w:bookmarkEnd w:id="488"/>
      <w:r>
        <w:rPr>
          <w:lang w:eastAsia="ru-RU"/>
        </w:rPr>
        <w:t xml:space="preserve">8.2 </w:t>
      </w:r>
      <w:r>
        <w:t xml:space="preserve">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bookmarkEnd w:id="489"/>
      <w:r/>
      <w:bookmarkEnd w:id="490"/>
      <w:r/>
      <w:r/>
    </w:p>
    <w:p>
      <w:pPr>
        <w:pStyle w:val="1247"/>
        <w:ind w:left="118" w:right="113" w:firstLine="707"/>
        <w:jc w:val="both"/>
        <w:spacing w:before="115"/>
      </w:pPr>
      <w:r>
        <w:t xml:space="preserve">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населенных пунктов </w:t>
      </w:r>
      <w:r>
        <w:t xml:space="preserve">Юргамышского</w:t>
      </w:r>
      <w:r>
        <w:t xml:space="preserve"> муниципального округа отсутствуют.</w:t>
      </w:r>
      <w:r/>
    </w:p>
    <w:p>
      <w:pPr>
        <w:pStyle w:val="1247"/>
        <w:ind w:left="118" w:right="113" w:firstLine="707"/>
        <w:jc w:val="both"/>
        <w:spacing w:before="115"/>
        <w:rPr>
          <w:sz w:val="16"/>
        </w:rPr>
      </w:pPr>
      <w:r>
        <w:rPr>
          <w:sz w:val="16"/>
        </w:rPr>
      </w:r>
      <w:r>
        <w:rPr>
          <w:sz w:val="16"/>
        </w:rPr>
      </w:r>
      <w:r>
        <w:rPr>
          <w:sz w:val="16"/>
        </w:rPr>
      </w:r>
    </w:p>
    <w:p>
      <w:pPr>
        <w:pStyle w:val="1248"/>
        <w:ind w:right="107" w:firstLine="733"/>
      </w:pPr>
      <w:r/>
      <w:bookmarkStart w:id="491" w:name="_bookmark260"/>
      <w:r/>
      <w:bookmarkStart w:id="492" w:name="_Toc130232023"/>
      <w:r/>
      <w:bookmarkStart w:id="493" w:name="_Toc165540803"/>
      <w:r/>
      <w:bookmarkEnd w:id="491"/>
      <w:r>
        <w:rPr>
          <w:lang w:eastAsia="ru-RU"/>
        </w:rPr>
        <w:t xml:space="preserve">8.3 </w:t>
      </w:r>
      <w:r>
        <w:t xml:space="preserve">Предложения</w:t>
      </w:r>
      <w:r>
        <w:rPr>
          <w:spacing w:val="-15"/>
        </w:rPr>
        <w:t xml:space="preserve"> </w:t>
      </w:r>
      <w:r>
        <w:t xml:space="preserve">по</w:t>
      </w:r>
      <w:r>
        <w:rPr>
          <w:spacing w:val="-15"/>
        </w:rPr>
        <w:t xml:space="preserve"> </w:t>
      </w:r>
      <w:r>
        <w:t xml:space="preserve">строительству</w:t>
      </w:r>
      <w:r>
        <w:rPr>
          <w:spacing w:val="-15"/>
        </w:rPr>
        <w:t xml:space="preserve"> </w:t>
      </w:r>
      <w:r>
        <w:t xml:space="preserve">тепловых</w:t>
      </w:r>
      <w:r>
        <w:rPr>
          <w:spacing w:val="-15"/>
        </w:rPr>
        <w:t xml:space="preserve"> </w:t>
      </w:r>
      <w:r>
        <w:t xml:space="preserve">сетей,</w:t>
      </w:r>
      <w:r>
        <w:rPr>
          <w:spacing w:val="-15"/>
        </w:rPr>
        <w:t xml:space="preserve"> </w:t>
      </w:r>
      <w:r>
        <w:t xml:space="preserve">обеспечивающих</w:t>
      </w:r>
      <w:r>
        <w:rPr>
          <w:spacing w:val="-15"/>
        </w:rPr>
        <w:t xml:space="preserve"> </w:t>
      </w:r>
      <w:r>
        <w:t xml:space="preserve">условия,</w:t>
      </w:r>
      <w:r>
        <w:rPr>
          <w:spacing w:val="-15"/>
        </w:rPr>
        <w:t xml:space="preserve"> </w:t>
      </w:r>
      <w:r>
        <w:t xml:space="preserve">при наличии</w:t>
      </w:r>
      <w:r>
        <w:rPr>
          <w:spacing w:val="-3"/>
        </w:rPr>
        <w:t xml:space="preserve"> </w:t>
      </w:r>
      <w:r>
        <w:t xml:space="preserve">которых</w:t>
      </w:r>
      <w:r>
        <w:rPr>
          <w:spacing w:val="-4"/>
        </w:rPr>
        <w:t xml:space="preserve"> </w:t>
      </w:r>
      <w:r>
        <w:t xml:space="preserve">существует</w:t>
      </w:r>
      <w:r>
        <w:rPr>
          <w:spacing w:val="-3"/>
        </w:rPr>
        <w:t xml:space="preserve"> </w:t>
      </w:r>
      <w:r>
        <w:t xml:space="preserve">возможность</w:t>
      </w:r>
      <w:r>
        <w:rPr>
          <w:spacing w:val="-2"/>
        </w:rPr>
        <w:t xml:space="preserve"> </w:t>
      </w:r>
      <w:r>
        <w:t xml:space="preserve">поставок</w:t>
      </w:r>
      <w:r>
        <w:rPr>
          <w:spacing w:val="-6"/>
        </w:rPr>
        <w:t xml:space="preserve"> </w:t>
      </w:r>
      <w:r>
        <w:t xml:space="preserve">тепловой</w:t>
      </w:r>
      <w:r>
        <w:rPr>
          <w:spacing w:val="-5"/>
        </w:rPr>
        <w:t xml:space="preserve"> </w:t>
      </w:r>
      <w:r>
        <w:t xml:space="preserve">энергии</w:t>
      </w:r>
      <w:r>
        <w:rPr>
          <w:spacing w:val="-4"/>
        </w:rPr>
        <w:t xml:space="preserve"> </w:t>
      </w:r>
      <w:r>
        <w:t xml:space="preserve">потребителям</w:t>
      </w:r>
      <w:r>
        <w:rPr>
          <w:spacing w:val="-5"/>
        </w:rPr>
        <w:t xml:space="preserve"> </w:t>
      </w:r>
      <w:r>
        <w:t xml:space="preserve">от различных источников тепловой энергии при сохранении надёжности теплоснабжения</w:t>
      </w:r>
      <w:bookmarkEnd w:id="492"/>
      <w:r/>
      <w:bookmarkEnd w:id="493"/>
      <w:r/>
      <w:r/>
    </w:p>
    <w:p>
      <w:pPr>
        <w:pStyle w:val="1247"/>
        <w:ind w:left="118" w:right="108" w:firstLine="707"/>
        <w:jc w:val="both"/>
        <w:spacing w:before="116"/>
      </w:pPr>
      <w:r>
        <w:t xml:space="preserve">Строительство тепловых сетей, обеспечивающих возможность поставок тепловой энергии потребителям от различных источников не планируется.</w:t>
      </w:r>
      <w:r/>
    </w:p>
    <w:p>
      <w:pPr>
        <w:pStyle w:val="1247"/>
        <w:spacing w:before="6"/>
        <w:rPr>
          <w:sz w:val="16"/>
        </w:rPr>
      </w:pPr>
      <w:r>
        <w:rPr>
          <w:sz w:val="16"/>
        </w:rPr>
      </w:r>
      <w:r>
        <w:rPr>
          <w:sz w:val="16"/>
        </w:rPr>
      </w:r>
      <w:r>
        <w:rPr>
          <w:sz w:val="16"/>
        </w:rPr>
      </w:r>
    </w:p>
    <w:p>
      <w:pPr>
        <w:pStyle w:val="1248"/>
        <w:ind w:right="109" w:firstLine="733"/>
      </w:pPr>
      <w:r/>
      <w:bookmarkStart w:id="494" w:name="_bookmark261"/>
      <w:r/>
      <w:bookmarkStart w:id="495" w:name="_Toc130232024"/>
      <w:r/>
      <w:bookmarkStart w:id="496" w:name="_Toc165540804"/>
      <w:r/>
      <w:bookmarkEnd w:id="494"/>
      <w:r>
        <w:rPr>
          <w:lang w:eastAsia="ru-RU"/>
        </w:rPr>
        <w:t xml:space="preserve">8.4 </w:t>
      </w:r>
      <w:r>
        <w:t xml:space="preserve">Предложения по строительству, реконструкции и (или) модернизации тепловых сетей для повышения эффективности функционирования системы теплоснабжения,</w:t>
      </w:r>
      <w:r>
        <w:rPr>
          <w:spacing w:val="-2"/>
        </w:rPr>
        <w:t xml:space="preserve"> </w:t>
      </w:r>
      <w:r>
        <w:t xml:space="preserve">в</w:t>
      </w:r>
      <w:r>
        <w:rPr>
          <w:spacing w:val="-1"/>
        </w:rPr>
        <w:t xml:space="preserve"> </w:t>
      </w:r>
      <w:r>
        <w:t xml:space="preserve">том</w:t>
      </w:r>
      <w:r>
        <w:rPr>
          <w:spacing w:val="-2"/>
        </w:rPr>
        <w:t xml:space="preserve"> </w:t>
      </w:r>
      <w:r>
        <w:t xml:space="preserve">числе</w:t>
      </w:r>
      <w:r>
        <w:rPr>
          <w:spacing w:val="-3"/>
        </w:rPr>
        <w:t xml:space="preserve"> </w:t>
      </w:r>
      <w:r>
        <w:t xml:space="preserve">за</w:t>
      </w:r>
      <w:r>
        <w:rPr>
          <w:spacing w:val="-2"/>
        </w:rPr>
        <w:t xml:space="preserve"> </w:t>
      </w:r>
      <w:r>
        <w:t xml:space="preserve">счёт перевода</w:t>
      </w:r>
      <w:r>
        <w:rPr>
          <w:spacing w:val="-1"/>
        </w:rPr>
        <w:t xml:space="preserve"> </w:t>
      </w:r>
      <w:r>
        <w:t xml:space="preserve">котельных</w:t>
      </w:r>
      <w:r>
        <w:rPr>
          <w:spacing w:val="-1"/>
        </w:rPr>
        <w:t xml:space="preserve"> </w:t>
      </w:r>
      <w:r>
        <w:t xml:space="preserve">в</w:t>
      </w:r>
      <w:r>
        <w:rPr>
          <w:spacing w:val="-4"/>
        </w:rPr>
        <w:t xml:space="preserve"> </w:t>
      </w:r>
      <w:r>
        <w:t xml:space="preserve">пиковый режим</w:t>
      </w:r>
      <w:r>
        <w:rPr>
          <w:spacing w:val="-2"/>
        </w:rPr>
        <w:t xml:space="preserve"> </w:t>
      </w:r>
      <w:r>
        <w:t xml:space="preserve">работы</w:t>
      </w:r>
      <w:r>
        <w:rPr>
          <w:spacing w:val="-1"/>
        </w:rPr>
        <w:t xml:space="preserve"> </w:t>
      </w:r>
      <w:r>
        <w:t xml:space="preserve">или ликвидации котельных</w:t>
      </w:r>
      <w:bookmarkEnd w:id="495"/>
      <w:r/>
      <w:bookmarkEnd w:id="496"/>
      <w:r/>
      <w:r/>
    </w:p>
    <w:p>
      <w:pPr>
        <w:pStyle w:val="1247"/>
        <w:ind w:left="118" w:right="115" w:firstLine="707"/>
        <w:jc w:val="both"/>
        <w:spacing w:before="116"/>
      </w:pPr>
      <w:r>
        <w:t xml:space="preserve">Новое строительство или реконструкция тепловых сетей для повышения эффективности функционирования системы теплоснабжения, в том числе за счёт перевода котельных в «пиковый» режим, не планируется.</w:t>
      </w:r>
      <w:r/>
    </w:p>
    <w:p>
      <w:pPr>
        <w:pStyle w:val="1247"/>
        <w:spacing w:before="7"/>
        <w:rPr>
          <w:sz w:val="16"/>
        </w:rPr>
      </w:pPr>
      <w:r>
        <w:rPr>
          <w:sz w:val="16"/>
        </w:rPr>
      </w:r>
      <w:r>
        <w:rPr>
          <w:sz w:val="16"/>
        </w:rPr>
      </w:r>
      <w:r>
        <w:rPr>
          <w:sz w:val="16"/>
        </w:rPr>
      </w:r>
    </w:p>
    <w:p>
      <w:pPr>
        <w:pStyle w:val="1248"/>
        <w:ind w:right="109" w:firstLine="733"/>
      </w:pPr>
      <w:r/>
      <w:bookmarkStart w:id="497" w:name="_bookmark262"/>
      <w:r/>
      <w:bookmarkStart w:id="498" w:name="_Toc130232025"/>
      <w:r/>
      <w:bookmarkStart w:id="499" w:name="_Toc165540805"/>
      <w:r/>
      <w:bookmarkEnd w:id="497"/>
      <w:r>
        <w:rPr>
          <w:lang w:eastAsia="ru-RU"/>
        </w:rPr>
        <w:t xml:space="preserve">8.5 </w:t>
      </w:r>
      <w:r>
        <w:t xml:space="preserve">Предложения</w:t>
      </w:r>
      <w:r>
        <w:rPr>
          <w:spacing w:val="-6"/>
        </w:rPr>
        <w:t xml:space="preserve"> </w:t>
      </w:r>
      <w:r>
        <w:t xml:space="preserve">по</w:t>
      </w:r>
      <w:r>
        <w:rPr>
          <w:spacing w:val="-6"/>
        </w:rPr>
        <w:t xml:space="preserve"> </w:t>
      </w:r>
      <w:r>
        <w:t xml:space="preserve">строительству</w:t>
      </w:r>
      <w:r>
        <w:rPr>
          <w:spacing w:val="-8"/>
        </w:rPr>
        <w:t xml:space="preserve"> </w:t>
      </w:r>
      <w:r>
        <w:t xml:space="preserve">тепловых</w:t>
      </w:r>
      <w:r>
        <w:rPr>
          <w:spacing w:val="-7"/>
        </w:rPr>
        <w:t xml:space="preserve"> </w:t>
      </w:r>
      <w:r>
        <w:t xml:space="preserve">сетей</w:t>
      </w:r>
      <w:r>
        <w:rPr>
          <w:spacing w:val="-1"/>
        </w:rPr>
        <w:t xml:space="preserve"> </w:t>
      </w:r>
      <w:r>
        <w:t xml:space="preserve">для</w:t>
      </w:r>
      <w:r>
        <w:rPr>
          <w:spacing w:val="-7"/>
        </w:rPr>
        <w:t xml:space="preserve"> </w:t>
      </w:r>
      <w:r>
        <w:t xml:space="preserve">обеспечения</w:t>
      </w:r>
      <w:r>
        <w:rPr>
          <w:spacing w:val="-6"/>
        </w:rPr>
        <w:t xml:space="preserve"> </w:t>
      </w:r>
      <w:r>
        <w:t xml:space="preserve">нормативной надёжности теплоснабжения</w:t>
      </w:r>
      <w:bookmarkEnd w:id="498"/>
      <w:r/>
      <w:bookmarkEnd w:id="499"/>
      <w:r/>
      <w:r/>
    </w:p>
    <w:p>
      <w:pPr>
        <w:pStyle w:val="1247"/>
        <w:ind w:left="118" w:right="107" w:firstLine="707"/>
        <w:jc w:val="both"/>
        <w:spacing w:before="115"/>
      </w:pPr>
      <w:r>
        <w:t xml:space="preserve">Строительст</w:t>
      </w:r>
      <w:r>
        <w:t xml:space="preserve">во тепловых сетей для дублирования нерезервированных участков теплотрасс не предполагается. Длины участков не превышают максимально допустимых нерезервируемых. Обеспечение нормативной надёжности теплоснабжения достигается реконструкцией существующих сетей.</w:t>
      </w:r>
      <w:r/>
    </w:p>
    <w:p>
      <w:pPr>
        <w:pStyle w:val="1247"/>
        <w:spacing w:before="8"/>
        <w:rPr>
          <w:sz w:val="16"/>
        </w:rPr>
      </w:pPr>
      <w:r>
        <w:rPr>
          <w:sz w:val="16"/>
        </w:rPr>
      </w:r>
      <w:r>
        <w:rPr>
          <w:sz w:val="16"/>
        </w:rPr>
      </w:r>
      <w:r>
        <w:rPr>
          <w:sz w:val="16"/>
        </w:rPr>
      </w:r>
    </w:p>
    <w:p>
      <w:pPr>
        <w:pStyle w:val="1248"/>
        <w:ind w:right="105" w:firstLine="733"/>
      </w:pPr>
      <w:r/>
      <w:bookmarkStart w:id="500" w:name="_bookmark263"/>
      <w:r/>
      <w:bookmarkStart w:id="501" w:name="_Toc130232026"/>
      <w:r/>
      <w:bookmarkStart w:id="502" w:name="_Toc165540806"/>
      <w:r/>
      <w:bookmarkEnd w:id="500"/>
      <w:r>
        <w:rPr>
          <w:lang w:eastAsia="ru-RU"/>
        </w:rPr>
        <w:t xml:space="preserve">8.6 </w:t>
      </w:r>
      <w:r>
        <w:t xml:space="preserve">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bookmarkEnd w:id="501"/>
      <w:r/>
      <w:bookmarkEnd w:id="502"/>
      <w:r/>
      <w:r/>
    </w:p>
    <w:p>
      <w:pPr>
        <w:pStyle w:val="1247"/>
        <w:ind w:left="118" w:right="113" w:firstLine="707"/>
        <w:jc w:val="both"/>
        <w:spacing w:before="115"/>
      </w:pPr>
      <w:r>
        <w:t xml:space="preserve">Реконструкция тепловых сетей с увеличением диаметра трубопроводов не требуется, перспективные приросты тепловой нагрузки на расчётный период предполагаются компенсировать от участков с достаточным диаметром.</w:t>
      </w:r>
      <w:r/>
    </w:p>
    <w:p>
      <w:pPr>
        <w:pStyle w:val="1247"/>
        <w:ind w:left="118" w:right="113" w:firstLine="707"/>
        <w:jc w:val="both"/>
        <w:spacing w:before="115"/>
      </w:pPr>
      <w:r/>
      <w:r/>
    </w:p>
    <w:p>
      <w:pPr>
        <w:rPr>
          <w:b/>
          <w:bCs/>
          <w:sz w:val="24"/>
          <w:szCs w:val="24"/>
          <w:lang w:eastAsia="ru-RU"/>
        </w:rPr>
      </w:pPr>
      <w:r/>
      <w:bookmarkStart w:id="503" w:name="_bookmark264"/>
      <w:r/>
      <w:bookmarkStart w:id="504" w:name="_Toc130232027"/>
      <w:r/>
      <w:bookmarkStart w:id="505" w:name="_Toc165540807"/>
      <w:r/>
      <w:bookmarkEnd w:id="503"/>
      <w:r>
        <w:rPr>
          <w:lang w:eastAsia="ru-RU"/>
        </w:rPr>
        <w:br w:type="page" w:clear="all"/>
      </w:r>
      <w:r>
        <w:rPr>
          <w:b/>
          <w:bCs/>
          <w:sz w:val="24"/>
          <w:szCs w:val="24"/>
          <w:lang w:eastAsia="ru-RU"/>
        </w:rPr>
      </w:r>
      <w:r>
        <w:rPr>
          <w:b/>
          <w:bCs/>
          <w:sz w:val="24"/>
          <w:szCs w:val="24"/>
          <w:lang w:eastAsia="ru-RU"/>
        </w:rPr>
      </w:r>
    </w:p>
    <w:p>
      <w:pPr>
        <w:pStyle w:val="1248"/>
        <w:ind w:right="111" w:firstLine="733"/>
        <w:spacing w:before="71"/>
      </w:pPr>
      <w:r>
        <w:rPr>
          <w:lang w:eastAsia="ru-RU"/>
        </w:rPr>
        <w:t xml:space="preserve">8.7 </w:t>
      </w:r>
      <w:r>
        <w:t xml:space="preserve">Предложения по реконструкции и (или) модернизации тепловых сетей, подлежащих замене в связи с исчерпанием эксплуатационного ресурса</w:t>
      </w:r>
      <w:bookmarkEnd w:id="504"/>
      <w:r/>
      <w:bookmarkEnd w:id="505"/>
      <w:r/>
      <w:r/>
    </w:p>
    <w:p>
      <w:pPr>
        <w:pStyle w:val="1247"/>
        <w:ind w:left="119" w:right="113" w:firstLine="709"/>
        <w:jc w:val="both"/>
        <w:spacing w:before="120"/>
      </w:pPr>
      <w:r>
        <w:t xml:space="preserve">В связи с завершением срока эксплуатации тепловых </w:t>
      </w:r>
      <w:r>
        <w:t xml:space="preserve">сетей с 1967-1968 гг., предусматривается ремонт тепловой изоляции трубопроводов и оборудования, разводящих трубопроводов отопления в зданиях, строениях, сооружениях п. Юргамыш, п. Новый Мир (всего 40 км) и ремонт трубопровода разводящих сетей в п. Юргамыш.</w:t>
      </w:r>
      <w:r/>
    </w:p>
    <w:p>
      <w:pPr>
        <w:pStyle w:val="1247"/>
        <w:ind w:left="119" w:right="113" w:firstLine="709"/>
        <w:jc w:val="both"/>
      </w:pPr>
      <w:r>
        <w:t xml:space="preserve">В перспективе, р</w:t>
      </w:r>
      <w:r>
        <w:t xml:space="preserve">екомендуется при реконструкции</w:t>
      </w:r>
      <w:r>
        <w:t xml:space="preserve"> и (или) замене</w:t>
      </w:r>
      <w:r>
        <w:t xml:space="preserve"> существующих теплопроводов применять предизолированные трубопроводы в пенополиуретановой (ППУ) из</w:t>
      </w:r>
      <w:r>
        <w:t xml:space="preserve">оляции. Для сокращения времени устранения аварий на тепловых сетях и снижения выбросов теплоносителя в атмосферу и др. последствий, неразрывно связанных с авариями на теплопроводах, рекомендуется применять систему оперативно-дистанционного контроля (ОДК). </w:t>
      </w:r>
      <w:r/>
    </w:p>
    <w:p>
      <w:pPr>
        <w:pStyle w:val="1247"/>
        <w:ind w:left="119" w:right="113" w:firstLine="709"/>
        <w:jc w:val="both"/>
      </w:pPr>
      <w:r>
        <w:t xml:space="preserve">Трубы ППУ-изоляции представляют собой трехслойную монолитную конструкцию, которая состоит из стальной трубы, теплоизолирующего слоя из пенополиуретана и защитной оболочки из полиэтилена. </w:t>
      </w:r>
      <w:r/>
    </w:p>
    <w:p>
      <w:pPr>
        <w:pStyle w:val="1247"/>
        <w:ind w:left="119" w:right="113" w:firstLine="709"/>
        <w:jc w:val="both"/>
      </w:pPr>
      <w:r>
        <w:t xml:space="preserve">Преимущества трубопроводов в ППУ-изоляции: </w:t>
      </w:r>
      <w:r/>
    </w:p>
    <w:p>
      <w:pPr>
        <w:pStyle w:val="1247"/>
        <w:ind w:left="119" w:right="113" w:firstLine="709"/>
        <w:jc w:val="both"/>
      </w:pPr>
      <w:r>
        <w:t xml:space="preserve">− низкое водопоглощение пенополиуретана; </w:t>
      </w:r>
      <w:r/>
    </w:p>
    <w:p>
      <w:pPr>
        <w:pStyle w:val="1247"/>
        <w:ind w:left="119" w:right="113" w:firstLine="709"/>
        <w:jc w:val="both"/>
      </w:pPr>
      <w:r>
        <w:t xml:space="preserve">− пенополиуретан экологически безопасен; </w:t>
      </w:r>
      <w:r/>
    </w:p>
    <w:p>
      <w:pPr>
        <w:pStyle w:val="1247"/>
        <w:ind w:left="119" w:right="113" w:firstLine="709"/>
        <w:jc w:val="both"/>
      </w:pPr>
      <w:r>
        <w:t xml:space="preserve">− долговечность пенополиуретана; </w:t>
      </w:r>
      <w:r/>
    </w:p>
    <w:p>
      <w:pPr>
        <w:pStyle w:val="1247"/>
        <w:ind w:left="119" w:right="113" w:firstLine="709"/>
        <w:jc w:val="both"/>
      </w:pPr>
      <w:r>
        <w:t xml:space="preserve">− низкая токсичность; </w:t>
      </w:r>
      <w:r/>
    </w:p>
    <w:p>
      <w:pPr>
        <w:pStyle w:val="1247"/>
        <w:ind w:left="119" w:right="113" w:firstLine="709"/>
        <w:jc w:val="both"/>
      </w:pPr>
      <w:r>
        <w:t xml:space="preserve">− пенополиуретан имеет низкий коэффициент теплопроводности. Данный показатель у ППУ равен 0,019 - 0,035 Вт/м∙К; </w:t>
      </w:r>
      <w:r/>
    </w:p>
    <w:p>
      <w:pPr>
        <w:pStyle w:val="1247"/>
        <w:ind w:left="119" w:right="113" w:firstLine="709"/>
        <w:jc w:val="both"/>
      </w:pPr>
      <w:r>
        <w:t xml:space="preserve">− высокая адгезионная прочность пенополиуретана; </w:t>
      </w:r>
      <w:r/>
    </w:p>
    <w:p>
      <w:pPr>
        <w:pStyle w:val="1247"/>
        <w:ind w:left="119" w:right="113" w:firstLine="709"/>
        <w:jc w:val="both"/>
      </w:pPr>
      <w:r>
        <w:t xml:space="preserve">− звукопоглощение пенополиуретана; </w:t>
      </w:r>
      <w:r/>
    </w:p>
    <w:p>
      <w:pPr>
        <w:pStyle w:val="1247"/>
        <w:ind w:left="119" w:right="113" w:firstLine="709"/>
        <w:jc w:val="both"/>
      </w:pPr>
      <w:r>
        <w:t xml:space="preserve">− пенополиуретан, нанесенные на металлическую поверхность, защищают ее от корро-зии; </w:t>
      </w:r>
      <w:r/>
    </w:p>
    <w:p>
      <w:pPr>
        <w:pStyle w:val="1247"/>
        <w:ind w:left="119" w:right="113" w:firstLine="709"/>
        <w:jc w:val="both"/>
      </w:pPr>
      <w:r>
        <w:t xml:space="preserve">− ППУ сохраняет тепловую энергию в широком температурном диапазоне от -100°до +140°С. </w:t>
      </w:r>
      <w:r/>
    </w:p>
    <w:p>
      <w:pPr>
        <w:pStyle w:val="1247"/>
        <w:ind w:left="119" w:right="113" w:firstLine="709"/>
        <w:jc w:val="both"/>
      </w:pPr>
      <w:r>
        <w:t xml:space="preserve">Важной особенностью трубопроводов с ППУ изоляцией является встроенная электронная система оперативно дистанционного контроля (ОДК) (два сигнальных медных провода, залитых в пенополиуретановую изоляцию трубы, и электронный детек</w:t>
      </w:r>
      <w:r>
        <w:t xml:space="preserve">тор повреждений), которая позво</w:t>
      </w:r>
      <w:r>
        <w:t xml:space="preserve">ляет постоянно следить за состоянием (увлажнением) изоляции теплотрассы длинной до 2500 м. При этом место повреждения изоляции трубопровода устанавливается с точностью до одного метра с помощью импульсного рефлектометра.</w:t>
      </w:r>
      <w:r/>
    </w:p>
    <w:p>
      <w:pPr>
        <w:pStyle w:val="1248"/>
        <w:ind w:right="106" w:firstLine="733"/>
        <w:rPr>
          <w:lang w:eastAsia="ru-RU"/>
        </w:rPr>
      </w:pPr>
      <w:r/>
      <w:bookmarkStart w:id="506" w:name="_bookmark265"/>
      <w:r/>
      <w:bookmarkStart w:id="507" w:name="_Toc130232028"/>
      <w:r/>
      <w:bookmarkEnd w:id="506"/>
      <w:r>
        <w:rPr>
          <w:lang w:eastAsia="ru-RU"/>
        </w:rPr>
      </w:r>
      <w:r>
        <w:rPr>
          <w:lang w:eastAsia="ru-RU"/>
        </w:rPr>
      </w:r>
    </w:p>
    <w:p>
      <w:pPr>
        <w:pStyle w:val="1248"/>
        <w:ind w:right="106" w:firstLine="733"/>
      </w:pPr>
      <w:r/>
      <w:bookmarkStart w:id="508" w:name="_Toc165540808"/>
      <w:r>
        <w:rPr>
          <w:lang w:eastAsia="ru-RU"/>
        </w:rPr>
        <w:t xml:space="preserve">8.8 </w:t>
      </w:r>
      <w:r>
        <w:t xml:space="preserve">Предложения по строительству, реконструкции и (или) модернизации насосных станций</w:t>
      </w:r>
      <w:bookmarkEnd w:id="507"/>
      <w:r/>
      <w:bookmarkEnd w:id="508"/>
      <w:r/>
      <w:r/>
    </w:p>
    <w:p>
      <w:pPr>
        <w:pStyle w:val="1247"/>
        <w:ind w:left="118" w:right="111" w:firstLine="707"/>
        <w:jc w:val="both"/>
        <w:spacing w:before="116"/>
      </w:pPr>
      <w:r>
        <w:t xml:space="preserve">Насосные станции, участвующие непосредственно в транспортировке теплоносителя отсутствуют. Всё насосное оборудование находится в зданиях и модулях соответствующих котельных.</w:t>
      </w:r>
      <w:r/>
    </w:p>
    <w:p>
      <w:pPr>
        <w:pStyle w:val="1247"/>
        <w:spacing w:before="7"/>
        <w:rPr>
          <w:sz w:val="16"/>
        </w:rPr>
      </w:pPr>
      <w:r>
        <w:rPr>
          <w:sz w:val="16"/>
        </w:rPr>
      </w:r>
      <w:r>
        <w:rPr>
          <w:sz w:val="16"/>
        </w:rPr>
      </w:r>
      <w:r>
        <w:rPr>
          <w:sz w:val="16"/>
        </w:rPr>
      </w:r>
    </w:p>
    <w:p>
      <w:pPr>
        <w:pStyle w:val="1248"/>
        <w:ind w:right="109" w:firstLine="733"/>
      </w:pPr>
      <w:r/>
      <w:bookmarkStart w:id="509" w:name="_bookmark266"/>
      <w:r/>
      <w:bookmarkStart w:id="510" w:name="_Toc130232029"/>
      <w:r/>
      <w:bookmarkStart w:id="511" w:name="_Toc165540809"/>
      <w:r/>
      <w:bookmarkEnd w:id="509"/>
      <w:r>
        <w:rPr>
          <w:lang w:eastAsia="ru-RU"/>
        </w:rPr>
        <w:t xml:space="preserve">8.9 </w:t>
      </w:r>
      <w:r>
        <w:rPr>
          <w:spacing w:val="-2"/>
        </w:rPr>
        <w:t xml:space="preserve">Описание</w:t>
      </w:r>
      <w:r>
        <w:rPr>
          <w:spacing w:val="-4"/>
        </w:rPr>
        <w:t xml:space="preserve"> </w:t>
      </w:r>
      <w:r>
        <w:rPr>
          <w:spacing w:val="-2"/>
        </w:rPr>
        <w:t xml:space="preserve">изменений</w:t>
      </w:r>
      <w:r>
        <w:rPr>
          <w:spacing w:val="-5"/>
        </w:rPr>
        <w:t xml:space="preserve"> </w:t>
      </w:r>
      <w:r>
        <w:rPr>
          <w:spacing w:val="-2"/>
        </w:rPr>
        <w:t xml:space="preserve">в</w:t>
      </w:r>
      <w:r>
        <w:rPr>
          <w:spacing w:val="-3"/>
        </w:rPr>
        <w:t xml:space="preserve"> </w:t>
      </w:r>
      <w:r>
        <w:rPr>
          <w:spacing w:val="-2"/>
        </w:rPr>
        <w:t xml:space="preserve">предложениях</w:t>
      </w:r>
      <w:r>
        <w:rPr>
          <w:spacing w:val="-3"/>
        </w:rPr>
        <w:t xml:space="preserve"> </w:t>
      </w:r>
      <w:r>
        <w:rPr>
          <w:spacing w:val="-2"/>
        </w:rPr>
        <w:t xml:space="preserve">по</w:t>
      </w:r>
      <w:r>
        <w:rPr>
          <w:spacing w:val="-3"/>
        </w:rPr>
        <w:t xml:space="preserve"> </w:t>
      </w:r>
      <w:r>
        <w:rPr>
          <w:spacing w:val="-2"/>
        </w:rPr>
        <w:t xml:space="preserve">строительству,</w:t>
      </w:r>
      <w:r>
        <w:rPr>
          <w:spacing w:val="-5"/>
        </w:rPr>
        <w:t xml:space="preserve"> </w:t>
      </w:r>
      <w:r>
        <w:rPr>
          <w:spacing w:val="-2"/>
        </w:rPr>
        <w:t xml:space="preserve">реконструкции и (или) </w:t>
      </w:r>
      <w:r>
        <w:t xml:space="preserve">модернизации тепловых сетей за период, предшествующий актуализации схемы теплоснабжения, в том числе с учётом введённых в эксплуатацию новых и реконструированных тепловых сетей и сооружений на них</w:t>
      </w:r>
      <w:bookmarkEnd w:id="510"/>
      <w:r/>
      <w:bookmarkEnd w:id="511"/>
      <w:r/>
      <w:r/>
    </w:p>
    <w:p>
      <w:pPr>
        <w:pStyle w:val="1247"/>
        <w:ind w:left="119" w:right="108" w:firstLine="709"/>
        <w:jc w:val="both"/>
        <w:spacing w:before="120"/>
      </w:pPr>
      <w:r>
        <w:t xml:space="preserve">Ранее схема теплоснабжения </w:t>
      </w:r>
      <w:r>
        <w:t xml:space="preserve">Юргамышского</w:t>
      </w:r>
      <w:r>
        <w:t xml:space="preserve"> муниципального округа не была разработана.</w:t>
      </w:r>
      <w:r/>
    </w:p>
    <w:p>
      <w:pPr>
        <w:jc w:val="both"/>
        <w:sectPr>
          <w:footnotePr/>
          <w:endnotePr/>
          <w:type w:val="nextPage"/>
          <w:pgSz w:w="11910" w:h="16840" w:orient="portrait"/>
          <w:pgMar w:top="1040" w:right="740" w:bottom="940" w:left="1300" w:header="0" w:footer="758" w:gutter="0"/>
          <w:cols w:num="1" w:sep="0" w:space="720" w:equalWidth="1"/>
          <w:docGrid w:linePitch="360"/>
        </w:sectPr>
      </w:pPr>
      <w:r/>
      <w:r/>
    </w:p>
    <w:p>
      <w:pPr>
        <w:pStyle w:val="1248"/>
        <w:ind w:right="113" w:firstLine="707"/>
        <w:spacing w:before="71"/>
      </w:pPr>
      <w:r/>
      <w:bookmarkStart w:id="512" w:name="_bookmark267"/>
      <w:r/>
      <w:bookmarkStart w:id="513" w:name="_Toc130232030"/>
      <w:r/>
      <w:bookmarkStart w:id="514" w:name="_Toc165540810"/>
      <w:r/>
      <w:bookmarkEnd w:id="512"/>
      <w:r>
        <w:t xml:space="preserve">Глава</w:t>
      </w:r>
      <w:r>
        <w:rPr>
          <w:spacing w:val="-4"/>
        </w:rPr>
        <w:t xml:space="preserve"> </w:t>
      </w:r>
      <w:r>
        <w:t xml:space="preserve">9 Предложения по переводу открытых систем теплоснабжения (горячего водоснабжения) в закрытые системы горячего водоснабжения</w:t>
      </w:r>
      <w:bookmarkEnd w:id="513"/>
      <w:r/>
      <w:bookmarkEnd w:id="514"/>
      <w:r/>
      <w:r/>
    </w:p>
    <w:p>
      <w:pPr>
        <w:pStyle w:val="1248"/>
        <w:ind w:right="105" w:firstLine="733"/>
        <w:spacing w:before="120"/>
      </w:pPr>
      <w:r/>
      <w:bookmarkStart w:id="515" w:name="_bookmark268"/>
      <w:r/>
      <w:bookmarkStart w:id="516" w:name="_Toc130232031"/>
      <w:r/>
      <w:bookmarkStart w:id="517" w:name="_Toc165540811"/>
      <w:r/>
      <w:bookmarkEnd w:id="515"/>
      <w:r>
        <w:rPr>
          <w:lang w:eastAsia="ru-RU"/>
        </w:rPr>
        <w:t xml:space="preserve">9.1 </w:t>
      </w:r>
      <w:r>
        <w:t xml:space="preserve">Технико-экономическое обоснование предложений по т</w:t>
      </w:r>
      <w:r>
        <w:t xml:space="preserve">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подключённых к открытой системе теплоснабжения (горячего водоснабжения), на закрытую систему горячего </w:t>
      </w:r>
      <w:r>
        <w:rPr>
          <w:spacing w:val="-2"/>
        </w:rPr>
        <w:t xml:space="preserve">водоснабжения</w:t>
      </w:r>
      <w:bookmarkEnd w:id="516"/>
      <w:r/>
      <w:bookmarkEnd w:id="517"/>
      <w:r/>
      <w:r/>
    </w:p>
    <w:p>
      <w:pPr>
        <w:pStyle w:val="1247"/>
        <w:ind w:left="118" w:right="109" w:firstLine="707"/>
        <w:jc w:val="both"/>
      </w:pPr>
      <w:r>
        <w:t xml:space="preserve">В </w:t>
      </w:r>
      <w:r>
        <w:t xml:space="preserve">Юргамышском</w:t>
      </w:r>
      <w:r>
        <w:t xml:space="preserve"> муниципальном округе</w:t>
      </w:r>
      <w:r>
        <w:t xml:space="preserve"> открытых систем теплоснабжения (горячего водоснабжения) нет.</w:t>
      </w:r>
      <w:r/>
    </w:p>
    <w:p>
      <w:pPr>
        <w:pStyle w:val="1247"/>
        <w:spacing w:before="3"/>
        <w:rPr>
          <w:sz w:val="16"/>
        </w:rPr>
      </w:pPr>
      <w:r>
        <w:rPr>
          <w:sz w:val="16"/>
        </w:rPr>
      </w:r>
      <w:r>
        <w:rPr>
          <w:sz w:val="16"/>
        </w:rPr>
      </w:r>
      <w:r>
        <w:rPr>
          <w:sz w:val="16"/>
        </w:rPr>
      </w:r>
    </w:p>
    <w:p>
      <w:pPr>
        <w:pStyle w:val="1248"/>
        <w:ind w:firstLine="733"/>
        <w:jc w:val="left"/>
      </w:pPr>
      <w:r/>
      <w:bookmarkStart w:id="518" w:name="_bookmark269"/>
      <w:r/>
      <w:bookmarkStart w:id="519" w:name="_Toc130232032"/>
      <w:r/>
      <w:bookmarkStart w:id="520" w:name="_Toc165540812"/>
      <w:r/>
      <w:bookmarkEnd w:id="518"/>
      <w:r>
        <w:rPr>
          <w:lang w:eastAsia="ru-RU"/>
        </w:rPr>
        <w:t xml:space="preserve">9.2 </w:t>
      </w:r>
      <w:r>
        <w:t xml:space="preserve">Выбор</w:t>
      </w:r>
      <w:r>
        <w:rPr>
          <w:spacing w:val="40"/>
        </w:rPr>
        <w:t xml:space="preserve"> </w:t>
      </w:r>
      <w:r>
        <w:t xml:space="preserve">и</w:t>
      </w:r>
      <w:r>
        <w:rPr>
          <w:spacing w:val="40"/>
        </w:rPr>
        <w:t xml:space="preserve"> </w:t>
      </w:r>
      <w:r>
        <w:t xml:space="preserve">обоснование</w:t>
      </w:r>
      <w:r>
        <w:rPr>
          <w:spacing w:val="40"/>
        </w:rPr>
        <w:t xml:space="preserve"> </w:t>
      </w:r>
      <w:r>
        <w:t xml:space="preserve">метода</w:t>
      </w:r>
      <w:r>
        <w:rPr>
          <w:spacing w:val="40"/>
        </w:rPr>
        <w:t xml:space="preserve"> </w:t>
      </w:r>
      <w:r>
        <w:t xml:space="preserve">регулирования</w:t>
      </w:r>
      <w:r>
        <w:rPr>
          <w:spacing w:val="40"/>
        </w:rPr>
        <w:t xml:space="preserve"> </w:t>
      </w:r>
      <w:r>
        <w:t xml:space="preserve">отпуска</w:t>
      </w:r>
      <w:r>
        <w:rPr>
          <w:spacing w:val="40"/>
        </w:rPr>
        <w:t xml:space="preserve"> </w:t>
      </w:r>
      <w:r>
        <w:t xml:space="preserve">тепловой</w:t>
      </w:r>
      <w:r>
        <w:rPr>
          <w:spacing w:val="40"/>
        </w:rPr>
        <w:t xml:space="preserve"> </w:t>
      </w:r>
      <w:r>
        <w:t xml:space="preserve">энергии</w:t>
      </w:r>
      <w:r>
        <w:rPr>
          <w:spacing w:val="40"/>
        </w:rPr>
        <w:t xml:space="preserve"> </w:t>
      </w:r>
      <w:r>
        <w:t xml:space="preserve">от источников тепловой энергии</w:t>
      </w:r>
      <w:bookmarkEnd w:id="519"/>
      <w:r/>
      <w:bookmarkEnd w:id="520"/>
      <w:r/>
      <w:r/>
    </w:p>
    <w:p>
      <w:pPr>
        <w:pStyle w:val="1247"/>
        <w:ind w:left="826"/>
        <w:spacing w:line="272" w:lineRule="exact"/>
      </w:pPr>
      <w:r>
        <w:t xml:space="preserve">На</w:t>
      </w:r>
      <w:r>
        <w:rPr>
          <w:spacing w:val="-4"/>
        </w:rPr>
        <w:t xml:space="preserve"> </w:t>
      </w:r>
      <w:r>
        <w:t xml:space="preserve">практике,</w:t>
      </w:r>
      <w:r>
        <w:rPr>
          <w:spacing w:val="-2"/>
        </w:rPr>
        <w:t xml:space="preserve"> </w:t>
      </w:r>
      <w:r>
        <w:t xml:space="preserve">отпуск</w:t>
      </w:r>
      <w:r>
        <w:rPr>
          <w:spacing w:val="-1"/>
        </w:rPr>
        <w:t xml:space="preserve"> </w:t>
      </w:r>
      <w:r>
        <w:t xml:space="preserve">теплоты</w:t>
      </w:r>
      <w:r>
        <w:rPr>
          <w:spacing w:val="-2"/>
        </w:rPr>
        <w:t xml:space="preserve"> </w:t>
      </w:r>
      <w:r>
        <w:t xml:space="preserve">на</w:t>
      </w:r>
      <w:r>
        <w:rPr>
          <w:spacing w:val="-3"/>
        </w:rPr>
        <w:t xml:space="preserve"> </w:t>
      </w:r>
      <w:r>
        <w:t xml:space="preserve">отопление</w:t>
      </w:r>
      <w:r>
        <w:rPr>
          <w:spacing w:val="-2"/>
        </w:rPr>
        <w:t xml:space="preserve"> </w:t>
      </w:r>
      <w:r>
        <w:t xml:space="preserve">регулируется</w:t>
      </w:r>
      <w:r>
        <w:rPr>
          <w:spacing w:val="-2"/>
        </w:rPr>
        <w:t xml:space="preserve"> </w:t>
      </w:r>
      <w:r>
        <w:t xml:space="preserve">тремя</w:t>
      </w:r>
      <w:r>
        <w:rPr>
          <w:spacing w:val="-2"/>
        </w:rPr>
        <w:t xml:space="preserve"> </w:t>
      </w:r>
      <w:r>
        <w:t xml:space="preserve">основными</w:t>
      </w:r>
      <w:r>
        <w:rPr>
          <w:spacing w:val="-1"/>
        </w:rPr>
        <w:t xml:space="preserve"> </w:t>
      </w:r>
      <w:r>
        <w:rPr>
          <w:spacing w:val="-2"/>
        </w:rPr>
        <w:t xml:space="preserve">методами:</w:t>
      </w:r>
      <w:r/>
    </w:p>
    <w:p>
      <w:pPr>
        <w:pStyle w:val="1250"/>
        <w:numPr>
          <w:ilvl w:val="0"/>
          <w:numId w:val="7"/>
        </w:numPr>
        <w:ind w:right="116" w:firstLine="707"/>
        <w:tabs>
          <w:tab w:val="left" w:pos="1062" w:leader="none"/>
        </w:tabs>
        <w:rPr>
          <w:sz w:val="24"/>
        </w:rPr>
      </w:pPr>
      <w:r>
        <w:rPr>
          <w:sz w:val="24"/>
        </w:rPr>
        <w:t xml:space="preserve">При</w:t>
      </w:r>
      <w:r>
        <w:rPr>
          <w:spacing w:val="-10"/>
          <w:sz w:val="24"/>
        </w:rPr>
        <w:t xml:space="preserve"> </w:t>
      </w:r>
      <w:r>
        <w:rPr>
          <w:sz w:val="24"/>
        </w:rPr>
        <w:t xml:space="preserve">качественном</w:t>
      </w:r>
      <w:r>
        <w:rPr>
          <w:spacing w:val="-11"/>
          <w:sz w:val="24"/>
        </w:rPr>
        <w:t xml:space="preserve"> </w:t>
      </w:r>
      <w:r>
        <w:rPr>
          <w:sz w:val="24"/>
        </w:rPr>
        <w:t xml:space="preserve">методе</w:t>
      </w:r>
      <w:r>
        <w:rPr>
          <w:spacing w:val="-11"/>
          <w:sz w:val="24"/>
        </w:rPr>
        <w:t xml:space="preserve"> </w:t>
      </w:r>
      <w:r>
        <w:rPr>
          <w:sz w:val="24"/>
        </w:rPr>
        <w:t xml:space="preserve">изменяют</w:t>
      </w:r>
      <w:r>
        <w:rPr>
          <w:spacing w:val="-10"/>
          <w:sz w:val="24"/>
        </w:rPr>
        <w:t xml:space="preserve"> </w:t>
      </w:r>
      <w:r>
        <w:rPr>
          <w:sz w:val="24"/>
        </w:rPr>
        <w:t xml:space="preserve">температуру</w:t>
      </w:r>
      <w:r>
        <w:rPr>
          <w:spacing w:val="-15"/>
          <w:sz w:val="24"/>
        </w:rPr>
        <w:t xml:space="preserve"> </w:t>
      </w:r>
      <w:r>
        <w:rPr>
          <w:sz w:val="24"/>
        </w:rPr>
        <w:t xml:space="preserve">воды,</w:t>
      </w:r>
      <w:r>
        <w:rPr>
          <w:spacing w:val="-11"/>
          <w:sz w:val="24"/>
        </w:rPr>
        <w:t xml:space="preserve"> </w:t>
      </w:r>
      <w:r>
        <w:rPr>
          <w:sz w:val="24"/>
        </w:rPr>
        <w:t xml:space="preserve">подаваемую</w:t>
      </w:r>
      <w:r>
        <w:rPr>
          <w:spacing w:val="-7"/>
          <w:sz w:val="24"/>
        </w:rPr>
        <w:t xml:space="preserve"> </w:t>
      </w:r>
      <w:r>
        <w:rPr>
          <w:sz w:val="24"/>
        </w:rPr>
        <w:t xml:space="preserve">в</w:t>
      </w:r>
      <w:r>
        <w:rPr>
          <w:spacing w:val="-11"/>
          <w:sz w:val="24"/>
        </w:rPr>
        <w:t xml:space="preserve"> </w:t>
      </w:r>
      <w:r>
        <w:rPr>
          <w:sz w:val="24"/>
        </w:rPr>
        <w:t xml:space="preserve">тепловую</w:t>
      </w:r>
      <w:r>
        <w:rPr>
          <w:spacing w:val="-10"/>
          <w:sz w:val="24"/>
        </w:rPr>
        <w:t xml:space="preserve"> </w:t>
      </w:r>
      <w:r>
        <w:rPr>
          <w:sz w:val="24"/>
        </w:rPr>
        <w:t xml:space="preserve">есть (систему отопления) при неизменном расходе теплоносителя;</w:t>
      </w:r>
      <w:r>
        <w:rPr>
          <w:sz w:val="24"/>
        </w:rPr>
      </w:r>
      <w:r>
        <w:rPr>
          <w:sz w:val="24"/>
        </w:rPr>
      </w:r>
    </w:p>
    <w:p>
      <w:pPr>
        <w:pStyle w:val="1250"/>
        <w:numPr>
          <w:ilvl w:val="0"/>
          <w:numId w:val="7"/>
        </w:numPr>
        <w:ind w:left="1066" w:hanging="241"/>
        <w:tabs>
          <w:tab w:val="left" w:pos="1067" w:leader="none"/>
        </w:tabs>
        <w:rPr>
          <w:sz w:val="24"/>
        </w:rPr>
      </w:pPr>
      <w:r>
        <w:rPr>
          <w:sz w:val="24"/>
        </w:rPr>
        <w:t xml:space="preserve">При</w:t>
      </w:r>
      <w:r>
        <w:rPr>
          <w:spacing w:val="-6"/>
          <w:sz w:val="24"/>
        </w:rPr>
        <w:t xml:space="preserve"> </w:t>
      </w:r>
      <w:r>
        <w:rPr>
          <w:sz w:val="24"/>
        </w:rPr>
        <w:t xml:space="preserve">количественном</w:t>
      </w:r>
      <w:r>
        <w:rPr>
          <w:spacing w:val="-6"/>
          <w:sz w:val="24"/>
        </w:rPr>
        <w:t xml:space="preserve"> </w:t>
      </w:r>
      <w:r>
        <w:rPr>
          <w:sz w:val="24"/>
        </w:rPr>
        <w:t xml:space="preserve">изменяют</w:t>
      </w:r>
      <w:r>
        <w:rPr>
          <w:spacing w:val="-3"/>
          <w:sz w:val="24"/>
        </w:rPr>
        <w:t xml:space="preserve"> </w:t>
      </w:r>
      <w:r>
        <w:rPr>
          <w:sz w:val="24"/>
        </w:rPr>
        <w:t xml:space="preserve">расход</w:t>
      </w:r>
      <w:r>
        <w:rPr>
          <w:spacing w:val="-2"/>
          <w:sz w:val="24"/>
        </w:rPr>
        <w:t xml:space="preserve"> </w:t>
      </w:r>
      <w:r>
        <w:rPr>
          <w:sz w:val="24"/>
        </w:rPr>
        <w:t xml:space="preserve">теплоносителя</w:t>
      </w:r>
      <w:r>
        <w:rPr>
          <w:spacing w:val="-3"/>
          <w:sz w:val="24"/>
        </w:rPr>
        <w:t xml:space="preserve"> </w:t>
      </w:r>
      <w:r>
        <w:rPr>
          <w:sz w:val="24"/>
        </w:rPr>
        <w:t xml:space="preserve">при</w:t>
      </w:r>
      <w:r>
        <w:rPr>
          <w:spacing w:val="-2"/>
          <w:sz w:val="24"/>
        </w:rPr>
        <w:t xml:space="preserve"> </w:t>
      </w:r>
      <w:r>
        <w:rPr>
          <w:sz w:val="24"/>
        </w:rPr>
        <w:t xml:space="preserve">неизменной</w:t>
      </w:r>
      <w:r>
        <w:rPr>
          <w:spacing w:val="-2"/>
          <w:sz w:val="24"/>
        </w:rPr>
        <w:t xml:space="preserve"> температуре;</w:t>
      </w:r>
      <w:r>
        <w:rPr>
          <w:sz w:val="24"/>
        </w:rPr>
      </w:r>
      <w:r>
        <w:rPr>
          <w:sz w:val="24"/>
        </w:rPr>
      </w:r>
    </w:p>
    <w:p>
      <w:pPr>
        <w:pStyle w:val="1250"/>
        <w:numPr>
          <w:ilvl w:val="0"/>
          <w:numId w:val="7"/>
        </w:numPr>
        <w:ind w:right="111" w:firstLine="707"/>
        <w:tabs>
          <w:tab w:val="left" w:pos="1113" w:leader="none"/>
        </w:tabs>
        <w:rPr>
          <w:sz w:val="24"/>
        </w:rPr>
      </w:pPr>
      <w:r>
        <w:rPr>
          <w:sz w:val="24"/>
        </w:rPr>
        <w:t xml:space="preserve">При</w:t>
      </w:r>
      <w:r>
        <w:rPr>
          <w:spacing w:val="39"/>
          <w:sz w:val="24"/>
        </w:rPr>
        <w:t xml:space="preserve"> </w:t>
      </w:r>
      <w:r>
        <w:rPr>
          <w:sz w:val="24"/>
        </w:rPr>
        <w:t xml:space="preserve">качественно-количественном</w:t>
      </w:r>
      <w:r>
        <w:rPr>
          <w:spacing w:val="38"/>
          <w:sz w:val="24"/>
        </w:rPr>
        <w:t xml:space="preserve"> </w:t>
      </w:r>
      <w:r>
        <w:rPr>
          <w:sz w:val="24"/>
        </w:rPr>
        <w:t xml:space="preserve">одновременно</w:t>
      </w:r>
      <w:r>
        <w:rPr>
          <w:spacing w:val="39"/>
          <w:sz w:val="24"/>
        </w:rPr>
        <w:t xml:space="preserve"> </w:t>
      </w:r>
      <w:r>
        <w:rPr>
          <w:sz w:val="24"/>
        </w:rPr>
        <w:t xml:space="preserve">изменяют</w:t>
      </w:r>
      <w:r>
        <w:rPr>
          <w:spacing w:val="37"/>
          <w:sz w:val="24"/>
        </w:rPr>
        <w:t xml:space="preserve"> </w:t>
      </w:r>
      <w:r>
        <w:rPr>
          <w:sz w:val="24"/>
        </w:rPr>
        <w:t xml:space="preserve">температуру</w:t>
      </w:r>
      <w:r>
        <w:rPr>
          <w:spacing w:val="34"/>
          <w:sz w:val="24"/>
        </w:rPr>
        <w:t xml:space="preserve"> </w:t>
      </w:r>
      <w:r>
        <w:rPr>
          <w:sz w:val="24"/>
        </w:rPr>
        <w:t xml:space="preserve">и</w:t>
      </w:r>
      <w:r>
        <w:rPr>
          <w:spacing w:val="40"/>
          <w:sz w:val="24"/>
        </w:rPr>
        <w:t xml:space="preserve"> </w:t>
      </w:r>
      <w:r>
        <w:rPr>
          <w:sz w:val="24"/>
        </w:rPr>
        <w:t xml:space="preserve">расход </w:t>
      </w:r>
      <w:r>
        <w:rPr>
          <w:spacing w:val="-2"/>
          <w:sz w:val="24"/>
        </w:rPr>
        <w:t xml:space="preserve">теплоносителя.</w:t>
      </w:r>
      <w:r>
        <w:rPr>
          <w:sz w:val="24"/>
        </w:rPr>
      </w:r>
      <w:r>
        <w:rPr>
          <w:sz w:val="24"/>
        </w:rPr>
      </w:r>
    </w:p>
    <w:p>
      <w:pPr>
        <w:pStyle w:val="1247"/>
        <w:ind w:left="118" w:right="104" w:firstLine="707"/>
        <w:jc w:val="both"/>
      </w:pPr>
      <w:r>
        <w:t xml:space="preserve">В настоящее время отпуск теплоты системам отопления </w:t>
      </w:r>
      <w:r>
        <w:t xml:space="preserve">Юргамышского </w:t>
      </w:r>
      <w:r>
        <w:t xml:space="preserve">муниципального округа</w:t>
      </w:r>
      <w:r>
        <w:t xml:space="preserve"> </w:t>
      </w:r>
      <w:r>
        <w:t xml:space="preserve">регулируют</w:t>
      </w:r>
      <w:r>
        <w:rPr>
          <w:spacing w:val="-15"/>
        </w:rPr>
        <w:t xml:space="preserve"> </w:t>
      </w:r>
      <w:r>
        <w:t xml:space="preserve">качественным</w:t>
      </w:r>
      <w:r>
        <w:rPr>
          <w:spacing w:val="-15"/>
        </w:rPr>
        <w:t xml:space="preserve"> </w:t>
      </w:r>
      <w:r>
        <w:t xml:space="preserve">методом,</w:t>
      </w:r>
      <w:r>
        <w:rPr>
          <w:spacing w:val="-15"/>
        </w:rPr>
        <w:t xml:space="preserve"> </w:t>
      </w:r>
      <w:r>
        <w:t xml:space="preserve">так</w:t>
      </w:r>
      <w:r>
        <w:rPr>
          <w:spacing w:val="-15"/>
        </w:rPr>
        <w:t xml:space="preserve"> </w:t>
      </w:r>
      <w:r>
        <w:t xml:space="preserve">как</w:t>
      </w:r>
      <w:r>
        <w:rPr>
          <w:spacing w:val="-15"/>
        </w:rPr>
        <w:t xml:space="preserve"> </w:t>
      </w:r>
      <w:r>
        <w:t xml:space="preserve">при</w:t>
      </w:r>
      <w:r>
        <w:rPr>
          <w:spacing w:val="-15"/>
        </w:rPr>
        <w:t xml:space="preserve"> </w:t>
      </w:r>
      <w:r>
        <w:t xml:space="preserve">постоянном</w:t>
      </w:r>
      <w:r>
        <w:rPr>
          <w:spacing w:val="-15"/>
        </w:rPr>
        <w:t xml:space="preserve"> </w:t>
      </w:r>
      <w:r>
        <w:t xml:space="preserve">расходе</w:t>
      </w:r>
      <w:r>
        <w:rPr>
          <w:spacing w:val="-15"/>
        </w:rPr>
        <w:t xml:space="preserve"> </w:t>
      </w:r>
      <w:r>
        <w:t xml:space="preserve">воды,</w:t>
      </w:r>
      <w:r>
        <w:rPr>
          <w:spacing w:val="-15"/>
        </w:rPr>
        <w:t xml:space="preserve"> </w:t>
      </w:r>
      <w:r>
        <w:t xml:space="preserve">системы</w:t>
      </w:r>
      <w:r>
        <w:rPr>
          <w:spacing w:val="-15"/>
        </w:rPr>
        <w:t xml:space="preserve"> </w:t>
      </w:r>
      <w:r>
        <w:t xml:space="preserve">отопления в меньшей степени подвержены разрегулировке.</w:t>
      </w:r>
      <w:r/>
    </w:p>
    <w:p>
      <w:pPr>
        <w:pStyle w:val="1247"/>
        <w:spacing w:before="7"/>
        <w:rPr>
          <w:sz w:val="16"/>
        </w:rPr>
      </w:pPr>
      <w:r>
        <w:rPr>
          <w:sz w:val="16"/>
        </w:rPr>
      </w:r>
      <w:r>
        <w:rPr>
          <w:sz w:val="16"/>
        </w:rPr>
      </w:r>
      <w:r>
        <w:rPr>
          <w:sz w:val="16"/>
        </w:rPr>
      </w:r>
    </w:p>
    <w:p>
      <w:pPr>
        <w:pStyle w:val="1248"/>
        <w:ind w:right="114" w:firstLine="733"/>
      </w:pPr>
      <w:r/>
      <w:bookmarkStart w:id="521" w:name="_bookmark270"/>
      <w:r/>
      <w:bookmarkStart w:id="522" w:name="_Toc130232033"/>
      <w:r/>
      <w:bookmarkStart w:id="523" w:name="_Toc165540813"/>
      <w:r/>
      <w:bookmarkEnd w:id="521"/>
      <w:r>
        <w:rPr>
          <w:lang w:eastAsia="ru-RU"/>
        </w:rPr>
        <w:t xml:space="preserve">9.3 </w:t>
      </w:r>
      <w:r>
        <w:t xml:space="preserve">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bookmarkEnd w:id="522"/>
      <w:r/>
      <w:bookmarkEnd w:id="523"/>
      <w:r/>
      <w:r/>
    </w:p>
    <w:p>
      <w:pPr>
        <w:pStyle w:val="1247"/>
        <w:ind w:left="118" w:right="109" w:firstLine="707"/>
        <w:jc w:val="both"/>
      </w:pPr>
      <w:r>
        <w:t xml:space="preserve">В </w:t>
      </w:r>
      <w:r>
        <w:t xml:space="preserve">Юргамышском</w:t>
      </w:r>
      <w:r>
        <w:t xml:space="preserve"> муниципальном округе </w:t>
      </w:r>
      <w:r>
        <w:t xml:space="preserve">открытых систем теплоснабжения (горячего водоснабжения) нет.</w:t>
      </w:r>
      <w:r/>
    </w:p>
    <w:p>
      <w:pPr>
        <w:pStyle w:val="1247"/>
        <w:spacing w:before="2"/>
        <w:rPr>
          <w:sz w:val="16"/>
        </w:rPr>
      </w:pPr>
      <w:r>
        <w:rPr>
          <w:sz w:val="16"/>
        </w:rPr>
      </w:r>
      <w:r>
        <w:rPr>
          <w:sz w:val="16"/>
        </w:rPr>
      </w:r>
      <w:r>
        <w:rPr>
          <w:sz w:val="16"/>
        </w:rPr>
      </w:r>
    </w:p>
    <w:p>
      <w:pPr>
        <w:ind w:left="118" w:right="114" w:firstLine="733"/>
        <w:jc w:val="right"/>
        <w:spacing w:before="92" w:line="237" w:lineRule="auto"/>
        <w:tabs>
          <w:tab w:val="left" w:pos="1392" w:leader="none"/>
          <w:tab w:val="left" w:pos="2227" w:leader="none"/>
          <w:tab w:val="left" w:pos="2481" w:leader="none"/>
          <w:tab w:val="left" w:pos="3887" w:leader="none"/>
          <w:tab w:val="left" w:pos="4390" w:leader="none"/>
          <w:tab w:val="left" w:pos="4728" w:leader="none"/>
          <w:tab w:val="left" w:pos="5481" w:leader="none"/>
          <w:tab w:val="left" w:pos="6167" w:leader="none"/>
          <w:tab w:val="left" w:pos="6374" w:leader="none"/>
          <w:tab w:val="left" w:pos="7445" w:leader="none"/>
          <w:tab w:val="left" w:pos="7698" w:leader="none"/>
          <w:tab w:val="left" w:pos="8822" w:leader="none"/>
        </w:tabs>
        <w:rPr>
          <w:sz w:val="24"/>
        </w:rPr>
      </w:pPr>
      <w:r/>
      <w:bookmarkStart w:id="524" w:name="_bookmark271"/>
      <w:r/>
      <w:bookmarkEnd w:id="524"/>
      <w:r>
        <w:rPr>
          <w:b/>
          <w:sz w:val="24"/>
          <w:szCs w:val="24"/>
          <w:lang w:eastAsia="ru-RU"/>
        </w:rPr>
        <w:t xml:space="preserve">9.4</w:t>
      </w:r>
      <w:r>
        <w:rPr>
          <w:lang w:eastAsia="ru-RU"/>
        </w:rPr>
        <w:t xml:space="preserve"> </w:t>
      </w:r>
      <w:r>
        <w:rPr>
          <w:b/>
          <w:spacing w:val="-2"/>
          <w:sz w:val="24"/>
        </w:rPr>
        <w:t xml:space="preserve">Расчёт</w:t>
      </w:r>
      <w:r>
        <w:rPr>
          <w:b/>
          <w:sz w:val="24"/>
        </w:rPr>
        <w:tab/>
      </w:r>
      <w:r>
        <w:rPr>
          <w:b/>
          <w:spacing w:val="-2"/>
          <w:sz w:val="24"/>
        </w:rPr>
        <w:t xml:space="preserve">потребности</w:t>
      </w:r>
      <w:r>
        <w:rPr>
          <w:b/>
          <w:sz w:val="24"/>
        </w:rPr>
        <w:tab/>
      </w:r>
      <w:r>
        <w:rPr>
          <w:b/>
          <w:spacing w:val="-2"/>
          <w:sz w:val="24"/>
        </w:rPr>
        <w:t xml:space="preserve">инвестиций</w:t>
      </w:r>
      <w:r>
        <w:rPr>
          <w:b/>
          <w:sz w:val="24"/>
        </w:rPr>
        <w:tab/>
      </w:r>
      <w:r>
        <w:rPr>
          <w:b/>
          <w:spacing w:val="-4"/>
          <w:sz w:val="24"/>
        </w:rPr>
        <w:t xml:space="preserve">для</w:t>
      </w:r>
      <w:r>
        <w:rPr>
          <w:b/>
          <w:sz w:val="24"/>
        </w:rPr>
        <w:tab/>
      </w:r>
      <w:r>
        <w:rPr>
          <w:b/>
          <w:spacing w:val="-2"/>
          <w:sz w:val="24"/>
        </w:rPr>
        <w:t xml:space="preserve">перевода</w:t>
      </w:r>
      <w:r>
        <w:rPr>
          <w:b/>
          <w:sz w:val="24"/>
        </w:rPr>
        <w:tab/>
      </w:r>
      <w:r>
        <w:rPr>
          <w:b/>
          <w:spacing w:val="-2"/>
          <w:sz w:val="24"/>
        </w:rPr>
        <w:t xml:space="preserve">открытой</w:t>
      </w:r>
      <w:r>
        <w:rPr>
          <w:b/>
          <w:sz w:val="24"/>
        </w:rPr>
        <w:tab/>
      </w:r>
      <w:r>
        <w:rPr>
          <w:b/>
          <w:spacing w:val="-2"/>
          <w:sz w:val="24"/>
        </w:rPr>
        <w:t xml:space="preserve">системы </w:t>
      </w:r>
      <w:r>
        <w:rPr>
          <w:b/>
          <w:sz w:val="24"/>
        </w:rPr>
        <w:t xml:space="preserve">теплоснабжения</w:t>
      </w:r>
      <w:r>
        <w:rPr>
          <w:b/>
          <w:spacing w:val="-15"/>
          <w:sz w:val="24"/>
        </w:rPr>
        <w:t xml:space="preserve"> </w:t>
      </w:r>
      <w:r>
        <w:rPr>
          <w:b/>
          <w:sz w:val="24"/>
        </w:rPr>
        <w:t xml:space="preserve">(горячего</w:t>
      </w:r>
      <w:r>
        <w:rPr>
          <w:b/>
          <w:spacing w:val="-15"/>
          <w:sz w:val="24"/>
        </w:rPr>
        <w:t xml:space="preserve"> </w:t>
      </w:r>
      <w:r>
        <w:rPr>
          <w:b/>
          <w:sz w:val="24"/>
        </w:rPr>
        <w:t xml:space="preserve">водоснабжения)</w:t>
      </w:r>
      <w:r>
        <w:rPr>
          <w:b/>
          <w:spacing w:val="-15"/>
          <w:sz w:val="24"/>
        </w:rPr>
        <w:t xml:space="preserve"> </w:t>
      </w:r>
      <w:r>
        <w:rPr>
          <w:b/>
          <w:sz w:val="24"/>
        </w:rPr>
        <w:t xml:space="preserve">в</w:t>
      </w:r>
      <w:r>
        <w:rPr>
          <w:b/>
          <w:spacing w:val="-15"/>
          <w:sz w:val="24"/>
        </w:rPr>
        <w:t xml:space="preserve"> </w:t>
      </w:r>
      <w:r>
        <w:rPr>
          <w:b/>
          <w:sz w:val="24"/>
        </w:rPr>
        <w:t xml:space="preserve">закрытую</w:t>
      </w:r>
      <w:r>
        <w:rPr>
          <w:b/>
          <w:spacing w:val="-15"/>
          <w:sz w:val="24"/>
        </w:rPr>
        <w:t xml:space="preserve"> </w:t>
      </w:r>
      <w:r>
        <w:rPr>
          <w:b/>
          <w:sz w:val="24"/>
        </w:rPr>
        <w:t xml:space="preserve">систему</w:t>
      </w:r>
      <w:r>
        <w:rPr>
          <w:b/>
          <w:spacing w:val="-15"/>
          <w:sz w:val="24"/>
        </w:rPr>
        <w:t xml:space="preserve"> </w:t>
      </w:r>
      <w:r>
        <w:rPr>
          <w:b/>
          <w:sz w:val="24"/>
        </w:rPr>
        <w:t xml:space="preserve">горячего</w:t>
      </w:r>
      <w:r>
        <w:rPr>
          <w:b/>
          <w:spacing w:val="-15"/>
          <w:sz w:val="24"/>
        </w:rPr>
        <w:t xml:space="preserve"> </w:t>
      </w:r>
      <w:r>
        <w:rPr>
          <w:b/>
          <w:sz w:val="24"/>
        </w:rPr>
        <w:t xml:space="preserve">водоснабжения </w:t>
      </w:r>
      <w:r>
        <w:rPr>
          <w:sz w:val="24"/>
        </w:rPr>
      </w:r>
      <w:r>
        <w:rPr>
          <w:sz w:val="24"/>
        </w:rPr>
      </w:r>
    </w:p>
    <w:p>
      <w:pPr>
        <w:pStyle w:val="1247"/>
        <w:ind w:left="118" w:right="89" w:firstLine="733"/>
        <w:jc w:val="both"/>
        <w:spacing w:before="2"/>
      </w:pPr>
      <w:r>
        <w:t xml:space="preserve">Инвестиции</w:t>
      </w:r>
      <w:r>
        <w:rPr>
          <w:spacing w:val="30"/>
        </w:rPr>
        <w:t xml:space="preserve"> </w:t>
      </w:r>
      <w:r>
        <w:t xml:space="preserve">для</w:t>
      </w:r>
      <w:r>
        <w:rPr>
          <w:spacing w:val="29"/>
        </w:rPr>
        <w:t xml:space="preserve"> </w:t>
      </w:r>
      <w:r>
        <w:t xml:space="preserve">перевода</w:t>
      </w:r>
      <w:r>
        <w:rPr>
          <w:spacing w:val="33"/>
        </w:rPr>
        <w:t xml:space="preserve"> </w:t>
      </w:r>
      <w:r>
        <w:t xml:space="preserve">открытой</w:t>
      </w:r>
      <w:r>
        <w:rPr>
          <w:spacing w:val="32"/>
        </w:rPr>
        <w:t xml:space="preserve"> </w:t>
      </w:r>
      <w:r>
        <w:t xml:space="preserve">системы</w:t>
      </w:r>
      <w:r>
        <w:rPr>
          <w:spacing w:val="31"/>
        </w:rPr>
        <w:t xml:space="preserve"> </w:t>
      </w:r>
      <w:r>
        <w:t xml:space="preserve">горячего</w:t>
      </w:r>
      <w:r>
        <w:rPr>
          <w:spacing w:val="31"/>
        </w:rPr>
        <w:t xml:space="preserve"> </w:t>
      </w:r>
      <w:r>
        <w:t xml:space="preserve">водоснабжения</w:t>
      </w:r>
      <w:r>
        <w:rPr>
          <w:spacing w:val="35"/>
        </w:rPr>
        <w:t xml:space="preserve"> </w:t>
      </w:r>
      <w:r>
        <w:t xml:space="preserve">в</w:t>
      </w:r>
      <w:r>
        <w:rPr>
          <w:spacing w:val="31"/>
        </w:rPr>
        <w:t xml:space="preserve"> </w:t>
      </w:r>
      <w:r>
        <w:t xml:space="preserve">закрытую</w:t>
      </w:r>
      <w:r>
        <w:rPr>
          <w:spacing w:val="32"/>
        </w:rPr>
        <w:t xml:space="preserve"> </w:t>
      </w:r>
      <w:r>
        <w:t xml:space="preserve">систему ГВС на расчётный период не предполагаются.</w:t>
      </w:r>
      <w:r/>
    </w:p>
    <w:p>
      <w:pPr>
        <w:pStyle w:val="1247"/>
        <w:spacing w:before="7"/>
        <w:rPr>
          <w:sz w:val="16"/>
        </w:rPr>
      </w:pPr>
      <w:r>
        <w:rPr>
          <w:sz w:val="16"/>
        </w:rPr>
      </w:r>
      <w:r>
        <w:rPr>
          <w:sz w:val="16"/>
        </w:rPr>
      </w:r>
      <w:r>
        <w:rPr>
          <w:sz w:val="16"/>
        </w:rPr>
      </w:r>
    </w:p>
    <w:p>
      <w:pPr>
        <w:pStyle w:val="1248"/>
        <w:ind w:right="113" w:firstLine="733"/>
      </w:pPr>
      <w:r/>
      <w:bookmarkStart w:id="525" w:name="_bookmark272"/>
      <w:r/>
      <w:bookmarkStart w:id="526" w:name="_Toc130232034"/>
      <w:r/>
      <w:bookmarkStart w:id="527" w:name="_Toc165540814"/>
      <w:r/>
      <w:bookmarkEnd w:id="525"/>
      <w:r>
        <w:rPr>
          <w:lang w:eastAsia="ru-RU"/>
        </w:rPr>
        <w:t xml:space="preserve">9.5 </w:t>
      </w:r>
      <w:r>
        <w:t xml:space="preserve">Оценка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bookmarkEnd w:id="526"/>
      <w:r/>
      <w:bookmarkEnd w:id="527"/>
      <w:r/>
      <w:r/>
    </w:p>
    <w:p>
      <w:pPr>
        <w:pStyle w:val="1247"/>
        <w:ind w:left="118" w:right="109" w:firstLine="707"/>
        <w:jc w:val="both"/>
      </w:pPr>
      <w:r>
        <w:t xml:space="preserve">В </w:t>
      </w:r>
      <w:r>
        <w:t xml:space="preserve">Юргамышском</w:t>
      </w:r>
      <w:r>
        <w:t xml:space="preserve"> муниципальном округе </w:t>
      </w:r>
      <w:r>
        <w:t xml:space="preserve">открытых систем теплоснабжения (горячего водоснабжения) нет.</w:t>
      </w:r>
      <w:r/>
    </w:p>
    <w:p>
      <w:pPr>
        <w:pStyle w:val="1247"/>
        <w:ind w:left="118" w:right="106" w:firstLine="707"/>
        <w:jc w:val="both"/>
      </w:pPr>
      <w:r/>
      <w:r/>
    </w:p>
    <w:p>
      <w:pPr>
        <w:pStyle w:val="1248"/>
        <w:ind w:firstLine="733"/>
        <w:spacing w:line="274" w:lineRule="exact"/>
      </w:pPr>
      <w:r/>
      <w:bookmarkStart w:id="528" w:name="_bookmark273"/>
      <w:r/>
      <w:bookmarkStart w:id="529" w:name="_Toc130232035"/>
      <w:r/>
      <w:bookmarkStart w:id="530" w:name="_Toc165540815"/>
      <w:r/>
      <w:bookmarkEnd w:id="528"/>
      <w:r>
        <w:rPr>
          <w:lang w:eastAsia="ru-RU"/>
        </w:rPr>
        <w:t xml:space="preserve">9.6 </w:t>
      </w:r>
      <w:r>
        <w:t xml:space="preserve">Предложения</w:t>
      </w:r>
      <w:r>
        <w:rPr>
          <w:spacing w:val="-4"/>
        </w:rPr>
        <w:t xml:space="preserve"> </w:t>
      </w:r>
      <w:r>
        <w:t xml:space="preserve">по</w:t>
      </w:r>
      <w:r>
        <w:rPr>
          <w:spacing w:val="-2"/>
        </w:rPr>
        <w:t xml:space="preserve"> </w:t>
      </w:r>
      <w:r>
        <w:t xml:space="preserve">источникам</w:t>
      </w:r>
      <w:r>
        <w:rPr>
          <w:spacing w:val="-2"/>
        </w:rPr>
        <w:t xml:space="preserve"> инвестиций</w:t>
      </w:r>
      <w:bookmarkEnd w:id="529"/>
      <w:r/>
      <w:bookmarkEnd w:id="530"/>
      <w:r/>
      <w:r/>
    </w:p>
    <w:p>
      <w:pPr>
        <w:pStyle w:val="1247"/>
        <w:ind w:left="118" w:right="113" w:firstLine="707"/>
        <w:jc w:val="both"/>
      </w:pPr>
      <w:r>
        <w:t xml:space="preserve">Мероприятия</w:t>
      </w:r>
      <w:r>
        <w:rPr>
          <w:spacing w:val="-15"/>
        </w:rPr>
        <w:t xml:space="preserve"> </w:t>
      </w:r>
      <w:r>
        <w:t xml:space="preserve">по</w:t>
      </w:r>
      <w:r>
        <w:rPr>
          <w:spacing w:val="-15"/>
        </w:rPr>
        <w:t xml:space="preserve"> </w:t>
      </w:r>
      <w:r>
        <w:t xml:space="preserve">переводу</w:t>
      </w:r>
      <w:r>
        <w:rPr>
          <w:spacing w:val="-15"/>
        </w:rPr>
        <w:t xml:space="preserve"> </w:t>
      </w:r>
      <w:r>
        <w:t xml:space="preserve">открытых</w:t>
      </w:r>
      <w:r>
        <w:rPr>
          <w:spacing w:val="-15"/>
        </w:rPr>
        <w:t xml:space="preserve"> </w:t>
      </w:r>
      <w:r>
        <w:t xml:space="preserve">систем</w:t>
      </w:r>
      <w:r>
        <w:rPr>
          <w:spacing w:val="-15"/>
        </w:rPr>
        <w:t xml:space="preserve"> </w:t>
      </w:r>
      <w:r>
        <w:t xml:space="preserve">теплоснабжения</w:t>
      </w:r>
      <w:r>
        <w:rPr>
          <w:spacing w:val="-15"/>
        </w:rPr>
        <w:t xml:space="preserve"> </w:t>
      </w:r>
      <w:r>
        <w:t xml:space="preserve">(горячего</w:t>
      </w:r>
      <w:r>
        <w:rPr>
          <w:spacing w:val="-15"/>
        </w:rPr>
        <w:t xml:space="preserve"> </w:t>
      </w:r>
      <w:r>
        <w:t xml:space="preserve">водоснабжения) в закрытые системы горячего водоснабжения не запланированы. Инвестиции дл</w:t>
      </w:r>
      <w:r>
        <w:t xml:space="preserve">я этих мероприятий не требуются.</w:t>
      </w:r>
      <w:r/>
    </w:p>
    <w:p>
      <w:pPr>
        <w:pStyle w:val="1247"/>
        <w:spacing w:before="4"/>
        <w:rPr>
          <w:sz w:val="16"/>
        </w:rPr>
      </w:pPr>
      <w:r>
        <w:rPr>
          <w:sz w:val="16"/>
        </w:rPr>
      </w:r>
      <w:r>
        <w:rPr>
          <w:sz w:val="16"/>
        </w:rPr>
      </w:r>
      <w:r>
        <w:rPr>
          <w:sz w:val="16"/>
        </w:rPr>
      </w:r>
    </w:p>
    <w:p>
      <w:pPr>
        <w:pStyle w:val="1248"/>
        <w:ind w:right="107" w:firstLine="733"/>
      </w:pPr>
      <w:r/>
      <w:bookmarkStart w:id="531" w:name="_bookmark274"/>
      <w:r/>
      <w:bookmarkStart w:id="532" w:name="_Toc130232036"/>
      <w:r/>
      <w:bookmarkStart w:id="533" w:name="_Toc165540816"/>
      <w:r/>
      <w:bookmarkEnd w:id="531"/>
      <w:r>
        <w:rPr>
          <w:lang w:eastAsia="ru-RU"/>
        </w:rPr>
        <w:t xml:space="preserve">9.7 </w:t>
      </w:r>
      <w:r>
        <w:t xml:space="preserve">Описание актуальных изменений в предложениях по переводу открытых систем теплоснабжения (горячего водоснабжения) в закрытые системы горячего водоснабжения</w:t>
      </w:r>
      <w:r>
        <w:rPr>
          <w:spacing w:val="-14"/>
        </w:rPr>
        <w:t xml:space="preserve"> </w:t>
      </w:r>
      <w:r>
        <w:t xml:space="preserve">за</w:t>
      </w:r>
      <w:r>
        <w:rPr>
          <w:spacing w:val="-15"/>
        </w:rPr>
        <w:t xml:space="preserve"> </w:t>
      </w:r>
      <w:r>
        <w:t xml:space="preserve">период,</w:t>
      </w:r>
      <w:r>
        <w:rPr>
          <w:spacing w:val="-14"/>
        </w:rPr>
        <w:t xml:space="preserve"> </w:t>
      </w:r>
      <w:r>
        <w:t xml:space="preserve">предшествующий</w:t>
      </w:r>
      <w:r>
        <w:rPr>
          <w:spacing w:val="-13"/>
        </w:rPr>
        <w:t xml:space="preserve"> </w:t>
      </w:r>
      <w:r>
        <w:t xml:space="preserve">актуализации</w:t>
      </w:r>
      <w:r>
        <w:rPr>
          <w:spacing w:val="-13"/>
        </w:rPr>
        <w:t xml:space="preserve"> </w:t>
      </w:r>
      <w:r>
        <w:t xml:space="preserve">схемы</w:t>
      </w:r>
      <w:r>
        <w:rPr>
          <w:spacing w:val="-12"/>
        </w:rPr>
        <w:t xml:space="preserve"> </w:t>
      </w:r>
      <w:r>
        <w:t xml:space="preserve">теплоснабжения,</w:t>
      </w:r>
      <w:r>
        <w:rPr>
          <w:spacing w:val="-14"/>
        </w:rPr>
        <w:t xml:space="preserve"> </w:t>
      </w:r>
      <w:r>
        <w:t xml:space="preserve">в</w:t>
      </w:r>
      <w:r>
        <w:rPr>
          <w:spacing w:val="-14"/>
        </w:rPr>
        <w:t xml:space="preserve"> </w:t>
      </w:r>
      <w:r>
        <w:t xml:space="preserve">том числе с учётом введённых в эксплуатацию переоборудованных центральных и индивидуальных тепловых пунктов</w:t>
      </w:r>
      <w:bookmarkEnd w:id="532"/>
      <w:r/>
      <w:bookmarkEnd w:id="533"/>
      <w:r/>
      <w:r/>
    </w:p>
    <w:p>
      <w:pPr>
        <w:pStyle w:val="1247"/>
        <w:ind w:left="119" w:right="108" w:firstLine="709"/>
        <w:jc w:val="both"/>
      </w:pPr>
      <w:r>
        <w:t xml:space="preserve">Ранее схема теплоснабжения </w:t>
      </w:r>
      <w:r>
        <w:t xml:space="preserve">Юргамышского</w:t>
      </w:r>
      <w:r>
        <w:t xml:space="preserve"> муниципального округа не была разработана.</w:t>
      </w:r>
      <w:r/>
    </w:p>
    <w:p>
      <w:pPr>
        <w:jc w:val="both"/>
        <w:sectPr>
          <w:footnotePr/>
          <w:endnotePr/>
          <w:type w:val="nextPage"/>
          <w:pgSz w:w="11910" w:h="16840" w:orient="portrait"/>
          <w:pgMar w:top="1040" w:right="740" w:bottom="940" w:left="1300" w:header="0" w:footer="758" w:gutter="0"/>
          <w:cols w:num="1" w:sep="0" w:space="720" w:equalWidth="1"/>
          <w:docGrid w:linePitch="360"/>
        </w:sectPr>
      </w:pPr>
      <w:r/>
      <w:r/>
    </w:p>
    <w:p>
      <w:pPr>
        <w:pStyle w:val="1248"/>
        <w:ind w:left="826"/>
        <w:spacing w:before="71"/>
      </w:pPr>
      <w:r/>
      <w:bookmarkStart w:id="534" w:name="_bookmark275"/>
      <w:r/>
      <w:bookmarkStart w:id="535" w:name="_Toc130232037"/>
      <w:r/>
      <w:bookmarkStart w:id="536" w:name="_Toc165540817"/>
      <w:r/>
      <w:bookmarkEnd w:id="534"/>
      <w:r>
        <w:t xml:space="preserve">Глава</w:t>
      </w:r>
      <w:r>
        <w:rPr>
          <w:spacing w:val="-3"/>
        </w:rPr>
        <w:t xml:space="preserve"> </w:t>
      </w:r>
      <w:r>
        <w:t xml:space="preserve">10</w:t>
      </w:r>
      <w:r>
        <w:rPr>
          <w:spacing w:val="4"/>
        </w:rPr>
        <w:t xml:space="preserve"> </w:t>
      </w:r>
      <w:r>
        <w:t xml:space="preserve">Перспективные</w:t>
      </w:r>
      <w:r>
        <w:rPr>
          <w:spacing w:val="-4"/>
        </w:rPr>
        <w:t xml:space="preserve"> </w:t>
      </w:r>
      <w:r>
        <w:t xml:space="preserve">топливные</w:t>
      </w:r>
      <w:r>
        <w:rPr>
          <w:spacing w:val="-3"/>
        </w:rPr>
        <w:t xml:space="preserve"> </w:t>
      </w:r>
      <w:r>
        <w:rPr>
          <w:spacing w:val="-2"/>
        </w:rPr>
        <w:t xml:space="preserve">балансы</w:t>
      </w:r>
      <w:bookmarkEnd w:id="535"/>
      <w:r/>
      <w:bookmarkEnd w:id="536"/>
      <w:r/>
      <w:r/>
    </w:p>
    <w:p>
      <w:pPr>
        <w:pStyle w:val="1248"/>
        <w:ind w:right="106" w:firstLine="733"/>
        <w:spacing w:before="120"/>
      </w:pPr>
      <w:r/>
      <w:bookmarkStart w:id="537" w:name="_bookmark276"/>
      <w:r/>
      <w:bookmarkStart w:id="538" w:name="_Toc130232038"/>
      <w:r/>
      <w:bookmarkStart w:id="539" w:name="_Toc165540818"/>
      <w:r/>
      <w:bookmarkEnd w:id="537"/>
      <w:r>
        <w:rPr>
          <w:lang w:eastAsia="ru-RU"/>
        </w:rPr>
        <w:t xml:space="preserve">10.1 </w:t>
      </w:r>
      <w:r>
        <w:t xml:space="preserve">Расчёты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w:t>
      </w:r>
      <w:bookmarkEnd w:id="538"/>
      <w:r/>
      <w:bookmarkEnd w:id="539"/>
      <w:r>
        <w:t xml:space="preserve">муниципального округа</w:t>
      </w:r>
      <w:r/>
    </w:p>
    <w:p>
      <w:pPr>
        <w:pStyle w:val="1247"/>
        <w:ind w:left="118" w:right="106" w:firstLine="707"/>
        <w:jc w:val="right"/>
        <w:spacing w:before="116"/>
      </w:pPr>
      <w:r>
        <w:t xml:space="preserve">Таблица </w:t>
      </w:r>
      <w:r>
        <w:t xml:space="preserve">10.1</w:t>
      </w:r>
      <w:r>
        <w:t xml:space="preserve">.1</w:t>
      </w:r>
      <w:r/>
    </w:p>
    <w:p>
      <w:pPr>
        <w:pStyle w:val="1247"/>
        <w:ind w:left="118" w:right="106" w:firstLine="707"/>
        <w:jc w:val="center"/>
        <w:spacing w:before="116"/>
      </w:pPr>
      <w:r>
        <w:t xml:space="preserve">Расчеты максимального часового и годового расхода перспективных топливных балансов централизованных котельных </w:t>
      </w:r>
      <w:r/>
    </w:p>
    <w:tbl>
      <w:tblPr>
        <w:tblW w:w="4957" w:type="pct"/>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4A0" w:firstRow="1" w:lastRow="0" w:firstColumn="1" w:lastColumn="0" w:noHBand="0" w:noVBand="1"/>
      </w:tblPr>
      <w:tblGrid>
        <w:gridCol w:w="1848"/>
        <w:gridCol w:w="1500"/>
        <w:gridCol w:w="1323"/>
        <w:gridCol w:w="848"/>
        <w:gridCol w:w="848"/>
        <w:gridCol w:w="848"/>
        <w:gridCol w:w="848"/>
        <w:gridCol w:w="848"/>
        <w:gridCol w:w="864"/>
      </w:tblGrid>
      <w:tr>
        <w:tblPrEx/>
        <w:trPr>
          <w:trHeight w:val="20"/>
        </w:trPr>
        <w:tc>
          <w:tcPr>
            <w:shd w:val="clear" w:color="auto" w:fill="auto"/>
            <w:tcW w:w="945" w:type="pct"/>
            <w:vAlign w:val="center"/>
            <w:vMerge w:val="restart"/>
            <w:textDirection w:val="lrTb"/>
            <w:noWrap w:val="false"/>
          </w:tcPr>
          <w:p>
            <w:pPr>
              <w:jc w:val="center"/>
              <w:rPr>
                <w:sz w:val="20"/>
                <w:szCs w:val="20"/>
              </w:rPr>
            </w:pPr>
            <w:r>
              <w:rPr>
                <w:sz w:val="20"/>
                <w:szCs w:val="20"/>
              </w:rPr>
              <w:t xml:space="preserve">Источник тепловой энергии</w:t>
            </w:r>
            <w:r>
              <w:rPr>
                <w:sz w:val="20"/>
                <w:szCs w:val="20"/>
              </w:rPr>
            </w:r>
            <w:r>
              <w:rPr>
                <w:sz w:val="20"/>
                <w:szCs w:val="20"/>
              </w:rPr>
            </w:r>
          </w:p>
        </w:tc>
        <w:tc>
          <w:tcPr>
            <w:shd w:val="clear" w:color="auto" w:fill="auto"/>
            <w:tcW w:w="767" w:type="pct"/>
            <w:vAlign w:val="center"/>
            <w:vMerge w:val="restart"/>
            <w:textDirection w:val="lrTb"/>
            <w:noWrap w:val="false"/>
          </w:tcPr>
          <w:p>
            <w:pPr>
              <w:jc w:val="center"/>
              <w:rPr>
                <w:sz w:val="20"/>
                <w:szCs w:val="20"/>
              </w:rPr>
            </w:pPr>
            <w:r>
              <w:rPr>
                <w:sz w:val="20"/>
                <w:szCs w:val="20"/>
              </w:rPr>
              <w:t xml:space="preserve">Вид расхода топлива</w:t>
            </w:r>
            <w:r>
              <w:rPr>
                <w:sz w:val="20"/>
                <w:szCs w:val="20"/>
              </w:rPr>
            </w:r>
            <w:r>
              <w:rPr>
                <w:sz w:val="20"/>
                <w:szCs w:val="20"/>
              </w:rPr>
            </w:r>
          </w:p>
        </w:tc>
        <w:tc>
          <w:tcPr>
            <w:shd w:val="clear" w:color="auto" w:fill="auto"/>
            <w:tcW w:w="676" w:type="pct"/>
            <w:vAlign w:val="center"/>
            <w:vMerge w:val="restart"/>
            <w:textDirection w:val="lrTb"/>
            <w:noWrap w:val="false"/>
          </w:tcPr>
          <w:p>
            <w:pPr>
              <w:jc w:val="center"/>
              <w:rPr>
                <w:sz w:val="20"/>
                <w:szCs w:val="20"/>
              </w:rPr>
            </w:pPr>
            <w:r>
              <w:rPr>
                <w:sz w:val="20"/>
                <w:szCs w:val="20"/>
              </w:rPr>
              <w:t xml:space="preserve">Период</w:t>
            </w:r>
            <w:r>
              <w:rPr>
                <w:sz w:val="20"/>
                <w:szCs w:val="20"/>
              </w:rPr>
            </w:r>
            <w:r>
              <w:rPr>
                <w:sz w:val="20"/>
                <w:szCs w:val="20"/>
              </w:rPr>
            </w:r>
          </w:p>
        </w:tc>
        <w:tc>
          <w:tcPr>
            <w:gridSpan w:val="6"/>
            <w:shd w:val="clear" w:color="auto" w:fill="auto"/>
            <w:tcW w:w="2612" w:type="pct"/>
            <w:vAlign w:val="center"/>
            <w:textDirection w:val="lrTb"/>
            <w:noWrap w:val="false"/>
          </w:tcPr>
          <w:p>
            <w:pPr>
              <w:jc w:val="center"/>
              <w:rPr>
                <w:sz w:val="20"/>
                <w:szCs w:val="20"/>
              </w:rPr>
            </w:pPr>
            <w:r>
              <w:rPr>
                <w:sz w:val="20"/>
                <w:szCs w:val="20"/>
              </w:rPr>
              <w:t xml:space="preserve">Значения расхода топлива по этапам (годам)</w:t>
            </w:r>
            <w:r>
              <w:rPr>
                <w:sz w:val="20"/>
                <w:szCs w:val="20"/>
              </w:rPr>
            </w:r>
            <w:r>
              <w:rPr>
                <w:sz w:val="20"/>
                <w:szCs w:val="20"/>
              </w:rPr>
            </w:r>
          </w:p>
        </w:tc>
      </w:tr>
      <w:tr>
        <w:tblPrEx/>
        <w:trPr>
          <w:trHeight w:val="20"/>
        </w:trPr>
        <w:tc>
          <w:tcPr>
            <w:tcW w:w="945" w:type="pct"/>
            <w:vAlign w:val="center"/>
            <w:vMerge w:val="continue"/>
            <w:textDirection w:val="lrTb"/>
            <w:noWrap w:val="false"/>
          </w:tcPr>
          <w:p>
            <w:pPr>
              <w:rPr>
                <w:sz w:val="20"/>
                <w:szCs w:val="20"/>
              </w:rPr>
            </w:pPr>
            <w:r>
              <w:rPr>
                <w:sz w:val="20"/>
                <w:szCs w:val="20"/>
              </w:rPr>
            </w:r>
            <w:r>
              <w:rPr>
                <w:sz w:val="20"/>
                <w:szCs w:val="20"/>
              </w:rPr>
            </w:r>
            <w:r>
              <w:rPr>
                <w:sz w:val="20"/>
                <w:szCs w:val="20"/>
              </w:rPr>
            </w:r>
          </w:p>
        </w:tc>
        <w:tc>
          <w:tcPr>
            <w:tcW w:w="767" w:type="pct"/>
            <w:vAlign w:val="center"/>
            <w:vMerge w:val="continue"/>
            <w:textDirection w:val="lrTb"/>
            <w:noWrap w:val="false"/>
          </w:tcPr>
          <w:p>
            <w:pPr>
              <w:rPr>
                <w:sz w:val="20"/>
                <w:szCs w:val="20"/>
              </w:rPr>
            </w:pPr>
            <w:r>
              <w:rPr>
                <w:sz w:val="20"/>
                <w:szCs w:val="20"/>
              </w:rPr>
            </w:r>
            <w:r>
              <w:rPr>
                <w:sz w:val="20"/>
                <w:szCs w:val="20"/>
              </w:rPr>
            </w:r>
            <w:r>
              <w:rPr>
                <w:sz w:val="20"/>
                <w:szCs w:val="20"/>
              </w:rPr>
            </w:r>
          </w:p>
        </w:tc>
        <w:tc>
          <w:tcPr>
            <w:tcW w:w="676" w:type="pct"/>
            <w:vAlign w:val="center"/>
            <w:vMerge w:val="continue"/>
            <w:textDirection w:val="lrTb"/>
            <w:noWrap w:val="false"/>
          </w:tcPr>
          <w:p>
            <w:pPr>
              <w:rPr>
                <w:sz w:val="20"/>
                <w:szCs w:val="20"/>
              </w:rPr>
            </w:pPr>
            <w:r>
              <w:rPr>
                <w:sz w:val="20"/>
                <w:szCs w:val="20"/>
              </w:rPr>
            </w:r>
            <w:r>
              <w:rPr>
                <w:sz w:val="20"/>
                <w:szCs w:val="20"/>
              </w:rPr>
            </w:r>
            <w:r>
              <w:rPr>
                <w:sz w:val="20"/>
                <w:szCs w:val="20"/>
              </w:rPr>
            </w:r>
          </w:p>
        </w:tc>
        <w:tc>
          <w:tcPr>
            <w:shd w:val="clear" w:color="auto" w:fill="auto"/>
            <w:tcW w:w="434" w:type="pct"/>
            <w:vAlign w:val="center"/>
            <w:textDirection w:val="lrTb"/>
            <w:noWrap w:val="false"/>
          </w:tcPr>
          <w:p>
            <w:pPr>
              <w:jc w:val="center"/>
              <w:rPr>
                <w:sz w:val="20"/>
                <w:szCs w:val="20"/>
              </w:rPr>
            </w:pPr>
            <w:r>
              <w:rPr>
                <w:sz w:val="20"/>
                <w:szCs w:val="20"/>
              </w:rPr>
              <w:t xml:space="preserve">2024</w:t>
            </w:r>
            <w:r>
              <w:rPr>
                <w:sz w:val="20"/>
                <w:szCs w:val="20"/>
              </w:rPr>
            </w:r>
            <w:r>
              <w:rPr>
                <w:sz w:val="20"/>
                <w:szCs w:val="20"/>
              </w:rPr>
            </w:r>
          </w:p>
        </w:tc>
        <w:tc>
          <w:tcPr>
            <w:shd w:val="clear" w:color="auto" w:fill="auto"/>
            <w:tcW w:w="434" w:type="pct"/>
            <w:vAlign w:val="center"/>
            <w:textDirection w:val="lrTb"/>
            <w:noWrap w:val="false"/>
          </w:tcPr>
          <w:p>
            <w:pPr>
              <w:jc w:val="center"/>
              <w:rPr>
                <w:sz w:val="20"/>
                <w:szCs w:val="20"/>
              </w:rPr>
            </w:pPr>
            <w:r>
              <w:rPr>
                <w:sz w:val="20"/>
                <w:szCs w:val="20"/>
              </w:rPr>
              <w:t xml:space="preserve">2025</w:t>
            </w:r>
            <w:r>
              <w:rPr>
                <w:sz w:val="20"/>
                <w:szCs w:val="20"/>
              </w:rPr>
            </w:r>
            <w:r>
              <w:rPr>
                <w:sz w:val="20"/>
                <w:szCs w:val="20"/>
              </w:rPr>
            </w:r>
          </w:p>
        </w:tc>
        <w:tc>
          <w:tcPr>
            <w:shd w:val="clear" w:color="auto" w:fill="auto"/>
            <w:tcW w:w="434" w:type="pct"/>
            <w:vAlign w:val="center"/>
            <w:textDirection w:val="lrTb"/>
            <w:noWrap w:val="false"/>
          </w:tcPr>
          <w:p>
            <w:pPr>
              <w:jc w:val="center"/>
              <w:rPr>
                <w:sz w:val="20"/>
                <w:szCs w:val="20"/>
              </w:rPr>
            </w:pPr>
            <w:r>
              <w:rPr>
                <w:sz w:val="20"/>
                <w:szCs w:val="20"/>
              </w:rPr>
              <w:t xml:space="preserve">2026</w:t>
            </w:r>
            <w:r>
              <w:rPr>
                <w:sz w:val="20"/>
                <w:szCs w:val="20"/>
              </w:rPr>
            </w:r>
            <w:r>
              <w:rPr>
                <w:sz w:val="20"/>
                <w:szCs w:val="20"/>
              </w:rPr>
            </w:r>
          </w:p>
        </w:tc>
        <w:tc>
          <w:tcPr>
            <w:shd w:val="clear" w:color="auto" w:fill="auto"/>
            <w:tcW w:w="434" w:type="pct"/>
            <w:vAlign w:val="center"/>
            <w:textDirection w:val="lrTb"/>
            <w:noWrap w:val="false"/>
          </w:tcPr>
          <w:p>
            <w:pPr>
              <w:jc w:val="center"/>
              <w:rPr>
                <w:sz w:val="20"/>
                <w:szCs w:val="20"/>
              </w:rPr>
            </w:pPr>
            <w:r>
              <w:rPr>
                <w:sz w:val="20"/>
                <w:szCs w:val="20"/>
              </w:rPr>
              <w:t xml:space="preserve">2027</w:t>
            </w:r>
            <w:r>
              <w:rPr>
                <w:sz w:val="20"/>
                <w:szCs w:val="20"/>
              </w:rPr>
            </w:r>
            <w:r>
              <w:rPr>
                <w:sz w:val="20"/>
                <w:szCs w:val="20"/>
              </w:rPr>
            </w:r>
          </w:p>
        </w:tc>
        <w:tc>
          <w:tcPr>
            <w:shd w:val="clear" w:color="auto" w:fill="auto"/>
            <w:tcW w:w="434" w:type="pct"/>
            <w:vAlign w:val="center"/>
            <w:textDirection w:val="lrTb"/>
            <w:noWrap w:val="false"/>
          </w:tcPr>
          <w:p>
            <w:pPr>
              <w:jc w:val="center"/>
              <w:rPr>
                <w:sz w:val="20"/>
                <w:szCs w:val="20"/>
              </w:rPr>
            </w:pPr>
            <w:r>
              <w:rPr>
                <w:sz w:val="20"/>
                <w:szCs w:val="20"/>
              </w:rPr>
              <w:t xml:space="preserve">2028</w:t>
            </w:r>
            <w:r>
              <w:rPr>
                <w:sz w:val="20"/>
                <w:szCs w:val="20"/>
              </w:rPr>
            </w:r>
            <w:r>
              <w:rPr>
                <w:sz w:val="20"/>
                <w:szCs w:val="20"/>
              </w:rPr>
            </w:r>
          </w:p>
        </w:tc>
        <w:tc>
          <w:tcPr>
            <w:shd w:val="clear" w:color="auto" w:fill="auto"/>
            <w:tcW w:w="443" w:type="pct"/>
            <w:vAlign w:val="center"/>
            <w:textDirection w:val="lrTb"/>
            <w:noWrap w:val="false"/>
          </w:tcPr>
          <w:p>
            <w:pPr>
              <w:jc w:val="center"/>
              <w:rPr>
                <w:sz w:val="20"/>
                <w:szCs w:val="20"/>
              </w:rPr>
            </w:pPr>
            <w:r>
              <w:rPr>
                <w:sz w:val="20"/>
                <w:szCs w:val="20"/>
              </w:rPr>
              <w:t xml:space="preserve">2029-2039</w:t>
            </w:r>
            <w:r>
              <w:rPr>
                <w:sz w:val="20"/>
                <w:szCs w:val="20"/>
              </w:rPr>
            </w:r>
            <w:r>
              <w:rPr>
                <w:sz w:val="20"/>
                <w:szCs w:val="20"/>
              </w:rPr>
            </w:r>
          </w:p>
        </w:tc>
      </w:tr>
      <w:tr>
        <w:tblPrEx/>
        <w:trPr>
          <w:trHeight w:val="20"/>
        </w:trPr>
        <w:tc>
          <w:tcPr>
            <w:gridSpan w:val="3"/>
            <w:tcW w:w="2388" w:type="pct"/>
            <w:vAlign w:val="center"/>
            <w:textDirection w:val="lrTb"/>
            <w:noWrap w:val="false"/>
          </w:tcPr>
          <w:p>
            <w:pPr>
              <w:jc w:val="center"/>
              <w:rPr>
                <w:sz w:val="20"/>
                <w:szCs w:val="20"/>
              </w:rPr>
            </w:pPr>
            <w:r>
              <w:rPr>
                <w:sz w:val="20"/>
                <w:szCs w:val="20"/>
              </w:rPr>
              <w:t xml:space="preserve">Тип топлива</w:t>
            </w:r>
            <w:r>
              <w:rPr>
                <w:sz w:val="20"/>
                <w:szCs w:val="20"/>
              </w:rPr>
            </w:r>
            <w:r>
              <w:rPr>
                <w:sz w:val="20"/>
                <w:szCs w:val="20"/>
              </w:rPr>
            </w:r>
          </w:p>
        </w:tc>
        <w:tc>
          <w:tcPr>
            <w:gridSpan w:val="6"/>
            <w:shd w:val="clear" w:color="auto" w:fill="auto"/>
            <w:tcW w:w="2612" w:type="pct"/>
            <w:vAlign w:val="center"/>
            <w:textDirection w:val="lrTb"/>
            <w:noWrap w:val="false"/>
          </w:tcPr>
          <w:p>
            <w:pPr>
              <w:jc w:val="center"/>
              <w:rPr>
                <w:sz w:val="20"/>
                <w:szCs w:val="20"/>
              </w:rPr>
            </w:pPr>
            <w:r>
              <w:rPr>
                <w:sz w:val="20"/>
              </w:rPr>
              <w:t xml:space="preserve">Газ,</w:t>
            </w:r>
            <w:r>
              <w:rPr>
                <w:spacing w:val="-6"/>
                <w:sz w:val="20"/>
              </w:rPr>
              <w:t xml:space="preserve"> </w:t>
            </w:r>
            <w:r>
              <w:rPr>
                <w:spacing w:val="-2"/>
                <w:sz w:val="20"/>
              </w:rPr>
              <w:t xml:space="preserve">тыс.м</w:t>
            </w:r>
            <w:r>
              <w:rPr>
                <w:spacing w:val="-2"/>
                <w:sz w:val="20"/>
                <w:vertAlign w:val="superscript"/>
              </w:rPr>
              <w:t xml:space="preserve">3</w:t>
            </w:r>
            <w:r>
              <w:rPr>
                <w:sz w:val="20"/>
                <w:szCs w:val="20"/>
              </w:rPr>
            </w:r>
            <w:r>
              <w:rPr>
                <w:sz w:val="20"/>
                <w:szCs w:val="20"/>
              </w:rPr>
            </w:r>
          </w:p>
        </w:tc>
      </w:tr>
      <w:tr>
        <w:tblPrEx/>
        <w:trPr>
          <w:trHeight w:val="20"/>
        </w:trPr>
        <w:tc>
          <w:tcPr>
            <w:tcW w:w="945" w:type="pct"/>
            <w:vAlign w:val="center"/>
            <w:vMerge w:val="restart"/>
            <w:textDirection w:val="lrTb"/>
            <w:noWrap w:val="false"/>
          </w:tcPr>
          <w:p>
            <w:pPr>
              <w:jc w:val="center"/>
              <w:rPr>
                <w:sz w:val="20"/>
                <w:szCs w:val="20"/>
              </w:rPr>
            </w:pPr>
            <w:r>
              <w:rPr>
                <w:color w:val="000000"/>
                <w:sz w:val="20"/>
                <w:szCs w:val="20"/>
              </w:rPr>
              <w:t xml:space="preserve">Котельная </w:t>
            </w:r>
            <w:r>
              <w:rPr>
                <w:rFonts w:ascii="Liberation Serif" w:hAnsi="Liberation Serif" w:cs="Calibri"/>
                <w:color w:val="000000"/>
                <w:sz w:val="20"/>
                <w:szCs w:val="20"/>
              </w:rPr>
              <w:t xml:space="preserve">п. Новый Мир, ЛПДС «Юргамыш»</w:t>
            </w:r>
            <w:r>
              <w:rPr>
                <w:sz w:val="20"/>
                <w:szCs w:val="20"/>
              </w:rPr>
            </w:r>
            <w:r>
              <w:rPr>
                <w:sz w:val="20"/>
                <w:szCs w:val="20"/>
              </w:rPr>
            </w:r>
          </w:p>
        </w:tc>
        <w:tc>
          <w:tcPr>
            <w:tcW w:w="767" w:type="pct"/>
            <w:vAlign w:val="center"/>
            <w:vMerge w:val="restart"/>
            <w:textDirection w:val="lrTb"/>
            <w:noWrap w:val="false"/>
          </w:tcPr>
          <w:p>
            <w:pPr>
              <w:jc w:val="center"/>
              <w:rPr>
                <w:sz w:val="20"/>
                <w:szCs w:val="20"/>
              </w:rPr>
            </w:pPr>
            <w:r>
              <w:rPr>
                <w:sz w:val="20"/>
                <w:szCs w:val="20"/>
              </w:rPr>
              <w:t xml:space="preserve">максимальный часовой</w:t>
            </w:r>
            <w:r>
              <w:rPr>
                <w:sz w:val="20"/>
                <w:szCs w:val="20"/>
              </w:rPr>
            </w:r>
            <w:r>
              <w:rPr>
                <w:sz w:val="20"/>
                <w:szCs w:val="20"/>
              </w:rPr>
            </w:r>
          </w:p>
        </w:tc>
        <w:tc>
          <w:tcPr>
            <w:tcW w:w="676" w:type="pct"/>
            <w:vAlign w:val="center"/>
            <w:textDirection w:val="lrTb"/>
            <w:noWrap w:val="false"/>
          </w:tcPr>
          <w:p>
            <w:pPr>
              <w:rPr>
                <w:sz w:val="20"/>
                <w:szCs w:val="20"/>
              </w:rPr>
            </w:pPr>
            <w:r>
              <w:rPr>
                <w:sz w:val="20"/>
                <w:szCs w:val="20"/>
              </w:rPr>
              <w:t xml:space="preserve">зимний</w:t>
            </w:r>
            <w:r>
              <w:rPr>
                <w:sz w:val="20"/>
                <w:szCs w:val="20"/>
              </w:rPr>
            </w:r>
            <w:r>
              <w:rPr>
                <w:sz w:val="20"/>
                <w:szCs w:val="20"/>
              </w:rPr>
            </w:r>
          </w:p>
        </w:tc>
        <w:tc>
          <w:tcPr>
            <w:shd w:val="clear" w:color="auto" w:fill="auto"/>
            <w:tcW w:w="434" w:type="pct"/>
            <w:vAlign w:val="center"/>
            <w:textDirection w:val="lrTb"/>
            <w:noWrap w:val="false"/>
          </w:tcPr>
          <w:p>
            <w:pPr>
              <w:jc w:val="center"/>
              <w:rPr>
                <w:bCs/>
                <w:sz w:val="20"/>
                <w:szCs w:val="20"/>
              </w:rPr>
            </w:pPr>
            <w:r>
              <w:rPr>
                <w:bCs/>
                <w:sz w:val="20"/>
                <w:szCs w:val="20"/>
              </w:rPr>
              <w:t xml:space="preserve">-</w:t>
            </w:r>
            <w:r>
              <w:rPr>
                <w:bCs/>
                <w:sz w:val="20"/>
                <w:szCs w:val="20"/>
              </w:rPr>
            </w:r>
            <w:r>
              <w:rPr>
                <w:bCs/>
                <w:sz w:val="20"/>
                <w:szCs w:val="20"/>
              </w:rPr>
            </w:r>
          </w:p>
        </w:tc>
        <w:tc>
          <w:tcPr>
            <w:shd w:val="clear" w:color="auto" w:fill="auto"/>
            <w:tcW w:w="434" w:type="pct"/>
            <w:vAlign w:val="center"/>
            <w:textDirection w:val="lrTb"/>
            <w:noWrap w:val="false"/>
          </w:tcPr>
          <w:p>
            <w:pPr>
              <w:jc w:val="center"/>
              <w:rPr>
                <w:bCs/>
                <w:sz w:val="20"/>
                <w:szCs w:val="20"/>
              </w:rPr>
            </w:pPr>
            <w:r>
              <w:rPr>
                <w:bCs/>
                <w:sz w:val="20"/>
                <w:szCs w:val="20"/>
              </w:rPr>
              <w:t xml:space="preserve">-</w:t>
            </w:r>
            <w:r>
              <w:rPr>
                <w:bCs/>
                <w:sz w:val="20"/>
                <w:szCs w:val="20"/>
              </w:rPr>
            </w:r>
            <w:r>
              <w:rPr>
                <w:bCs/>
                <w:sz w:val="20"/>
                <w:szCs w:val="20"/>
              </w:rPr>
            </w:r>
          </w:p>
        </w:tc>
        <w:tc>
          <w:tcPr>
            <w:shd w:val="clear" w:color="auto" w:fill="auto"/>
            <w:tcW w:w="434" w:type="pct"/>
            <w:vAlign w:val="center"/>
            <w:textDirection w:val="lrTb"/>
            <w:noWrap w:val="false"/>
          </w:tcPr>
          <w:p>
            <w:pPr>
              <w:jc w:val="center"/>
              <w:rPr>
                <w:bCs/>
                <w:sz w:val="20"/>
                <w:szCs w:val="20"/>
              </w:rPr>
            </w:pPr>
            <w:r>
              <w:rPr>
                <w:bCs/>
                <w:sz w:val="20"/>
                <w:szCs w:val="20"/>
              </w:rPr>
              <w:t xml:space="preserve">-</w:t>
            </w:r>
            <w:r>
              <w:rPr>
                <w:bCs/>
                <w:sz w:val="20"/>
                <w:szCs w:val="20"/>
              </w:rPr>
            </w:r>
            <w:r>
              <w:rPr>
                <w:bCs/>
                <w:sz w:val="20"/>
                <w:szCs w:val="20"/>
              </w:rPr>
            </w:r>
          </w:p>
        </w:tc>
        <w:tc>
          <w:tcPr>
            <w:shd w:val="clear" w:color="auto" w:fill="auto"/>
            <w:tcW w:w="434" w:type="pct"/>
            <w:vAlign w:val="center"/>
            <w:textDirection w:val="lrTb"/>
            <w:noWrap w:val="false"/>
          </w:tcPr>
          <w:p>
            <w:pPr>
              <w:jc w:val="center"/>
              <w:rPr>
                <w:bCs/>
                <w:sz w:val="20"/>
                <w:szCs w:val="20"/>
              </w:rPr>
            </w:pPr>
            <w:r>
              <w:rPr>
                <w:bCs/>
                <w:sz w:val="20"/>
                <w:szCs w:val="20"/>
              </w:rPr>
              <w:t xml:space="preserve">-</w:t>
            </w:r>
            <w:r>
              <w:rPr>
                <w:bCs/>
                <w:sz w:val="20"/>
                <w:szCs w:val="20"/>
              </w:rPr>
            </w:r>
            <w:r>
              <w:rPr>
                <w:bCs/>
                <w:sz w:val="20"/>
                <w:szCs w:val="20"/>
              </w:rPr>
            </w:r>
          </w:p>
        </w:tc>
        <w:tc>
          <w:tcPr>
            <w:shd w:val="clear" w:color="auto" w:fill="auto"/>
            <w:tcW w:w="434" w:type="pct"/>
            <w:vAlign w:val="center"/>
            <w:textDirection w:val="lrTb"/>
            <w:noWrap w:val="false"/>
          </w:tcPr>
          <w:p>
            <w:pPr>
              <w:jc w:val="center"/>
              <w:rPr>
                <w:bCs/>
                <w:sz w:val="20"/>
                <w:szCs w:val="20"/>
              </w:rPr>
            </w:pPr>
            <w:r>
              <w:rPr>
                <w:bCs/>
                <w:sz w:val="20"/>
                <w:szCs w:val="20"/>
              </w:rPr>
              <w:t xml:space="preserve">-</w:t>
            </w:r>
            <w:r>
              <w:rPr>
                <w:bCs/>
                <w:sz w:val="20"/>
                <w:szCs w:val="20"/>
              </w:rPr>
            </w:r>
            <w:r>
              <w:rPr>
                <w:bCs/>
                <w:sz w:val="20"/>
                <w:szCs w:val="20"/>
              </w:rPr>
            </w:r>
          </w:p>
        </w:tc>
        <w:tc>
          <w:tcPr>
            <w:shd w:val="clear" w:color="auto" w:fill="auto"/>
            <w:tcW w:w="443" w:type="pct"/>
            <w:vAlign w:val="center"/>
            <w:textDirection w:val="lrTb"/>
            <w:noWrap w:val="false"/>
          </w:tcPr>
          <w:p>
            <w:pPr>
              <w:jc w:val="center"/>
              <w:rPr>
                <w:bCs/>
                <w:sz w:val="20"/>
                <w:szCs w:val="20"/>
              </w:rPr>
            </w:pPr>
            <w:r>
              <w:rPr>
                <w:bCs/>
                <w:sz w:val="20"/>
                <w:szCs w:val="20"/>
              </w:rPr>
              <w:t xml:space="preserve">-</w:t>
            </w:r>
            <w:r>
              <w:rPr>
                <w:bCs/>
                <w:sz w:val="20"/>
                <w:szCs w:val="20"/>
              </w:rPr>
            </w:r>
            <w:r>
              <w:rPr>
                <w:bCs/>
                <w:sz w:val="20"/>
                <w:szCs w:val="20"/>
              </w:rPr>
            </w:r>
          </w:p>
        </w:tc>
      </w:tr>
      <w:tr>
        <w:tblPrEx/>
        <w:trPr>
          <w:trHeight w:val="20"/>
        </w:trPr>
        <w:tc>
          <w:tcPr>
            <w:tcW w:w="945" w:type="pct"/>
            <w:vAlign w:val="center"/>
            <w:vMerge w:val="continue"/>
            <w:textDirection w:val="lrTb"/>
            <w:noWrap w:val="false"/>
          </w:tcPr>
          <w:p>
            <w:pPr>
              <w:rPr>
                <w:sz w:val="20"/>
                <w:szCs w:val="20"/>
              </w:rPr>
            </w:pPr>
            <w:r>
              <w:rPr>
                <w:sz w:val="20"/>
                <w:szCs w:val="20"/>
              </w:rPr>
            </w:r>
            <w:r>
              <w:rPr>
                <w:sz w:val="20"/>
                <w:szCs w:val="20"/>
              </w:rPr>
            </w:r>
            <w:r>
              <w:rPr>
                <w:sz w:val="20"/>
                <w:szCs w:val="20"/>
              </w:rPr>
            </w:r>
          </w:p>
        </w:tc>
        <w:tc>
          <w:tcPr>
            <w:tcW w:w="767" w:type="pct"/>
            <w:vAlign w:val="center"/>
            <w:vMerge w:val="continue"/>
            <w:textDirection w:val="lrTb"/>
            <w:noWrap w:val="false"/>
          </w:tcPr>
          <w:p>
            <w:pPr>
              <w:rPr>
                <w:sz w:val="20"/>
                <w:szCs w:val="20"/>
              </w:rPr>
            </w:pPr>
            <w:r>
              <w:rPr>
                <w:sz w:val="20"/>
                <w:szCs w:val="20"/>
              </w:rPr>
            </w:r>
            <w:r>
              <w:rPr>
                <w:sz w:val="20"/>
                <w:szCs w:val="20"/>
              </w:rPr>
            </w:r>
            <w:r>
              <w:rPr>
                <w:sz w:val="20"/>
                <w:szCs w:val="20"/>
              </w:rPr>
            </w:r>
          </w:p>
        </w:tc>
        <w:tc>
          <w:tcPr>
            <w:tcW w:w="676" w:type="pct"/>
            <w:vAlign w:val="center"/>
            <w:textDirection w:val="lrTb"/>
            <w:noWrap w:val="false"/>
          </w:tcPr>
          <w:p>
            <w:pPr>
              <w:rPr>
                <w:sz w:val="20"/>
                <w:szCs w:val="20"/>
              </w:rPr>
            </w:pPr>
            <w:r>
              <w:rPr>
                <w:sz w:val="20"/>
                <w:szCs w:val="20"/>
              </w:rPr>
              <w:t xml:space="preserve">летний</w:t>
            </w:r>
            <w:r>
              <w:rPr>
                <w:sz w:val="20"/>
                <w:szCs w:val="20"/>
              </w:rPr>
            </w:r>
            <w:r>
              <w:rPr>
                <w:sz w:val="20"/>
                <w:szCs w:val="20"/>
              </w:rPr>
            </w:r>
          </w:p>
        </w:tc>
        <w:tc>
          <w:tcPr>
            <w:shd w:val="clear" w:color="auto" w:fill="auto"/>
            <w:tcW w:w="434"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c>
          <w:tcPr>
            <w:shd w:val="clear" w:color="auto" w:fill="auto"/>
            <w:tcW w:w="434"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c>
          <w:tcPr>
            <w:shd w:val="clear" w:color="auto" w:fill="auto"/>
            <w:tcW w:w="434"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c>
          <w:tcPr>
            <w:shd w:val="clear" w:color="auto" w:fill="auto"/>
            <w:tcW w:w="434"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c>
          <w:tcPr>
            <w:shd w:val="clear" w:color="auto" w:fill="auto"/>
            <w:tcW w:w="434"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c>
          <w:tcPr>
            <w:shd w:val="clear" w:color="auto" w:fill="auto"/>
            <w:tcW w:w="443"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r>
      <w:tr>
        <w:tblPrEx/>
        <w:trPr>
          <w:trHeight w:val="20"/>
        </w:trPr>
        <w:tc>
          <w:tcPr>
            <w:tcW w:w="945" w:type="pct"/>
            <w:vAlign w:val="center"/>
            <w:vMerge w:val="continue"/>
            <w:textDirection w:val="lrTb"/>
            <w:noWrap w:val="false"/>
          </w:tcPr>
          <w:p>
            <w:pPr>
              <w:rPr>
                <w:sz w:val="20"/>
                <w:szCs w:val="20"/>
              </w:rPr>
            </w:pPr>
            <w:r>
              <w:rPr>
                <w:sz w:val="20"/>
                <w:szCs w:val="20"/>
              </w:rPr>
            </w:r>
            <w:r>
              <w:rPr>
                <w:sz w:val="20"/>
                <w:szCs w:val="20"/>
              </w:rPr>
            </w:r>
            <w:r>
              <w:rPr>
                <w:sz w:val="20"/>
                <w:szCs w:val="20"/>
              </w:rPr>
            </w:r>
          </w:p>
        </w:tc>
        <w:tc>
          <w:tcPr>
            <w:tcW w:w="767" w:type="pct"/>
            <w:vAlign w:val="center"/>
            <w:vMerge w:val="continue"/>
            <w:textDirection w:val="lrTb"/>
            <w:noWrap w:val="false"/>
          </w:tcPr>
          <w:p>
            <w:pPr>
              <w:rPr>
                <w:sz w:val="20"/>
                <w:szCs w:val="20"/>
              </w:rPr>
            </w:pPr>
            <w:r>
              <w:rPr>
                <w:sz w:val="20"/>
                <w:szCs w:val="20"/>
              </w:rPr>
            </w:r>
            <w:r>
              <w:rPr>
                <w:sz w:val="20"/>
                <w:szCs w:val="20"/>
              </w:rPr>
            </w:r>
            <w:r>
              <w:rPr>
                <w:sz w:val="20"/>
                <w:szCs w:val="20"/>
              </w:rPr>
            </w:r>
          </w:p>
        </w:tc>
        <w:tc>
          <w:tcPr>
            <w:tcW w:w="676" w:type="pct"/>
            <w:vAlign w:val="center"/>
            <w:textDirection w:val="lrTb"/>
            <w:noWrap w:val="false"/>
          </w:tcPr>
          <w:p>
            <w:pPr>
              <w:rPr>
                <w:sz w:val="20"/>
                <w:szCs w:val="20"/>
              </w:rPr>
            </w:pPr>
            <w:r>
              <w:rPr>
                <w:sz w:val="20"/>
                <w:szCs w:val="20"/>
              </w:rPr>
              <w:t xml:space="preserve">переходной</w:t>
            </w:r>
            <w:r>
              <w:rPr>
                <w:sz w:val="20"/>
                <w:szCs w:val="20"/>
              </w:rPr>
            </w:r>
            <w:r>
              <w:rPr>
                <w:sz w:val="20"/>
                <w:szCs w:val="20"/>
              </w:rPr>
            </w:r>
          </w:p>
        </w:tc>
        <w:tc>
          <w:tcPr>
            <w:shd w:val="clear" w:color="auto" w:fill="auto"/>
            <w:tcW w:w="434" w:type="pct"/>
            <w:vAlign w:val="center"/>
            <w:textDirection w:val="lrTb"/>
            <w:noWrap w:val="false"/>
          </w:tcPr>
          <w:p>
            <w:pPr>
              <w:jc w:val="center"/>
              <w:rPr>
                <w:bCs/>
                <w:sz w:val="20"/>
                <w:szCs w:val="20"/>
              </w:rPr>
            </w:pPr>
            <w:r>
              <w:rPr>
                <w:bCs/>
                <w:sz w:val="20"/>
                <w:szCs w:val="20"/>
              </w:rPr>
              <w:t xml:space="preserve">-</w:t>
            </w:r>
            <w:r>
              <w:rPr>
                <w:bCs/>
                <w:sz w:val="20"/>
                <w:szCs w:val="20"/>
              </w:rPr>
            </w:r>
            <w:r>
              <w:rPr>
                <w:bCs/>
                <w:sz w:val="20"/>
                <w:szCs w:val="20"/>
              </w:rPr>
            </w:r>
          </w:p>
        </w:tc>
        <w:tc>
          <w:tcPr>
            <w:shd w:val="clear" w:color="auto" w:fill="auto"/>
            <w:tcW w:w="434" w:type="pct"/>
            <w:vAlign w:val="center"/>
            <w:textDirection w:val="lrTb"/>
            <w:noWrap w:val="false"/>
          </w:tcPr>
          <w:p>
            <w:pPr>
              <w:jc w:val="center"/>
              <w:rPr>
                <w:bCs/>
                <w:sz w:val="20"/>
                <w:szCs w:val="20"/>
              </w:rPr>
            </w:pPr>
            <w:r>
              <w:rPr>
                <w:bCs/>
                <w:sz w:val="20"/>
                <w:szCs w:val="20"/>
              </w:rPr>
              <w:t xml:space="preserve">-</w:t>
            </w:r>
            <w:r>
              <w:rPr>
                <w:bCs/>
                <w:sz w:val="20"/>
                <w:szCs w:val="20"/>
              </w:rPr>
            </w:r>
            <w:r>
              <w:rPr>
                <w:bCs/>
                <w:sz w:val="20"/>
                <w:szCs w:val="20"/>
              </w:rPr>
            </w:r>
          </w:p>
        </w:tc>
        <w:tc>
          <w:tcPr>
            <w:shd w:val="clear" w:color="auto" w:fill="auto"/>
            <w:tcW w:w="434" w:type="pct"/>
            <w:vAlign w:val="center"/>
            <w:textDirection w:val="lrTb"/>
            <w:noWrap w:val="false"/>
          </w:tcPr>
          <w:p>
            <w:pPr>
              <w:jc w:val="center"/>
              <w:rPr>
                <w:bCs/>
                <w:sz w:val="20"/>
                <w:szCs w:val="20"/>
              </w:rPr>
            </w:pPr>
            <w:r>
              <w:rPr>
                <w:bCs/>
                <w:sz w:val="20"/>
                <w:szCs w:val="20"/>
              </w:rPr>
              <w:t xml:space="preserve">-</w:t>
            </w:r>
            <w:r>
              <w:rPr>
                <w:bCs/>
                <w:sz w:val="20"/>
                <w:szCs w:val="20"/>
              </w:rPr>
            </w:r>
            <w:r>
              <w:rPr>
                <w:bCs/>
                <w:sz w:val="20"/>
                <w:szCs w:val="20"/>
              </w:rPr>
            </w:r>
          </w:p>
        </w:tc>
        <w:tc>
          <w:tcPr>
            <w:shd w:val="clear" w:color="auto" w:fill="auto"/>
            <w:tcW w:w="434" w:type="pct"/>
            <w:vAlign w:val="center"/>
            <w:textDirection w:val="lrTb"/>
            <w:noWrap w:val="false"/>
          </w:tcPr>
          <w:p>
            <w:pPr>
              <w:jc w:val="center"/>
              <w:rPr>
                <w:bCs/>
                <w:sz w:val="20"/>
                <w:szCs w:val="20"/>
              </w:rPr>
            </w:pPr>
            <w:r>
              <w:rPr>
                <w:bCs/>
                <w:sz w:val="20"/>
                <w:szCs w:val="20"/>
              </w:rPr>
              <w:t xml:space="preserve">-</w:t>
            </w:r>
            <w:r>
              <w:rPr>
                <w:bCs/>
                <w:sz w:val="20"/>
                <w:szCs w:val="20"/>
              </w:rPr>
            </w:r>
            <w:r>
              <w:rPr>
                <w:bCs/>
                <w:sz w:val="20"/>
                <w:szCs w:val="20"/>
              </w:rPr>
            </w:r>
          </w:p>
        </w:tc>
        <w:tc>
          <w:tcPr>
            <w:shd w:val="clear" w:color="auto" w:fill="auto"/>
            <w:tcW w:w="434" w:type="pct"/>
            <w:vAlign w:val="center"/>
            <w:textDirection w:val="lrTb"/>
            <w:noWrap w:val="false"/>
          </w:tcPr>
          <w:p>
            <w:pPr>
              <w:jc w:val="center"/>
              <w:rPr>
                <w:bCs/>
                <w:sz w:val="20"/>
                <w:szCs w:val="20"/>
              </w:rPr>
            </w:pPr>
            <w:r>
              <w:rPr>
                <w:bCs/>
                <w:sz w:val="20"/>
                <w:szCs w:val="20"/>
              </w:rPr>
              <w:t xml:space="preserve">-</w:t>
            </w:r>
            <w:r>
              <w:rPr>
                <w:bCs/>
                <w:sz w:val="20"/>
                <w:szCs w:val="20"/>
              </w:rPr>
            </w:r>
            <w:r>
              <w:rPr>
                <w:bCs/>
                <w:sz w:val="20"/>
                <w:szCs w:val="20"/>
              </w:rPr>
            </w:r>
          </w:p>
        </w:tc>
        <w:tc>
          <w:tcPr>
            <w:shd w:val="clear" w:color="auto" w:fill="auto"/>
            <w:tcW w:w="443" w:type="pct"/>
            <w:vAlign w:val="center"/>
            <w:textDirection w:val="lrTb"/>
            <w:noWrap w:val="false"/>
          </w:tcPr>
          <w:p>
            <w:pPr>
              <w:jc w:val="center"/>
              <w:rPr>
                <w:bCs/>
                <w:sz w:val="20"/>
                <w:szCs w:val="20"/>
              </w:rPr>
            </w:pPr>
            <w:r>
              <w:rPr>
                <w:bCs/>
                <w:sz w:val="20"/>
                <w:szCs w:val="20"/>
              </w:rPr>
              <w:t xml:space="preserve">-</w:t>
            </w:r>
            <w:r>
              <w:rPr>
                <w:bCs/>
                <w:sz w:val="20"/>
                <w:szCs w:val="20"/>
              </w:rPr>
            </w:r>
            <w:r>
              <w:rPr>
                <w:bCs/>
                <w:sz w:val="20"/>
                <w:szCs w:val="20"/>
              </w:rPr>
            </w:r>
          </w:p>
        </w:tc>
      </w:tr>
      <w:tr>
        <w:tblPrEx/>
        <w:trPr>
          <w:trHeight w:val="230"/>
        </w:trPr>
        <w:tc>
          <w:tcPr>
            <w:tcW w:w="945" w:type="pct"/>
            <w:vAlign w:val="center"/>
            <w:vMerge w:val="continue"/>
            <w:textDirection w:val="lrTb"/>
            <w:noWrap w:val="false"/>
          </w:tcPr>
          <w:p>
            <w:pPr>
              <w:rPr>
                <w:sz w:val="20"/>
                <w:szCs w:val="20"/>
              </w:rPr>
            </w:pPr>
            <w:r>
              <w:rPr>
                <w:sz w:val="20"/>
                <w:szCs w:val="20"/>
              </w:rPr>
            </w:r>
            <w:r>
              <w:rPr>
                <w:sz w:val="20"/>
                <w:szCs w:val="20"/>
              </w:rPr>
            </w:r>
            <w:r>
              <w:rPr>
                <w:sz w:val="20"/>
                <w:szCs w:val="20"/>
              </w:rPr>
            </w:r>
          </w:p>
        </w:tc>
        <w:tc>
          <w:tcPr>
            <w:tcW w:w="767" w:type="pct"/>
            <w:vAlign w:val="center"/>
            <w:vMerge w:val="restart"/>
            <w:textDirection w:val="lrTb"/>
            <w:noWrap w:val="false"/>
          </w:tcPr>
          <w:p>
            <w:pPr>
              <w:jc w:val="center"/>
              <w:rPr>
                <w:sz w:val="20"/>
                <w:szCs w:val="20"/>
              </w:rPr>
            </w:pPr>
            <w:r>
              <w:rPr>
                <w:sz w:val="20"/>
                <w:szCs w:val="20"/>
              </w:rPr>
              <w:t xml:space="preserve">годовой</w:t>
            </w:r>
            <w:r>
              <w:rPr>
                <w:sz w:val="20"/>
                <w:szCs w:val="20"/>
              </w:rPr>
            </w:r>
            <w:r>
              <w:rPr>
                <w:sz w:val="20"/>
                <w:szCs w:val="20"/>
              </w:rPr>
            </w:r>
          </w:p>
        </w:tc>
        <w:tc>
          <w:tcPr>
            <w:tcW w:w="676" w:type="pct"/>
            <w:vAlign w:val="center"/>
            <w:textDirection w:val="lrTb"/>
            <w:noWrap w:val="false"/>
          </w:tcPr>
          <w:p>
            <w:pPr>
              <w:rPr>
                <w:sz w:val="20"/>
                <w:szCs w:val="20"/>
              </w:rPr>
            </w:pPr>
            <w:r>
              <w:rPr>
                <w:sz w:val="20"/>
                <w:szCs w:val="20"/>
              </w:rPr>
              <w:t xml:space="preserve">зимний</w:t>
            </w:r>
            <w:r>
              <w:rPr>
                <w:sz w:val="20"/>
                <w:szCs w:val="20"/>
              </w:rPr>
            </w:r>
            <w:r>
              <w:rPr>
                <w:sz w:val="20"/>
                <w:szCs w:val="20"/>
              </w:rPr>
            </w:r>
          </w:p>
        </w:tc>
        <w:tc>
          <w:tcPr>
            <w:shd w:val="clear" w:color="auto" w:fill="auto"/>
            <w:tcW w:w="434" w:type="pct"/>
            <w:vAlign w:val="center"/>
            <w:textDirection w:val="lrTb"/>
            <w:noWrap w:val="false"/>
          </w:tcPr>
          <w:p>
            <w:pPr>
              <w:jc w:val="center"/>
              <w:rPr>
                <w:bCs/>
                <w:sz w:val="20"/>
                <w:szCs w:val="20"/>
              </w:rPr>
            </w:pPr>
            <w:r>
              <w:rPr>
                <w:bCs/>
                <w:sz w:val="20"/>
                <w:szCs w:val="20"/>
              </w:rPr>
              <w:t xml:space="preserve">-</w:t>
            </w:r>
            <w:r>
              <w:rPr>
                <w:bCs/>
                <w:sz w:val="20"/>
                <w:szCs w:val="20"/>
              </w:rPr>
            </w:r>
            <w:r>
              <w:rPr>
                <w:bCs/>
                <w:sz w:val="20"/>
                <w:szCs w:val="20"/>
              </w:rPr>
            </w:r>
          </w:p>
        </w:tc>
        <w:tc>
          <w:tcPr>
            <w:shd w:val="clear" w:color="auto" w:fill="auto"/>
            <w:tcW w:w="434" w:type="pct"/>
            <w:vAlign w:val="center"/>
            <w:textDirection w:val="lrTb"/>
            <w:noWrap w:val="false"/>
          </w:tcPr>
          <w:p>
            <w:pPr>
              <w:jc w:val="center"/>
              <w:rPr>
                <w:bCs/>
                <w:sz w:val="20"/>
                <w:szCs w:val="20"/>
              </w:rPr>
            </w:pPr>
            <w:r>
              <w:rPr>
                <w:bCs/>
                <w:sz w:val="20"/>
                <w:szCs w:val="20"/>
              </w:rPr>
              <w:t xml:space="preserve">-</w:t>
            </w:r>
            <w:r>
              <w:rPr>
                <w:bCs/>
                <w:sz w:val="20"/>
                <w:szCs w:val="20"/>
              </w:rPr>
            </w:r>
            <w:r>
              <w:rPr>
                <w:bCs/>
                <w:sz w:val="20"/>
                <w:szCs w:val="20"/>
              </w:rPr>
            </w:r>
          </w:p>
        </w:tc>
        <w:tc>
          <w:tcPr>
            <w:shd w:val="clear" w:color="auto" w:fill="auto"/>
            <w:tcW w:w="434" w:type="pct"/>
            <w:vAlign w:val="center"/>
            <w:textDirection w:val="lrTb"/>
            <w:noWrap w:val="false"/>
          </w:tcPr>
          <w:p>
            <w:pPr>
              <w:jc w:val="center"/>
              <w:rPr>
                <w:bCs/>
                <w:sz w:val="20"/>
                <w:szCs w:val="20"/>
              </w:rPr>
            </w:pPr>
            <w:r>
              <w:rPr>
                <w:bCs/>
                <w:sz w:val="20"/>
                <w:szCs w:val="20"/>
              </w:rPr>
              <w:t xml:space="preserve">-</w:t>
            </w:r>
            <w:r>
              <w:rPr>
                <w:bCs/>
                <w:sz w:val="20"/>
                <w:szCs w:val="20"/>
              </w:rPr>
            </w:r>
            <w:r>
              <w:rPr>
                <w:bCs/>
                <w:sz w:val="20"/>
                <w:szCs w:val="20"/>
              </w:rPr>
            </w:r>
          </w:p>
        </w:tc>
        <w:tc>
          <w:tcPr>
            <w:shd w:val="clear" w:color="auto" w:fill="auto"/>
            <w:tcW w:w="434" w:type="pct"/>
            <w:vAlign w:val="center"/>
            <w:textDirection w:val="lrTb"/>
            <w:noWrap w:val="false"/>
          </w:tcPr>
          <w:p>
            <w:pPr>
              <w:jc w:val="center"/>
              <w:rPr>
                <w:bCs/>
                <w:sz w:val="20"/>
                <w:szCs w:val="20"/>
              </w:rPr>
            </w:pPr>
            <w:r>
              <w:rPr>
                <w:bCs/>
                <w:sz w:val="20"/>
                <w:szCs w:val="20"/>
              </w:rPr>
              <w:t xml:space="preserve">-</w:t>
            </w:r>
            <w:r>
              <w:rPr>
                <w:bCs/>
                <w:sz w:val="20"/>
                <w:szCs w:val="20"/>
              </w:rPr>
            </w:r>
            <w:r>
              <w:rPr>
                <w:bCs/>
                <w:sz w:val="20"/>
                <w:szCs w:val="20"/>
              </w:rPr>
            </w:r>
          </w:p>
        </w:tc>
        <w:tc>
          <w:tcPr>
            <w:shd w:val="clear" w:color="auto" w:fill="auto"/>
            <w:tcW w:w="434" w:type="pct"/>
            <w:vAlign w:val="center"/>
            <w:textDirection w:val="lrTb"/>
            <w:noWrap w:val="false"/>
          </w:tcPr>
          <w:p>
            <w:pPr>
              <w:jc w:val="center"/>
              <w:rPr>
                <w:bCs/>
                <w:sz w:val="20"/>
                <w:szCs w:val="20"/>
              </w:rPr>
            </w:pPr>
            <w:r>
              <w:rPr>
                <w:bCs/>
                <w:sz w:val="20"/>
                <w:szCs w:val="20"/>
              </w:rPr>
              <w:t xml:space="preserve">-</w:t>
            </w:r>
            <w:r>
              <w:rPr>
                <w:bCs/>
                <w:sz w:val="20"/>
                <w:szCs w:val="20"/>
              </w:rPr>
            </w:r>
            <w:r>
              <w:rPr>
                <w:bCs/>
                <w:sz w:val="20"/>
                <w:szCs w:val="20"/>
              </w:rPr>
            </w:r>
          </w:p>
        </w:tc>
        <w:tc>
          <w:tcPr>
            <w:shd w:val="clear" w:color="auto" w:fill="auto"/>
            <w:tcW w:w="443" w:type="pct"/>
            <w:vAlign w:val="center"/>
            <w:textDirection w:val="lrTb"/>
            <w:noWrap w:val="false"/>
          </w:tcPr>
          <w:p>
            <w:pPr>
              <w:jc w:val="center"/>
              <w:rPr>
                <w:bCs/>
                <w:sz w:val="20"/>
                <w:szCs w:val="20"/>
              </w:rPr>
            </w:pPr>
            <w:r>
              <w:rPr>
                <w:bCs/>
                <w:sz w:val="20"/>
                <w:szCs w:val="20"/>
              </w:rPr>
              <w:t xml:space="preserve">-</w:t>
            </w:r>
            <w:r>
              <w:rPr>
                <w:bCs/>
                <w:sz w:val="20"/>
                <w:szCs w:val="20"/>
              </w:rPr>
            </w:r>
            <w:r>
              <w:rPr>
                <w:bCs/>
                <w:sz w:val="20"/>
                <w:szCs w:val="20"/>
              </w:rPr>
            </w:r>
          </w:p>
        </w:tc>
      </w:tr>
      <w:tr>
        <w:tblPrEx/>
        <w:trPr>
          <w:trHeight w:val="20"/>
        </w:trPr>
        <w:tc>
          <w:tcPr>
            <w:tcW w:w="945" w:type="pct"/>
            <w:vAlign w:val="center"/>
            <w:vMerge w:val="continue"/>
            <w:textDirection w:val="lrTb"/>
            <w:noWrap w:val="false"/>
          </w:tcPr>
          <w:p>
            <w:pPr>
              <w:rPr>
                <w:sz w:val="20"/>
                <w:szCs w:val="20"/>
              </w:rPr>
            </w:pPr>
            <w:r>
              <w:rPr>
                <w:sz w:val="20"/>
                <w:szCs w:val="20"/>
              </w:rPr>
            </w:r>
            <w:r>
              <w:rPr>
                <w:sz w:val="20"/>
                <w:szCs w:val="20"/>
              </w:rPr>
            </w:r>
            <w:r>
              <w:rPr>
                <w:sz w:val="20"/>
                <w:szCs w:val="20"/>
              </w:rPr>
            </w:r>
          </w:p>
        </w:tc>
        <w:tc>
          <w:tcPr>
            <w:tcW w:w="767" w:type="pct"/>
            <w:vAlign w:val="center"/>
            <w:vMerge w:val="continue"/>
            <w:textDirection w:val="lrTb"/>
            <w:noWrap w:val="false"/>
          </w:tcPr>
          <w:p>
            <w:pPr>
              <w:rPr>
                <w:sz w:val="20"/>
                <w:szCs w:val="20"/>
              </w:rPr>
            </w:pPr>
            <w:r>
              <w:rPr>
                <w:sz w:val="20"/>
                <w:szCs w:val="20"/>
              </w:rPr>
            </w:r>
            <w:r>
              <w:rPr>
                <w:sz w:val="20"/>
                <w:szCs w:val="20"/>
              </w:rPr>
            </w:r>
            <w:r>
              <w:rPr>
                <w:sz w:val="20"/>
                <w:szCs w:val="20"/>
              </w:rPr>
            </w:r>
          </w:p>
        </w:tc>
        <w:tc>
          <w:tcPr>
            <w:tcW w:w="676" w:type="pct"/>
            <w:vAlign w:val="center"/>
            <w:textDirection w:val="lrTb"/>
            <w:noWrap w:val="false"/>
          </w:tcPr>
          <w:p>
            <w:pPr>
              <w:rPr>
                <w:sz w:val="20"/>
                <w:szCs w:val="20"/>
              </w:rPr>
            </w:pPr>
            <w:r>
              <w:rPr>
                <w:sz w:val="20"/>
                <w:szCs w:val="20"/>
              </w:rPr>
              <w:t xml:space="preserve">летний</w:t>
            </w:r>
            <w:r>
              <w:rPr>
                <w:sz w:val="20"/>
                <w:szCs w:val="20"/>
              </w:rPr>
            </w:r>
            <w:r>
              <w:rPr>
                <w:sz w:val="20"/>
                <w:szCs w:val="20"/>
              </w:rPr>
            </w:r>
          </w:p>
        </w:tc>
        <w:tc>
          <w:tcPr>
            <w:shd w:val="clear" w:color="auto" w:fill="auto"/>
            <w:tcW w:w="434"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c>
          <w:tcPr>
            <w:shd w:val="clear" w:color="auto" w:fill="auto"/>
            <w:tcW w:w="434"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c>
          <w:tcPr>
            <w:shd w:val="clear" w:color="auto" w:fill="auto"/>
            <w:tcW w:w="434"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c>
          <w:tcPr>
            <w:shd w:val="clear" w:color="auto" w:fill="auto"/>
            <w:tcW w:w="434"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c>
          <w:tcPr>
            <w:shd w:val="clear" w:color="auto" w:fill="auto"/>
            <w:tcW w:w="434"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c>
          <w:tcPr>
            <w:shd w:val="clear" w:color="auto" w:fill="auto"/>
            <w:tcW w:w="443"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r>
      <w:tr>
        <w:tblPrEx/>
        <w:trPr>
          <w:trHeight w:val="20"/>
        </w:trPr>
        <w:tc>
          <w:tcPr>
            <w:tcW w:w="945" w:type="pct"/>
            <w:vAlign w:val="center"/>
            <w:vMerge w:val="continue"/>
            <w:textDirection w:val="lrTb"/>
            <w:noWrap w:val="false"/>
          </w:tcPr>
          <w:p>
            <w:pPr>
              <w:rPr>
                <w:sz w:val="20"/>
                <w:szCs w:val="20"/>
              </w:rPr>
            </w:pPr>
            <w:r>
              <w:rPr>
                <w:sz w:val="20"/>
                <w:szCs w:val="20"/>
              </w:rPr>
            </w:r>
            <w:r>
              <w:rPr>
                <w:sz w:val="20"/>
                <w:szCs w:val="20"/>
              </w:rPr>
            </w:r>
            <w:r>
              <w:rPr>
                <w:sz w:val="20"/>
                <w:szCs w:val="20"/>
              </w:rPr>
            </w:r>
          </w:p>
        </w:tc>
        <w:tc>
          <w:tcPr>
            <w:tcW w:w="767" w:type="pct"/>
            <w:vAlign w:val="center"/>
            <w:vMerge w:val="continue"/>
            <w:textDirection w:val="lrTb"/>
            <w:noWrap w:val="false"/>
          </w:tcPr>
          <w:p>
            <w:pPr>
              <w:rPr>
                <w:sz w:val="20"/>
                <w:szCs w:val="20"/>
              </w:rPr>
            </w:pPr>
            <w:r>
              <w:rPr>
                <w:sz w:val="20"/>
                <w:szCs w:val="20"/>
              </w:rPr>
            </w:r>
            <w:r>
              <w:rPr>
                <w:sz w:val="20"/>
                <w:szCs w:val="20"/>
              </w:rPr>
            </w:r>
            <w:r>
              <w:rPr>
                <w:sz w:val="20"/>
                <w:szCs w:val="20"/>
              </w:rPr>
            </w:r>
          </w:p>
        </w:tc>
        <w:tc>
          <w:tcPr>
            <w:tcW w:w="676" w:type="pct"/>
            <w:vAlign w:val="center"/>
            <w:textDirection w:val="lrTb"/>
            <w:noWrap w:val="false"/>
          </w:tcPr>
          <w:p>
            <w:pPr>
              <w:rPr>
                <w:sz w:val="20"/>
                <w:szCs w:val="20"/>
              </w:rPr>
            </w:pPr>
            <w:r>
              <w:rPr>
                <w:sz w:val="20"/>
                <w:szCs w:val="20"/>
              </w:rPr>
              <w:t xml:space="preserve">переходной</w:t>
            </w:r>
            <w:r>
              <w:rPr>
                <w:sz w:val="20"/>
                <w:szCs w:val="20"/>
              </w:rPr>
            </w:r>
            <w:r>
              <w:rPr>
                <w:sz w:val="20"/>
                <w:szCs w:val="20"/>
              </w:rPr>
            </w:r>
          </w:p>
        </w:tc>
        <w:tc>
          <w:tcPr>
            <w:shd w:val="clear" w:color="auto" w:fill="auto"/>
            <w:tcW w:w="434" w:type="pct"/>
            <w:vAlign w:val="center"/>
            <w:textDirection w:val="lrTb"/>
            <w:noWrap w:val="false"/>
          </w:tcPr>
          <w:p>
            <w:pPr>
              <w:jc w:val="center"/>
              <w:rPr>
                <w:bCs/>
                <w:sz w:val="20"/>
                <w:szCs w:val="20"/>
              </w:rPr>
            </w:pPr>
            <w:r>
              <w:rPr>
                <w:bCs/>
                <w:sz w:val="20"/>
                <w:szCs w:val="20"/>
              </w:rPr>
              <w:t xml:space="preserve">-</w:t>
            </w:r>
            <w:r>
              <w:rPr>
                <w:bCs/>
                <w:sz w:val="20"/>
                <w:szCs w:val="20"/>
              </w:rPr>
            </w:r>
            <w:r>
              <w:rPr>
                <w:bCs/>
                <w:sz w:val="20"/>
                <w:szCs w:val="20"/>
              </w:rPr>
            </w:r>
          </w:p>
        </w:tc>
        <w:tc>
          <w:tcPr>
            <w:shd w:val="clear" w:color="auto" w:fill="auto"/>
            <w:tcW w:w="434" w:type="pct"/>
            <w:vAlign w:val="center"/>
            <w:textDirection w:val="lrTb"/>
            <w:noWrap w:val="false"/>
          </w:tcPr>
          <w:p>
            <w:pPr>
              <w:jc w:val="center"/>
              <w:rPr>
                <w:bCs/>
                <w:sz w:val="20"/>
                <w:szCs w:val="20"/>
              </w:rPr>
            </w:pPr>
            <w:r>
              <w:rPr>
                <w:bCs/>
                <w:sz w:val="20"/>
                <w:szCs w:val="20"/>
              </w:rPr>
              <w:t xml:space="preserve">-</w:t>
            </w:r>
            <w:r>
              <w:rPr>
                <w:bCs/>
                <w:sz w:val="20"/>
                <w:szCs w:val="20"/>
              </w:rPr>
            </w:r>
            <w:r>
              <w:rPr>
                <w:bCs/>
                <w:sz w:val="20"/>
                <w:szCs w:val="20"/>
              </w:rPr>
            </w:r>
          </w:p>
        </w:tc>
        <w:tc>
          <w:tcPr>
            <w:shd w:val="clear" w:color="auto" w:fill="auto"/>
            <w:tcW w:w="434" w:type="pct"/>
            <w:vAlign w:val="center"/>
            <w:textDirection w:val="lrTb"/>
            <w:noWrap w:val="false"/>
          </w:tcPr>
          <w:p>
            <w:pPr>
              <w:jc w:val="center"/>
              <w:rPr>
                <w:bCs/>
                <w:sz w:val="20"/>
                <w:szCs w:val="20"/>
              </w:rPr>
            </w:pPr>
            <w:r>
              <w:rPr>
                <w:bCs/>
                <w:sz w:val="20"/>
                <w:szCs w:val="20"/>
              </w:rPr>
              <w:t xml:space="preserve">-</w:t>
            </w:r>
            <w:r>
              <w:rPr>
                <w:bCs/>
                <w:sz w:val="20"/>
                <w:szCs w:val="20"/>
              </w:rPr>
            </w:r>
            <w:r>
              <w:rPr>
                <w:bCs/>
                <w:sz w:val="20"/>
                <w:szCs w:val="20"/>
              </w:rPr>
            </w:r>
          </w:p>
        </w:tc>
        <w:tc>
          <w:tcPr>
            <w:shd w:val="clear" w:color="auto" w:fill="auto"/>
            <w:tcW w:w="434" w:type="pct"/>
            <w:vAlign w:val="center"/>
            <w:textDirection w:val="lrTb"/>
            <w:noWrap w:val="false"/>
          </w:tcPr>
          <w:p>
            <w:pPr>
              <w:jc w:val="center"/>
              <w:rPr>
                <w:bCs/>
                <w:sz w:val="20"/>
                <w:szCs w:val="20"/>
              </w:rPr>
            </w:pPr>
            <w:r>
              <w:rPr>
                <w:bCs/>
                <w:sz w:val="20"/>
                <w:szCs w:val="20"/>
              </w:rPr>
              <w:t xml:space="preserve">-</w:t>
            </w:r>
            <w:r>
              <w:rPr>
                <w:bCs/>
                <w:sz w:val="20"/>
                <w:szCs w:val="20"/>
              </w:rPr>
            </w:r>
            <w:r>
              <w:rPr>
                <w:bCs/>
                <w:sz w:val="20"/>
                <w:szCs w:val="20"/>
              </w:rPr>
            </w:r>
          </w:p>
        </w:tc>
        <w:tc>
          <w:tcPr>
            <w:shd w:val="clear" w:color="auto" w:fill="auto"/>
            <w:tcW w:w="434" w:type="pct"/>
            <w:vAlign w:val="center"/>
            <w:textDirection w:val="lrTb"/>
            <w:noWrap w:val="false"/>
          </w:tcPr>
          <w:p>
            <w:pPr>
              <w:jc w:val="center"/>
              <w:rPr>
                <w:bCs/>
                <w:sz w:val="20"/>
                <w:szCs w:val="20"/>
              </w:rPr>
            </w:pPr>
            <w:r>
              <w:rPr>
                <w:bCs/>
                <w:sz w:val="20"/>
                <w:szCs w:val="20"/>
              </w:rPr>
              <w:t xml:space="preserve">-</w:t>
            </w:r>
            <w:r>
              <w:rPr>
                <w:bCs/>
                <w:sz w:val="20"/>
                <w:szCs w:val="20"/>
              </w:rPr>
            </w:r>
            <w:r>
              <w:rPr>
                <w:bCs/>
                <w:sz w:val="20"/>
                <w:szCs w:val="20"/>
              </w:rPr>
            </w:r>
          </w:p>
        </w:tc>
        <w:tc>
          <w:tcPr>
            <w:shd w:val="clear" w:color="auto" w:fill="auto"/>
            <w:tcW w:w="443" w:type="pct"/>
            <w:vAlign w:val="center"/>
            <w:textDirection w:val="lrTb"/>
            <w:noWrap w:val="false"/>
          </w:tcPr>
          <w:p>
            <w:pPr>
              <w:jc w:val="center"/>
              <w:rPr>
                <w:bCs/>
                <w:sz w:val="20"/>
                <w:szCs w:val="20"/>
              </w:rPr>
            </w:pPr>
            <w:r>
              <w:rPr>
                <w:bCs/>
                <w:sz w:val="20"/>
                <w:szCs w:val="20"/>
              </w:rPr>
              <w:t xml:space="preserve">-</w:t>
            </w:r>
            <w:r>
              <w:rPr>
                <w:bCs/>
                <w:sz w:val="20"/>
                <w:szCs w:val="20"/>
              </w:rPr>
            </w:r>
            <w:r>
              <w:rPr>
                <w:bCs/>
                <w:sz w:val="20"/>
                <w:szCs w:val="20"/>
              </w:rPr>
            </w:r>
          </w:p>
        </w:tc>
      </w:tr>
      <w:tr>
        <w:tblPrEx/>
        <w:trPr>
          <w:trHeight w:val="20"/>
        </w:trPr>
        <w:tc>
          <w:tcPr>
            <w:tcW w:w="945" w:type="pct"/>
            <w:vAlign w:val="center"/>
            <w:vMerge w:val="restart"/>
            <w:textDirection w:val="lrTb"/>
            <w:noWrap w:val="false"/>
          </w:tcPr>
          <w:p>
            <w:pPr>
              <w:jc w:val="center"/>
              <w:rPr>
                <w:sz w:val="20"/>
                <w:szCs w:val="20"/>
              </w:rPr>
            </w:pPr>
            <w:r>
              <w:rPr>
                <w:sz w:val="20"/>
                <w:szCs w:val="20"/>
              </w:rPr>
              <w:t xml:space="preserve">Котельная </w:t>
            </w:r>
            <w:r>
              <w:rPr>
                <w:rFonts w:ascii="Liberation Serif" w:hAnsi="Liberation Serif" w:cs="Calibri"/>
                <w:color w:val="000000"/>
                <w:sz w:val="20"/>
                <w:szCs w:val="20"/>
              </w:rPr>
              <w:t xml:space="preserve">р.п. Юргамыш, ул. Ленина, 47а</w:t>
            </w:r>
            <w:r>
              <w:rPr>
                <w:sz w:val="20"/>
                <w:szCs w:val="20"/>
              </w:rPr>
            </w:r>
            <w:r>
              <w:rPr>
                <w:sz w:val="20"/>
                <w:szCs w:val="20"/>
              </w:rPr>
            </w:r>
          </w:p>
        </w:tc>
        <w:tc>
          <w:tcPr>
            <w:tcW w:w="767" w:type="pct"/>
            <w:vAlign w:val="center"/>
            <w:vMerge w:val="restart"/>
            <w:textDirection w:val="lrTb"/>
            <w:noWrap w:val="false"/>
          </w:tcPr>
          <w:p>
            <w:pPr>
              <w:jc w:val="center"/>
              <w:rPr>
                <w:sz w:val="20"/>
                <w:szCs w:val="20"/>
              </w:rPr>
            </w:pPr>
            <w:r>
              <w:rPr>
                <w:sz w:val="20"/>
                <w:szCs w:val="20"/>
              </w:rPr>
              <w:t xml:space="preserve">максимальный часовой</w:t>
            </w:r>
            <w:r>
              <w:rPr>
                <w:sz w:val="20"/>
                <w:szCs w:val="20"/>
              </w:rPr>
            </w:r>
            <w:r>
              <w:rPr>
                <w:sz w:val="20"/>
                <w:szCs w:val="20"/>
              </w:rPr>
            </w:r>
          </w:p>
        </w:tc>
        <w:tc>
          <w:tcPr>
            <w:tcW w:w="676" w:type="pct"/>
            <w:vAlign w:val="center"/>
            <w:textDirection w:val="lrTb"/>
            <w:noWrap w:val="false"/>
          </w:tcPr>
          <w:p>
            <w:pPr>
              <w:rPr>
                <w:sz w:val="20"/>
                <w:szCs w:val="20"/>
              </w:rPr>
            </w:pPr>
            <w:r>
              <w:rPr>
                <w:sz w:val="20"/>
                <w:szCs w:val="20"/>
              </w:rPr>
              <w:t xml:space="preserve">зимний</w:t>
            </w:r>
            <w:r>
              <w:rPr>
                <w:sz w:val="20"/>
                <w:szCs w:val="20"/>
              </w:rPr>
            </w:r>
            <w:r>
              <w:rPr>
                <w:sz w:val="20"/>
                <w:szCs w:val="20"/>
              </w:rPr>
            </w:r>
          </w:p>
        </w:tc>
        <w:tc>
          <w:tcPr>
            <w:shd w:val="clear" w:color="auto" w:fill="auto"/>
            <w:tcW w:w="434" w:type="pct"/>
            <w:vAlign w:val="center"/>
            <w:textDirection w:val="lrTb"/>
            <w:noWrap w:val="false"/>
          </w:tcPr>
          <w:p>
            <w:pPr>
              <w:jc w:val="center"/>
              <w:rPr>
                <w:bCs/>
                <w:sz w:val="20"/>
                <w:szCs w:val="20"/>
              </w:rPr>
            </w:pPr>
            <w:r>
              <w:rPr>
                <w:bCs/>
                <w:sz w:val="20"/>
                <w:szCs w:val="20"/>
              </w:rPr>
              <w:t xml:space="preserve">0,165</w:t>
            </w:r>
            <w:r>
              <w:rPr>
                <w:bCs/>
                <w:sz w:val="20"/>
                <w:szCs w:val="20"/>
              </w:rPr>
            </w:r>
            <w:r>
              <w:rPr>
                <w:bCs/>
                <w:sz w:val="20"/>
                <w:szCs w:val="20"/>
              </w:rPr>
            </w:r>
          </w:p>
        </w:tc>
        <w:tc>
          <w:tcPr>
            <w:shd w:val="clear" w:color="auto" w:fill="auto"/>
            <w:tcW w:w="434" w:type="pct"/>
            <w:vAlign w:val="center"/>
            <w:textDirection w:val="lrTb"/>
            <w:noWrap w:val="false"/>
          </w:tcPr>
          <w:p>
            <w:pPr>
              <w:jc w:val="center"/>
              <w:rPr>
                <w:bCs/>
                <w:sz w:val="20"/>
                <w:szCs w:val="20"/>
              </w:rPr>
            </w:pPr>
            <w:r>
              <w:rPr>
                <w:bCs/>
                <w:sz w:val="20"/>
                <w:szCs w:val="20"/>
              </w:rPr>
              <w:t xml:space="preserve">0,165</w:t>
            </w:r>
            <w:r>
              <w:rPr>
                <w:bCs/>
                <w:sz w:val="20"/>
                <w:szCs w:val="20"/>
              </w:rPr>
            </w:r>
            <w:r>
              <w:rPr>
                <w:bCs/>
                <w:sz w:val="20"/>
                <w:szCs w:val="20"/>
              </w:rPr>
            </w:r>
          </w:p>
        </w:tc>
        <w:tc>
          <w:tcPr>
            <w:shd w:val="clear" w:color="auto" w:fill="auto"/>
            <w:tcW w:w="434" w:type="pct"/>
            <w:vAlign w:val="center"/>
            <w:textDirection w:val="lrTb"/>
            <w:noWrap w:val="false"/>
          </w:tcPr>
          <w:p>
            <w:pPr>
              <w:jc w:val="center"/>
              <w:rPr>
                <w:bCs/>
                <w:sz w:val="20"/>
                <w:szCs w:val="20"/>
              </w:rPr>
            </w:pPr>
            <w:r>
              <w:rPr>
                <w:bCs/>
                <w:sz w:val="20"/>
                <w:szCs w:val="20"/>
              </w:rPr>
              <w:t xml:space="preserve">0,165</w:t>
            </w:r>
            <w:r>
              <w:rPr>
                <w:bCs/>
                <w:sz w:val="20"/>
                <w:szCs w:val="20"/>
              </w:rPr>
            </w:r>
            <w:r>
              <w:rPr>
                <w:bCs/>
                <w:sz w:val="20"/>
                <w:szCs w:val="20"/>
              </w:rPr>
            </w:r>
          </w:p>
        </w:tc>
        <w:tc>
          <w:tcPr>
            <w:shd w:val="clear" w:color="auto" w:fill="auto"/>
            <w:tcW w:w="434" w:type="pct"/>
            <w:vAlign w:val="center"/>
            <w:textDirection w:val="lrTb"/>
            <w:noWrap w:val="false"/>
          </w:tcPr>
          <w:p>
            <w:pPr>
              <w:jc w:val="center"/>
              <w:rPr>
                <w:bCs/>
                <w:sz w:val="20"/>
                <w:szCs w:val="20"/>
              </w:rPr>
            </w:pPr>
            <w:r>
              <w:rPr>
                <w:bCs/>
                <w:sz w:val="20"/>
                <w:szCs w:val="20"/>
              </w:rPr>
              <w:t xml:space="preserve">0,165</w:t>
            </w:r>
            <w:r>
              <w:rPr>
                <w:bCs/>
                <w:sz w:val="20"/>
                <w:szCs w:val="20"/>
              </w:rPr>
            </w:r>
            <w:r>
              <w:rPr>
                <w:bCs/>
                <w:sz w:val="20"/>
                <w:szCs w:val="20"/>
              </w:rPr>
            </w:r>
          </w:p>
        </w:tc>
        <w:tc>
          <w:tcPr>
            <w:shd w:val="clear" w:color="auto" w:fill="auto"/>
            <w:tcW w:w="434" w:type="pct"/>
            <w:vAlign w:val="center"/>
            <w:textDirection w:val="lrTb"/>
            <w:noWrap w:val="false"/>
          </w:tcPr>
          <w:p>
            <w:pPr>
              <w:jc w:val="center"/>
              <w:rPr>
                <w:bCs/>
                <w:sz w:val="20"/>
                <w:szCs w:val="20"/>
              </w:rPr>
            </w:pPr>
            <w:r>
              <w:rPr>
                <w:bCs/>
                <w:sz w:val="20"/>
                <w:szCs w:val="20"/>
              </w:rPr>
              <w:t xml:space="preserve">0,165</w:t>
            </w:r>
            <w:r>
              <w:rPr>
                <w:bCs/>
                <w:sz w:val="20"/>
                <w:szCs w:val="20"/>
              </w:rPr>
            </w:r>
            <w:r>
              <w:rPr>
                <w:bCs/>
                <w:sz w:val="20"/>
                <w:szCs w:val="20"/>
              </w:rPr>
            </w:r>
          </w:p>
        </w:tc>
        <w:tc>
          <w:tcPr>
            <w:shd w:val="clear" w:color="auto" w:fill="auto"/>
            <w:tcW w:w="443" w:type="pct"/>
            <w:vAlign w:val="center"/>
            <w:textDirection w:val="lrTb"/>
            <w:noWrap w:val="false"/>
          </w:tcPr>
          <w:p>
            <w:pPr>
              <w:jc w:val="center"/>
              <w:rPr>
                <w:bCs/>
                <w:sz w:val="20"/>
                <w:szCs w:val="20"/>
              </w:rPr>
            </w:pPr>
            <w:r>
              <w:rPr>
                <w:bCs/>
                <w:sz w:val="20"/>
                <w:szCs w:val="20"/>
              </w:rPr>
              <w:t xml:space="preserve">0,165</w:t>
            </w:r>
            <w:r>
              <w:rPr>
                <w:bCs/>
                <w:sz w:val="20"/>
                <w:szCs w:val="20"/>
              </w:rPr>
            </w:r>
            <w:r>
              <w:rPr>
                <w:bCs/>
                <w:sz w:val="20"/>
                <w:szCs w:val="20"/>
              </w:rPr>
            </w:r>
          </w:p>
        </w:tc>
      </w:tr>
      <w:tr>
        <w:tblPrEx/>
        <w:trPr>
          <w:trHeight w:val="20"/>
        </w:trPr>
        <w:tc>
          <w:tcPr>
            <w:tcW w:w="945" w:type="pct"/>
            <w:vAlign w:val="center"/>
            <w:vMerge w:val="continue"/>
            <w:textDirection w:val="lrTb"/>
            <w:noWrap w:val="false"/>
          </w:tcPr>
          <w:p>
            <w:pPr>
              <w:rPr>
                <w:sz w:val="20"/>
                <w:szCs w:val="20"/>
              </w:rPr>
            </w:pPr>
            <w:r>
              <w:rPr>
                <w:sz w:val="20"/>
                <w:szCs w:val="20"/>
              </w:rPr>
            </w:r>
            <w:r>
              <w:rPr>
                <w:sz w:val="20"/>
                <w:szCs w:val="20"/>
              </w:rPr>
            </w:r>
            <w:r>
              <w:rPr>
                <w:sz w:val="20"/>
                <w:szCs w:val="20"/>
              </w:rPr>
            </w:r>
          </w:p>
        </w:tc>
        <w:tc>
          <w:tcPr>
            <w:tcW w:w="767" w:type="pct"/>
            <w:vAlign w:val="center"/>
            <w:vMerge w:val="continue"/>
            <w:textDirection w:val="lrTb"/>
            <w:noWrap w:val="false"/>
          </w:tcPr>
          <w:p>
            <w:pPr>
              <w:rPr>
                <w:sz w:val="20"/>
                <w:szCs w:val="20"/>
              </w:rPr>
            </w:pPr>
            <w:r>
              <w:rPr>
                <w:sz w:val="20"/>
                <w:szCs w:val="20"/>
              </w:rPr>
            </w:r>
            <w:r>
              <w:rPr>
                <w:sz w:val="20"/>
                <w:szCs w:val="20"/>
              </w:rPr>
            </w:r>
            <w:r>
              <w:rPr>
                <w:sz w:val="20"/>
                <w:szCs w:val="20"/>
              </w:rPr>
            </w:r>
          </w:p>
        </w:tc>
        <w:tc>
          <w:tcPr>
            <w:tcW w:w="676" w:type="pct"/>
            <w:vAlign w:val="center"/>
            <w:textDirection w:val="lrTb"/>
            <w:noWrap w:val="false"/>
          </w:tcPr>
          <w:p>
            <w:pPr>
              <w:rPr>
                <w:sz w:val="20"/>
                <w:szCs w:val="20"/>
              </w:rPr>
            </w:pPr>
            <w:r>
              <w:rPr>
                <w:sz w:val="20"/>
                <w:szCs w:val="20"/>
              </w:rPr>
              <w:t xml:space="preserve">летний</w:t>
            </w:r>
            <w:r>
              <w:rPr>
                <w:sz w:val="20"/>
                <w:szCs w:val="20"/>
              </w:rPr>
            </w:r>
            <w:r>
              <w:rPr>
                <w:sz w:val="20"/>
                <w:szCs w:val="20"/>
              </w:rPr>
            </w:r>
          </w:p>
        </w:tc>
        <w:tc>
          <w:tcPr>
            <w:shd w:val="clear" w:color="auto" w:fill="auto"/>
            <w:tcW w:w="434" w:type="pct"/>
            <w:textDirection w:val="lrTb"/>
            <w:noWrap w:val="false"/>
          </w:tcPr>
          <w:p>
            <w:pPr>
              <w:jc w:val="center"/>
              <w:rPr>
                <w:sz w:val="20"/>
                <w:szCs w:val="20"/>
                <w:lang w:eastAsia="ru-RU"/>
              </w:rPr>
            </w:pPr>
            <w:r>
              <w:rPr>
                <w:sz w:val="20"/>
                <w:szCs w:val="20"/>
                <w:lang w:eastAsia="ru-RU"/>
              </w:rPr>
              <w:t xml:space="preserve">-</w:t>
            </w:r>
            <w:r>
              <w:rPr>
                <w:sz w:val="20"/>
                <w:szCs w:val="20"/>
                <w:lang w:eastAsia="ru-RU"/>
              </w:rPr>
            </w:r>
            <w:r>
              <w:rPr>
                <w:sz w:val="20"/>
                <w:szCs w:val="20"/>
                <w:lang w:eastAsia="ru-RU"/>
              </w:rPr>
            </w:r>
          </w:p>
        </w:tc>
        <w:tc>
          <w:tcPr>
            <w:shd w:val="clear" w:color="auto" w:fill="auto"/>
            <w:tcW w:w="434" w:type="pct"/>
            <w:textDirection w:val="lrTb"/>
            <w:noWrap w:val="false"/>
          </w:tcPr>
          <w:p>
            <w:pPr>
              <w:jc w:val="center"/>
              <w:rPr>
                <w:sz w:val="20"/>
                <w:szCs w:val="20"/>
                <w:lang w:eastAsia="ru-RU"/>
              </w:rPr>
            </w:pPr>
            <w:r>
              <w:rPr>
                <w:sz w:val="20"/>
                <w:szCs w:val="20"/>
                <w:lang w:eastAsia="ru-RU"/>
              </w:rPr>
              <w:t xml:space="preserve">-</w:t>
            </w:r>
            <w:r>
              <w:rPr>
                <w:sz w:val="20"/>
                <w:szCs w:val="20"/>
                <w:lang w:eastAsia="ru-RU"/>
              </w:rPr>
            </w:r>
            <w:r>
              <w:rPr>
                <w:sz w:val="20"/>
                <w:szCs w:val="20"/>
                <w:lang w:eastAsia="ru-RU"/>
              </w:rPr>
            </w:r>
          </w:p>
        </w:tc>
        <w:tc>
          <w:tcPr>
            <w:shd w:val="clear" w:color="auto" w:fill="auto"/>
            <w:tcW w:w="434" w:type="pct"/>
            <w:textDirection w:val="lrTb"/>
            <w:noWrap w:val="false"/>
          </w:tcPr>
          <w:p>
            <w:pPr>
              <w:jc w:val="center"/>
              <w:rPr>
                <w:sz w:val="20"/>
                <w:szCs w:val="20"/>
                <w:lang w:eastAsia="ru-RU"/>
              </w:rPr>
            </w:pPr>
            <w:r>
              <w:rPr>
                <w:sz w:val="20"/>
                <w:szCs w:val="20"/>
                <w:lang w:eastAsia="ru-RU"/>
              </w:rPr>
              <w:t xml:space="preserve">-</w:t>
            </w:r>
            <w:r>
              <w:rPr>
                <w:sz w:val="20"/>
                <w:szCs w:val="20"/>
                <w:lang w:eastAsia="ru-RU"/>
              </w:rPr>
            </w:r>
            <w:r>
              <w:rPr>
                <w:sz w:val="20"/>
                <w:szCs w:val="20"/>
                <w:lang w:eastAsia="ru-RU"/>
              </w:rPr>
            </w:r>
          </w:p>
        </w:tc>
        <w:tc>
          <w:tcPr>
            <w:shd w:val="clear" w:color="auto" w:fill="auto"/>
            <w:tcW w:w="434" w:type="pct"/>
            <w:textDirection w:val="lrTb"/>
            <w:noWrap w:val="false"/>
          </w:tcPr>
          <w:p>
            <w:pPr>
              <w:jc w:val="center"/>
              <w:rPr>
                <w:sz w:val="20"/>
                <w:szCs w:val="20"/>
                <w:lang w:eastAsia="ru-RU"/>
              </w:rPr>
            </w:pPr>
            <w:r>
              <w:rPr>
                <w:sz w:val="20"/>
                <w:szCs w:val="20"/>
                <w:lang w:eastAsia="ru-RU"/>
              </w:rPr>
              <w:t xml:space="preserve">-</w:t>
            </w:r>
            <w:r>
              <w:rPr>
                <w:sz w:val="20"/>
                <w:szCs w:val="20"/>
                <w:lang w:eastAsia="ru-RU"/>
              </w:rPr>
            </w:r>
            <w:r>
              <w:rPr>
                <w:sz w:val="20"/>
                <w:szCs w:val="20"/>
                <w:lang w:eastAsia="ru-RU"/>
              </w:rPr>
            </w:r>
          </w:p>
        </w:tc>
        <w:tc>
          <w:tcPr>
            <w:shd w:val="clear" w:color="auto" w:fill="auto"/>
            <w:tcW w:w="434" w:type="pct"/>
            <w:textDirection w:val="lrTb"/>
            <w:noWrap w:val="false"/>
          </w:tcPr>
          <w:p>
            <w:pPr>
              <w:jc w:val="center"/>
              <w:rPr>
                <w:sz w:val="20"/>
                <w:szCs w:val="20"/>
                <w:lang w:eastAsia="ru-RU"/>
              </w:rPr>
            </w:pPr>
            <w:r>
              <w:rPr>
                <w:sz w:val="20"/>
                <w:szCs w:val="20"/>
                <w:lang w:eastAsia="ru-RU"/>
              </w:rPr>
              <w:t xml:space="preserve">-</w:t>
            </w:r>
            <w:r>
              <w:rPr>
                <w:sz w:val="20"/>
                <w:szCs w:val="20"/>
                <w:lang w:eastAsia="ru-RU"/>
              </w:rPr>
            </w:r>
            <w:r>
              <w:rPr>
                <w:sz w:val="20"/>
                <w:szCs w:val="20"/>
                <w:lang w:eastAsia="ru-RU"/>
              </w:rPr>
            </w:r>
          </w:p>
        </w:tc>
        <w:tc>
          <w:tcPr>
            <w:shd w:val="clear" w:color="auto" w:fill="auto"/>
            <w:tcW w:w="443" w:type="pct"/>
            <w:textDirection w:val="lrTb"/>
            <w:noWrap w:val="false"/>
          </w:tcPr>
          <w:p>
            <w:pPr>
              <w:jc w:val="center"/>
              <w:rPr>
                <w:sz w:val="20"/>
                <w:szCs w:val="20"/>
                <w:lang w:eastAsia="ru-RU"/>
              </w:rPr>
            </w:pPr>
            <w:r>
              <w:rPr>
                <w:sz w:val="20"/>
                <w:szCs w:val="20"/>
                <w:lang w:eastAsia="ru-RU"/>
              </w:rPr>
              <w:t xml:space="preserve">-</w:t>
            </w:r>
            <w:r>
              <w:rPr>
                <w:sz w:val="20"/>
                <w:szCs w:val="20"/>
                <w:lang w:eastAsia="ru-RU"/>
              </w:rPr>
            </w:r>
            <w:r>
              <w:rPr>
                <w:sz w:val="20"/>
                <w:szCs w:val="20"/>
                <w:lang w:eastAsia="ru-RU"/>
              </w:rPr>
            </w:r>
          </w:p>
        </w:tc>
      </w:tr>
      <w:tr>
        <w:tblPrEx/>
        <w:trPr>
          <w:trHeight w:val="20"/>
        </w:trPr>
        <w:tc>
          <w:tcPr>
            <w:tcW w:w="945" w:type="pct"/>
            <w:vAlign w:val="center"/>
            <w:vMerge w:val="continue"/>
            <w:textDirection w:val="lrTb"/>
            <w:noWrap w:val="false"/>
          </w:tcPr>
          <w:p>
            <w:pPr>
              <w:rPr>
                <w:sz w:val="20"/>
                <w:szCs w:val="20"/>
              </w:rPr>
            </w:pPr>
            <w:r>
              <w:rPr>
                <w:sz w:val="20"/>
                <w:szCs w:val="20"/>
              </w:rPr>
            </w:r>
            <w:r>
              <w:rPr>
                <w:sz w:val="20"/>
                <w:szCs w:val="20"/>
              </w:rPr>
            </w:r>
            <w:r>
              <w:rPr>
                <w:sz w:val="20"/>
                <w:szCs w:val="20"/>
              </w:rPr>
            </w:r>
          </w:p>
        </w:tc>
        <w:tc>
          <w:tcPr>
            <w:tcW w:w="767" w:type="pct"/>
            <w:vAlign w:val="center"/>
            <w:vMerge w:val="continue"/>
            <w:textDirection w:val="lrTb"/>
            <w:noWrap w:val="false"/>
          </w:tcPr>
          <w:p>
            <w:pPr>
              <w:rPr>
                <w:sz w:val="20"/>
                <w:szCs w:val="20"/>
              </w:rPr>
            </w:pPr>
            <w:r>
              <w:rPr>
                <w:sz w:val="20"/>
                <w:szCs w:val="20"/>
              </w:rPr>
            </w:r>
            <w:r>
              <w:rPr>
                <w:sz w:val="20"/>
                <w:szCs w:val="20"/>
              </w:rPr>
            </w:r>
            <w:r>
              <w:rPr>
                <w:sz w:val="20"/>
                <w:szCs w:val="20"/>
              </w:rPr>
            </w:r>
          </w:p>
        </w:tc>
        <w:tc>
          <w:tcPr>
            <w:tcW w:w="676" w:type="pct"/>
            <w:vAlign w:val="center"/>
            <w:textDirection w:val="lrTb"/>
            <w:noWrap w:val="false"/>
          </w:tcPr>
          <w:p>
            <w:pPr>
              <w:rPr>
                <w:sz w:val="20"/>
                <w:szCs w:val="20"/>
              </w:rPr>
            </w:pPr>
            <w:r>
              <w:rPr>
                <w:sz w:val="20"/>
                <w:szCs w:val="20"/>
              </w:rPr>
              <w:t xml:space="preserve">переходной</w:t>
            </w:r>
            <w:r>
              <w:rPr>
                <w:sz w:val="20"/>
                <w:szCs w:val="20"/>
              </w:rPr>
            </w:r>
            <w:r>
              <w:rPr>
                <w:sz w:val="20"/>
                <w:szCs w:val="20"/>
              </w:rPr>
            </w:r>
          </w:p>
        </w:tc>
        <w:tc>
          <w:tcPr>
            <w:shd w:val="clear" w:color="auto" w:fill="auto"/>
            <w:tcW w:w="434" w:type="pct"/>
            <w:vAlign w:val="center"/>
            <w:textDirection w:val="lrTb"/>
            <w:noWrap w:val="false"/>
          </w:tcPr>
          <w:p>
            <w:pPr>
              <w:jc w:val="center"/>
              <w:rPr>
                <w:bCs/>
                <w:sz w:val="20"/>
                <w:szCs w:val="20"/>
              </w:rPr>
            </w:pPr>
            <w:r>
              <w:rPr>
                <w:bCs/>
                <w:sz w:val="20"/>
                <w:szCs w:val="20"/>
              </w:rPr>
              <w:t xml:space="preserve">0,101</w:t>
            </w:r>
            <w:r>
              <w:rPr>
                <w:bCs/>
                <w:sz w:val="20"/>
                <w:szCs w:val="20"/>
              </w:rPr>
            </w:r>
            <w:r>
              <w:rPr>
                <w:bCs/>
                <w:sz w:val="20"/>
                <w:szCs w:val="20"/>
              </w:rPr>
            </w:r>
          </w:p>
        </w:tc>
        <w:tc>
          <w:tcPr>
            <w:shd w:val="clear" w:color="auto" w:fill="auto"/>
            <w:tcW w:w="434" w:type="pct"/>
            <w:vAlign w:val="center"/>
            <w:textDirection w:val="lrTb"/>
            <w:noWrap w:val="false"/>
          </w:tcPr>
          <w:p>
            <w:pPr>
              <w:jc w:val="center"/>
              <w:rPr>
                <w:bCs/>
                <w:sz w:val="20"/>
                <w:szCs w:val="20"/>
              </w:rPr>
            </w:pPr>
            <w:r>
              <w:rPr>
                <w:bCs/>
                <w:sz w:val="20"/>
                <w:szCs w:val="20"/>
              </w:rPr>
              <w:t xml:space="preserve">0,101</w:t>
            </w:r>
            <w:r>
              <w:rPr>
                <w:bCs/>
                <w:sz w:val="20"/>
                <w:szCs w:val="20"/>
              </w:rPr>
            </w:r>
            <w:r>
              <w:rPr>
                <w:bCs/>
                <w:sz w:val="20"/>
                <w:szCs w:val="20"/>
              </w:rPr>
            </w:r>
          </w:p>
        </w:tc>
        <w:tc>
          <w:tcPr>
            <w:shd w:val="clear" w:color="auto" w:fill="auto"/>
            <w:tcW w:w="434" w:type="pct"/>
            <w:vAlign w:val="center"/>
            <w:textDirection w:val="lrTb"/>
            <w:noWrap w:val="false"/>
          </w:tcPr>
          <w:p>
            <w:pPr>
              <w:jc w:val="center"/>
              <w:rPr>
                <w:bCs/>
                <w:sz w:val="20"/>
                <w:szCs w:val="20"/>
              </w:rPr>
            </w:pPr>
            <w:r>
              <w:rPr>
                <w:bCs/>
                <w:sz w:val="20"/>
                <w:szCs w:val="20"/>
              </w:rPr>
              <w:t xml:space="preserve">0,101</w:t>
            </w:r>
            <w:r>
              <w:rPr>
                <w:bCs/>
                <w:sz w:val="20"/>
                <w:szCs w:val="20"/>
              </w:rPr>
            </w:r>
            <w:r>
              <w:rPr>
                <w:bCs/>
                <w:sz w:val="20"/>
                <w:szCs w:val="20"/>
              </w:rPr>
            </w:r>
          </w:p>
        </w:tc>
        <w:tc>
          <w:tcPr>
            <w:shd w:val="clear" w:color="auto" w:fill="auto"/>
            <w:tcW w:w="434" w:type="pct"/>
            <w:vAlign w:val="center"/>
            <w:textDirection w:val="lrTb"/>
            <w:noWrap w:val="false"/>
          </w:tcPr>
          <w:p>
            <w:pPr>
              <w:jc w:val="center"/>
              <w:rPr>
                <w:bCs/>
                <w:sz w:val="20"/>
                <w:szCs w:val="20"/>
              </w:rPr>
            </w:pPr>
            <w:r>
              <w:rPr>
                <w:bCs/>
                <w:sz w:val="20"/>
                <w:szCs w:val="20"/>
              </w:rPr>
              <w:t xml:space="preserve">0,101</w:t>
            </w:r>
            <w:r>
              <w:rPr>
                <w:bCs/>
                <w:sz w:val="20"/>
                <w:szCs w:val="20"/>
              </w:rPr>
            </w:r>
            <w:r>
              <w:rPr>
                <w:bCs/>
                <w:sz w:val="20"/>
                <w:szCs w:val="20"/>
              </w:rPr>
            </w:r>
          </w:p>
        </w:tc>
        <w:tc>
          <w:tcPr>
            <w:shd w:val="clear" w:color="auto" w:fill="auto"/>
            <w:tcW w:w="434" w:type="pct"/>
            <w:vAlign w:val="center"/>
            <w:textDirection w:val="lrTb"/>
            <w:noWrap w:val="false"/>
          </w:tcPr>
          <w:p>
            <w:pPr>
              <w:jc w:val="center"/>
              <w:rPr>
                <w:bCs/>
                <w:sz w:val="20"/>
                <w:szCs w:val="20"/>
              </w:rPr>
            </w:pPr>
            <w:r>
              <w:rPr>
                <w:bCs/>
                <w:sz w:val="20"/>
                <w:szCs w:val="20"/>
              </w:rPr>
              <w:t xml:space="preserve">0,101</w:t>
            </w:r>
            <w:r>
              <w:rPr>
                <w:bCs/>
                <w:sz w:val="20"/>
                <w:szCs w:val="20"/>
              </w:rPr>
            </w:r>
            <w:r>
              <w:rPr>
                <w:bCs/>
                <w:sz w:val="20"/>
                <w:szCs w:val="20"/>
              </w:rPr>
            </w:r>
          </w:p>
        </w:tc>
        <w:tc>
          <w:tcPr>
            <w:shd w:val="clear" w:color="auto" w:fill="auto"/>
            <w:tcW w:w="443" w:type="pct"/>
            <w:vAlign w:val="center"/>
            <w:textDirection w:val="lrTb"/>
            <w:noWrap w:val="false"/>
          </w:tcPr>
          <w:p>
            <w:pPr>
              <w:jc w:val="center"/>
              <w:rPr>
                <w:bCs/>
                <w:sz w:val="20"/>
                <w:szCs w:val="20"/>
              </w:rPr>
            </w:pPr>
            <w:r>
              <w:rPr>
                <w:bCs/>
                <w:sz w:val="20"/>
                <w:szCs w:val="20"/>
              </w:rPr>
              <w:t xml:space="preserve">0,101</w:t>
            </w:r>
            <w:r>
              <w:rPr>
                <w:bCs/>
                <w:sz w:val="20"/>
                <w:szCs w:val="20"/>
              </w:rPr>
            </w:r>
            <w:r>
              <w:rPr>
                <w:bCs/>
                <w:sz w:val="20"/>
                <w:szCs w:val="20"/>
              </w:rPr>
            </w:r>
          </w:p>
        </w:tc>
      </w:tr>
      <w:tr>
        <w:tblPrEx/>
        <w:trPr>
          <w:trHeight w:val="230"/>
        </w:trPr>
        <w:tc>
          <w:tcPr>
            <w:tcW w:w="945" w:type="pct"/>
            <w:vAlign w:val="center"/>
            <w:vMerge w:val="continue"/>
            <w:textDirection w:val="lrTb"/>
            <w:noWrap w:val="false"/>
          </w:tcPr>
          <w:p>
            <w:pPr>
              <w:rPr>
                <w:sz w:val="20"/>
                <w:szCs w:val="20"/>
              </w:rPr>
            </w:pPr>
            <w:r>
              <w:rPr>
                <w:sz w:val="20"/>
                <w:szCs w:val="20"/>
              </w:rPr>
            </w:r>
            <w:r>
              <w:rPr>
                <w:sz w:val="20"/>
                <w:szCs w:val="20"/>
              </w:rPr>
            </w:r>
            <w:r>
              <w:rPr>
                <w:sz w:val="20"/>
                <w:szCs w:val="20"/>
              </w:rPr>
            </w:r>
          </w:p>
        </w:tc>
        <w:tc>
          <w:tcPr>
            <w:tcW w:w="767" w:type="pct"/>
            <w:vAlign w:val="center"/>
            <w:vMerge w:val="restart"/>
            <w:textDirection w:val="lrTb"/>
            <w:noWrap w:val="false"/>
          </w:tcPr>
          <w:p>
            <w:pPr>
              <w:jc w:val="center"/>
              <w:rPr>
                <w:sz w:val="20"/>
                <w:szCs w:val="20"/>
              </w:rPr>
            </w:pPr>
            <w:r>
              <w:rPr>
                <w:sz w:val="20"/>
                <w:szCs w:val="20"/>
              </w:rPr>
              <w:t xml:space="preserve">годовой</w:t>
            </w:r>
            <w:r>
              <w:rPr>
                <w:sz w:val="20"/>
                <w:szCs w:val="20"/>
              </w:rPr>
            </w:r>
            <w:r>
              <w:rPr>
                <w:sz w:val="20"/>
                <w:szCs w:val="20"/>
              </w:rPr>
            </w:r>
          </w:p>
        </w:tc>
        <w:tc>
          <w:tcPr>
            <w:tcW w:w="676" w:type="pct"/>
            <w:vAlign w:val="center"/>
            <w:textDirection w:val="lrTb"/>
            <w:noWrap w:val="false"/>
          </w:tcPr>
          <w:p>
            <w:pPr>
              <w:rPr>
                <w:sz w:val="20"/>
                <w:szCs w:val="20"/>
              </w:rPr>
            </w:pPr>
            <w:r>
              <w:rPr>
                <w:sz w:val="20"/>
                <w:szCs w:val="20"/>
              </w:rPr>
              <w:t xml:space="preserve">зимний</w:t>
            </w:r>
            <w:r>
              <w:rPr>
                <w:sz w:val="20"/>
                <w:szCs w:val="20"/>
              </w:rPr>
            </w:r>
            <w:r>
              <w:rPr>
                <w:sz w:val="20"/>
                <w:szCs w:val="20"/>
              </w:rPr>
            </w:r>
          </w:p>
        </w:tc>
        <w:tc>
          <w:tcPr>
            <w:shd w:val="clear" w:color="auto" w:fill="auto"/>
            <w:tcW w:w="434" w:type="pct"/>
            <w:vAlign w:val="center"/>
            <w:textDirection w:val="lrTb"/>
            <w:noWrap w:val="false"/>
          </w:tcPr>
          <w:p>
            <w:pPr>
              <w:jc w:val="center"/>
              <w:rPr>
                <w:bCs/>
                <w:sz w:val="20"/>
                <w:szCs w:val="20"/>
              </w:rPr>
            </w:pPr>
            <w:r>
              <w:rPr>
                <w:bCs/>
                <w:sz w:val="20"/>
                <w:szCs w:val="20"/>
              </w:rPr>
              <w:t xml:space="preserve">235,4</w:t>
            </w:r>
            <w:r>
              <w:rPr>
                <w:bCs/>
                <w:sz w:val="20"/>
                <w:szCs w:val="20"/>
              </w:rPr>
            </w:r>
            <w:r>
              <w:rPr>
                <w:bCs/>
                <w:sz w:val="20"/>
                <w:szCs w:val="20"/>
              </w:rPr>
            </w:r>
          </w:p>
        </w:tc>
        <w:tc>
          <w:tcPr>
            <w:shd w:val="clear" w:color="auto" w:fill="auto"/>
            <w:tcW w:w="434" w:type="pct"/>
            <w:vAlign w:val="center"/>
            <w:textDirection w:val="lrTb"/>
            <w:noWrap w:val="false"/>
          </w:tcPr>
          <w:p>
            <w:pPr>
              <w:jc w:val="center"/>
              <w:rPr>
                <w:bCs/>
                <w:sz w:val="20"/>
                <w:szCs w:val="20"/>
              </w:rPr>
            </w:pPr>
            <w:r>
              <w:rPr>
                <w:bCs/>
                <w:sz w:val="20"/>
                <w:szCs w:val="20"/>
              </w:rPr>
              <w:t xml:space="preserve">235,4</w:t>
            </w:r>
            <w:r>
              <w:rPr>
                <w:bCs/>
                <w:sz w:val="20"/>
                <w:szCs w:val="20"/>
              </w:rPr>
            </w:r>
            <w:r>
              <w:rPr>
                <w:bCs/>
                <w:sz w:val="20"/>
                <w:szCs w:val="20"/>
              </w:rPr>
            </w:r>
          </w:p>
        </w:tc>
        <w:tc>
          <w:tcPr>
            <w:shd w:val="clear" w:color="auto" w:fill="auto"/>
            <w:tcW w:w="434" w:type="pct"/>
            <w:vAlign w:val="center"/>
            <w:textDirection w:val="lrTb"/>
            <w:noWrap w:val="false"/>
          </w:tcPr>
          <w:p>
            <w:pPr>
              <w:jc w:val="center"/>
              <w:rPr>
                <w:bCs/>
                <w:sz w:val="20"/>
                <w:szCs w:val="20"/>
              </w:rPr>
            </w:pPr>
            <w:r>
              <w:rPr>
                <w:bCs/>
                <w:sz w:val="20"/>
                <w:szCs w:val="20"/>
              </w:rPr>
              <w:t xml:space="preserve">235,4</w:t>
            </w:r>
            <w:r>
              <w:rPr>
                <w:bCs/>
                <w:sz w:val="20"/>
                <w:szCs w:val="20"/>
              </w:rPr>
            </w:r>
            <w:r>
              <w:rPr>
                <w:bCs/>
                <w:sz w:val="20"/>
                <w:szCs w:val="20"/>
              </w:rPr>
            </w:r>
          </w:p>
        </w:tc>
        <w:tc>
          <w:tcPr>
            <w:shd w:val="clear" w:color="auto" w:fill="auto"/>
            <w:tcW w:w="434" w:type="pct"/>
            <w:vAlign w:val="center"/>
            <w:textDirection w:val="lrTb"/>
            <w:noWrap w:val="false"/>
          </w:tcPr>
          <w:p>
            <w:pPr>
              <w:jc w:val="center"/>
              <w:rPr>
                <w:bCs/>
                <w:sz w:val="20"/>
                <w:szCs w:val="20"/>
              </w:rPr>
            </w:pPr>
            <w:r>
              <w:rPr>
                <w:bCs/>
                <w:sz w:val="20"/>
                <w:szCs w:val="20"/>
              </w:rPr>
              <w:t xml:space="preserve">235,4</w:t>
            </w:r>
            <w:r>
              <w:rPr>
                <w:bCs/>
                <w:sz w:val="20"/>
                <w:szCs w:val="20"/>
              </w:rPr>
            </w:r>
            <w:r>
              <w:rPr>
                <w:bCs/>
                <w:sz w:val="20"/>
                <w:szCs w:val="20"/>
              </w:rPr>
            </w:r>
          </w:p>
        </w:tc>
        <w:tc>
          <w:tcPr>
            <w:shd w:val="clear" w:color="auto" w:fill="auto"/>
            <w:tcW w:w="434" w:type="pct"/>
            <w:vAlign w:val="center"/>
            <w:textDirection w:val="lrTb"/>
            <w:noWrap w:val="false"/>
          </w:tcPr>
          <w:p>
            <w:pPr>
              <w:jc w:val="center"/>
              <w:rPr>
                <w:bCs/>
                <w:sz w:val="20"/>
                <w:szCs w:val="20"/>
              </w:rPr>
            </w:pPr>
            <w:r>
              <w:rPr>
                <w:bCs/>
                <w:sz w:val="20"/>
                <w:szCs w:val="20"/>
              </w:rPr>
              <w:t xml:space="preserve">235,4</w:t>
            </w:r>
            <w:r>
              <w:rPr>
                <w:bCs/>
                <w:sz w:val="20"/>
                <w:szCs w:val="20"/>
              </w:rPr>
            </w:r>
            <w:r>
              <w:rPr>
                <w:bCs/>
                <w:sz w:val="20"/>
                <w:szCs w:val="20"/>
              </w:rPr>
            </w:r>
          </w:p>
        </w:tc>
        <w:tc>
          <w:tcPr>
            <w:shd w:val="clear" w:color="auto" w:fill="auto"/>
            <w:tcW w:w="443" w:type="pct"/>
            <w:vAlign w:val="center"/>
            <w:textDirection w:val="lrTb"/>
            <w:noWrap w:val="false"/>
          </w:tcPr>
          <w:p>
            <w:pPr>
              <w:jc w:val="center"/>
              <w:rPr>
                <w:bCs/>
                <w:sz w:val="20"/>
                <w:szCs w:val="20"/>
              </w:rPr>
            </w:pPr>
            <w:r>
              <w:rPr>
                <w:bCs/>
                <w:sz w:val="20"/>
                <w:szCs w:val="20"/>
              </w:rPr>
              <w:t xml:space="preserve">235,4</w:t>
            </w:r>
            <w:r>
              <w:rPr>
                <w:bCs/>
                <w:sz w:val="20"/>
                <w:szCs w:val="20"/>
              </w:rPr>
            </w:r>
            <w:r>
              <w:rPr>
                <w:bCs/>
                <w:sz w:val="20"/>
                <w:szCs w:val="20"/>
              </w:rPr>
            </w:r>
          </w:p>
        </w:tc>
      </w:tr>
      <w:tr>
        <w:tblPrEx/>
        <w:trPr>
          <w:trHeight w:val="20"/>
        </w:trPr>
        <w:tc>
          <w:tcPr>
            <w:tcW w:w="945" w:type="pct"/>
            <w:vAlign w:val="center"/>
            <w:vMerge w:val="continue"/>
            <w:textDirection w:val="lrTb"/>
            <w:noWrap w:val="false"/>
          </w:tcPr>
          <w:p>
            <w:pPr>
              <w:rPr>
                <w:sz w:val="20"/>
                <w:szCs w:val="20"/>
              </w:rPr>
            </w:pPr>
            <w:r>
              <w:rPr>
                <w:sz w:val="20"/>
                <w:szCs w:val="20"/>
              </w:rPr>
            </w:r>
            <w:r>
              <w:rPr>
                <w:sz w:val="20"/>
                <w:szCs w:val="20"/>
              </w:rPr>
            </w:r>
            <w:r>
              <w:rPr>
                <w:sz w:val="20"/>
                <w:szCs w:val="20"/>
              </w:rPr>
            </w:r>
          </w:p>
        </w:tc>
        <w:tc>
          <w:tcPr>
            <w:tcW w:w="767" w:type="pct"/>
            <w:vAlign w:val="center"/>
            <w:vMerge w:val="continue"/>
            <w:textDirection w:val="lrTb"/>
            <w:noWrap w:val="false"/>
          </w:tcPr>
          <w:p>
            <w:pPr>
              <w:rPr>
                <w:sz w:val="20"/>
                <w:szCs w:val="20"/>
              </w:rPr>
            </w:pPr>
            <w:r>
              <w:rPr>
                <w:sz w:val="20"/>
                <w:szCs w:val="20"/>
              </w:rPr>
            </w:r>
            <w:r>
              <w:rPr>
                <w:sz w:val="20"/>
                <w:szCs w:val="20"/>
              </w:rPr>
            </w:r>
            <w:r>
              <w:rPr>
                <w:sz w:val="20"/>
                <w:szCs w:val="20"/>
              </w:rPr>
            </w:r>
          </w:p>
        </w:tc>
        <w:tc>
          <w:tcPr>
            <w:tcW w:w="676" w:type="pct"/>
            <w:vAlign w:val="center"/>
            <w:textDirection w:val="lrTb"/>
            <w:noWrap w:val="false"/>
          </w:tcPr>
          <w:p>
            <w:pPr>
              <w:rPr>
                <w:sz w:val="20"/>
                <w:szCs w:val="20"/>
              </w:rPr>
            </w:pPr>
            <w:r>
              <w:rPr>
                <w:sz w:val="20"/>
                <w:szCs w:val="20"/>
              </w:rPr>
              <w:t xml:space="preserve">летний</w:t>
            </w:r>
            <w:r>
              <w:rPr>
                <w:sz w:val="20"/>
                <w:szCs w:val="20"/>
              </w:rPr>
            </w:r>
            <w:r>
              <w:rPr>
                <w:sz w:val="20"/>
                <w:szCs w:val="20"/>
              </w:rPr>
            </w:r>
          </w:p>
        </w:tc>
        <w:tc>
          <w:tcPr>
            <w:shd w:val="clear" w:color="auto" w:fill="auto"/>
            <w:tcW w:w="434" w:type="pct"/>
            <w:textDirection w:val="lrTb"/>
            <w:noWrap w:val="false"/>
          </w:tcPr>
          <w:p>
            <w:pPr>
              <w:jc w:val="center"/>
              <w:rPr>
                <w:sz w:val="20"/>
                <w:szCs w:val="20"/>
                <w:lang w:eastAsia="ru-RU"/>
              </w:rPr>
            </w:pPr>
            <w:r>
              <w:rPr>
                <w:sz w:val="20"/>
                <w:szCs w:val="20"/>
                <w:lang w:eastAsia="ru-RU"/>
              </w:rPr>
              <w:t xml:space="preserve">-</w:t>
            </w:r>
            <w:r>
              <w:rPr>
                <w:sz w:val="20"/>
                <w:szCs w:val="20"/>
                <w:lang w:eastAsia="ru-RU"/>
              </w:rPr>
            </w:r>
            <w:r>
              <w:rPr>
                <w:sz w:val="20"/>
                <w:szCs w:val="20"/>
                <w:lang w:eastAsia="ru-RU"/>
              </w:rPr>
            </w:r>
          </w:p>
        </w:tc>
        <w:tc>
          <w:tcPr>
            <w:shd w:val="clear" w:color="auto" w:fill="auto"/>
            <w:tcW w:w="434" w:type="pct"/>
            <w:textDirection w:val="lrTb"/>
            <w:noWrap w:val="false"/>
          </w:tcPr>
          <w:p>
            <w:pPr>
              <w:jc w:val="center"/>
              <w:rPr>
                <w:sz w:val="20"/>
                <w:szCs w:val="20"/>
                <w:lang w:eastAsia="ru-RU"/>
              </w:rPr>
            </w:pPr>
            <w:r>
              <w:rPr>
                <w:sz w:val="20"/>
                <w:szCs w:val="20"/>
                <w:lang w:eastAsia="ru-RU"/>
              </w:rPr>
              <w:t xml:space="preserve">-</w:t>
            </w:r>
            <w:r>
              <w:rPr>
                <w:sz w:val="20"/>
                <w:szCs w:val="20"/>
                <w:lang w:eastAsia="ru-RU"/>
              </w:rPr>
            </w:r>
            <w:r>
              <w:rPr>
                <w:sz w:val="20"/>
                <w:szCs w:val="20"/>
                <w:lang w:eastAsia="ru-RU"/>
              </w:rPr>
            </w:r>
          </w:p>
        </w:tc>
        <w:tc>
          <w:tcPr>
            <w:shd w:val="clear" w:color="auto" w:fill="auto"/>
            <w:tcW w:w="434" w:type="pct"/>
            <w:textDirection w:val="lrTb"/>
            <w:noWrap w:val="false"/>
          </w:tcPr>
          <w:p>
            <w:pPr>
              <w:jc w:val="center"/>
              <w:rPr>
                <w:sz w:val="20"/>
                <w:szCs w:val="20"/>
                <w:lang w:eastAsia="ru-RU"/>
              </w:rPr>
            </w:pPr>
            <w:r>
              <w:rPr>
                <w:sz w:val="20"/>
                <w:szCs w:val="20"/>
                <w:lang w:eastAsia="ru-RU"/>
              </w:rPr>
              <w:t xml:space="preserve">-</w:t>
            </w:r>
            <w:r>
              <w:rPr>
                <w:sz w:val="20"/>
                <w:szCs w:val="20"/>
                <w:lang w:eastAsia="ru-RU"/>
              </w:rPr>
            </w:r>
            <w:r>
              <w:rPr>
                <w:sz w:val="20"/>
                <w:szCs w:val="20"/>
                <w:lang w:eastAsia="ru-RU"/>
              </w:rPr>
            </w:r>
          </w:p>
        </w:tc>
        <w:tc>
          <w:tcPr>
            <w:shd w:val="clear" w:color="auto" w:fill="auto"/>
            <w:tcW w:w="434" w:type="pct"/>
            <w:textDirection w:val="lrTb"/>
            <w:noWrap w:val="false"/>
          </w:tcPr>
          <w:p>
            <w:pPr>
              <w:jc w:val="center"/>
              <w:rPr>
                <w:sz w:val="20"/>
                <w:szCs w:val="20"/>
                <w:lang w:eastAsia="ru-RU"/>
              </w:rPr>
            </w:pPr>
            <w:r>
              <w:rPr>
                <w:sz w:val="20"/>
                <w:szCs w:val="20"/>
                <w:lang w:eastAsia="ru-RU"/>
              </w:rPr>
              <w:t xml:space="preserve">-</w:t>
            </w:r>
            <w:r>
              <w:rPr>
                <w:sz w:val="20"/>
                <w:szCs w:val="20"/>
                <w:lang w:eastAsia="ru-RU"/>
              </w:rPr>
            </w:r>
            <w:r>
              <w:rPr>
                <w:sz w:val="20"/>
                <w:szCs w:val="20"/>
                <w:lang w:eastAsia="ru-RU"/>
              </w:rPr>
            </w:r>
          </w:p>
        </w:tc>
        <w:tc>
          <w:tcPr>
            <w:shd w:val="clear" w:color="auto" w:fill="auto"/>
            <w:tcW w:w="434" w:type="pct"/>
            <w:textDirection w:val="lrTb"/>
            <w:noWrap w:val="false"/>
          </w:tcPr>
          <w:p>
            <w:pPr>
              <w:jc w:val="center"/>
              <w:rPr>
                <w:sz w:val="20"/>
                <w:szCs w:val="20"/>
                <w:lang w:eastAsia="ru-RU"/>
              </w:rPr>
            </w:pPr>
            <w:r>
              <w:rPr>
                <w:sz w:val="20"/>
                <w:szCs w:val="20"/>
                <w:lang w:eastAsia="ru-RU"/>
              </w:rPr>
              <w:t xml:space="preserve">-</w:t>
            </w:r>
            <w:r>
              <w:rPr>
                <w:sz w:val="20"/>
                <w:szCs w:val="20"/>
                <w:lang w:eastAsia="ru-RU"/>
              </w:rPr>
            </w:r>
            <w:r>
              <w:rPr>
                <w:sz w:val="20"/>
                <w:szCs w:val="20"/>
                <w:lang w:eastAsia="ru-RU"/>
              </w:rPr>
            </w:r>
          </w:p>
        </w:tc>
        <w:tc>
          <w:tcPr>
            <w:shd w:val="clear" w:color="auto" w:fill="auto"/>
            <w:tcW w:w="443" w:type="pct"/>
            <w:textDirection w:val="lrTb"/>
            <w:noWrap w:val="false"/>
          </w:tcPr>
          <w:p>
            <w:pPr>
              <w:jc w:val="center"/>
              <w:rPr>
                <w:sz w:val="20"/>
                <w:szCs w:val="20"/>
                <w:lang w:eastAsia="ru-RU"/>
              </w:rPr>
            </w:pPr>
            <w:r>
              <w:rPr>
                <w:sz w:val="20"/>
                <w:szCs w:val="20"/>
                <w:lang w:eastAsia="ru-RU"/>
              </w:rPr>
              <w:t xml:space="preserve">-</w:t>
            </w:r>
            <w:r>
              <w:rPr>
                <w:sz w:val="20"/>
                <w:szCs w:val="20"/>
                <w:lang w:eastAsia="ru-RU"/>
              </w:rPr>
            </w:r>
            <w:r>
              <w:rPr>
                <w:sz w:val="20"/>
                <w:szCs w:val="20"/>
                <w:lang w:eastAsia="ru-RU"/>
              </w:rPr>
            </w:r>
          </w:p>
        </w:tc>
      </w:tr>
      <w:tr>
        <w:tblPrEx/>
        <w:trPr>
          <w:trHeight w:val="20"/>
        </w:trPr>
        <w:tc>
          <w:tcPr>
            <w:tcW w:w="945" w:type="pct"/>
            <w:vAlign w:val="center"/>
            <w:vMerge w:val="continue"/>
            <w:textDirection w:val="lrTb"/>
            <w:noWrap w:val="false"/>
          </w:tcPr>
          <w:p>
            <w:pPr>
              <w:rPr>
                <w:sz w:val="20"/>
                <w:szCs w:val="20"/>
              </w:rPr>
            </w:pPr>
            <w:r>
              <w:rPr>
                <w:sz w:val="20"/>
                <w:szCs w:val="20"/>
              </w:rPr>
            </w:r>
            <w:r>
              <w:rPr>
                <w:sz w:val="20"/>
                <w:szCs w:val="20"/>
              </w:rPr>
            </w:r>
            <w:r>
              <w:rPr>
                <w:sz w:val="20"/>
                <w:szCs w:val="20"/>
              </w:rPr>
            </w:r>
          </w:p>
        </w:tc>
        <w:tc>
          <w:tcPr>
            <w:tcW w:w="767" w:type="pct"/>
            <w:vAlign w:val="center"/>
            <w:vMerge w:val="continue"/>
            <w:textDirection w:val="lrTb"/>
            <w:noWrap w:val="false"/>
          </w:tcPr>
          <w:p>
            <w:pPr>
              <w:rPr>
                <w:sz w:val="20"/>
                <w:szCs w:val="20"/>
              </w:rPr>
            </w:pPr>
            <w:r>
              <w:rPr>
                <w:sz w:val="20"/>
                <w:szCs w:val="20"/>
              </w:rPr>
            </w:r>
            <w:r>
              <w:rPr>
                <w:sz w:val="20"/>
                <w:szCs w:val="20"/>
              </w:rPr>
            </w:r>
            <w:r>
              <w:rPr>
                <w:sz w:val="20"/>
                <w:szCs w:val="20"/>
              </w:rPr>
            </w:r>
          </w:p>
        </w:tc>
        <w:tc>
          <w:tcPr>
            <w:tcW w:w="676" w:type="pct"/>
            <w:vAlign w:val="center"/>
            <w:textDirection w:val="lrTb"/>
            <w:noWrap w:val="false"/>
          </w:tcPr>
          <w:p>
            <w:pPr>
              <w:rPr>
                <w:sz w:val="20"/>
                <w:szCs w:val="20"/>
              </w:rPr>
            </w:pPr>
            <w:r>
              <w:rPr>
                <w:sz w:val="20"/>
                <w:szCs w:val="20"/>
              </w:rPr>
              <w:t xml:space="preserve">переходной</w:t>
            </w:r>
            <w:r>
              <w:rPr>
                <w:sz w:val="20"/>
                <w:szCs w:val="20"/>
              </w:rPr>
            </w:r>
            <w:r>
              <w:rPr>
                <w:sz w:val="20"/>
                <w:szCs w:val="20"/>
              </w:rPr>
            </w:r>
          </w:p>
        </w:tc>
        <w:tc>
          <w:tcPr>
            <w:shd w:val="clear" w:color="auto" w:fill="auto"/>
            <w:tcW w:w="434" w:type="pct"/>
            <w:vAlign w:val="center"/>
            <w:textDirection w:val="lrTb"/>
            <w:noWrap w:val="false"/>
          </w:tcPr>
          <w:p>
            <w:pPr>
              <w:jc w:val="center"/>
              <w:rPr>
                <w:bCs/>
                <w:sz w:val="20"/>
                <w:szCs w:val="20"/>
              </w:rPr>
            </w:pPr>
            <w:r>
              <w:rPr>
                <w:bCs/>
                <w:sz w:val="20"/>
                <w:szCs w:val="20"/>
              </w:rPr>
              <w:t xml:space="preserve">194,0</w:t>
            </w:r>
            <w:r>
              <w:rPr>
                <w:bCs/>
                <w:sz w:val="20"/>
                <w:szCs w:val="20"/>
              </w:rPr>
            </w:r>
            <w:r>
              <w:rPr>
                <w:bCs/>
                <w:sz w:val="20"/>
                <w:szCs w:val="20"/>
              </w:rPr>
            </w:r>
          </w:p>
        </w:tc>
        <w:tc>
          <w:tcPr>
            <w:shd w:val="clear" w:color="auto" w:fill="auto"/>
            <w:tcW w:w="434" w:type="pct"/>
            <w:vAlign w:val="center"/>
            <w:textDirection w:val="lrTb"/>
            <w:noWrap w:val="false"/>
          </w:tcPr>
          <w:p>
            <w:pPr>
              <w:jc w:val="center"/>
              <w:rPr>
                <w:bCs/>
                <w:sz w:val="20"/>
                <w:szCs w:val="20"/>
              </w:rPr>
            </w:pPr>
            <w:r>
              <w:rPr>
                <w:bCs/>
                <w:sz w:val="20"/>
                <w:szCs w:val="20"/>
              </w:rPr>
              <w:t xml:space="preserve">194,0</w:t>
            </w:r>
            <w:r>
              <w:rPr>
                <w:bCs/>
                <w:sz w:val="20"/>
                <w:szCs w:val="20"/>
              </w:rPr>
            </w:r>
            <w:r>
              <w:rPr>
                <w:bCs/>
                <w:sz w:val="20"/>
                <w:szCs w:val="20"/>
              </w:rPr>
            </w:r>
          </w:p>
        </w:tc>
        <w:tc>
          <w:tcPr>
            <w:shd w:val="clear" w:color="auto" w:fill="auto"/>
            <w:tcW w:w="434" w:type="pct"/>
            <w:vAlign w:val="center"/>
            <w:textDirection w:val="lrTb"/>
            <w:noWrap w:val="false"/>
          </w:tcPr>
          <w:p>
            <w:pPr>
              <w:jc w:val="center"/>
              <w:rPr>
                <w:bCs/>
                <w:sz w:val="20"/>
                <w:szCs w:val="20"/>
              </w:rPr>
            </w:pPr>
            <w:r>
              <w:rPr>
                <w:bCs/>
                <w:sz w:val="20"/>
                <w:szCs w:val="20"/>
              </w:rPr>
              <w:t xml:space="preserve">194,0</w:t>
            </w:r>
            <w:r>
              <w:rPr>
                <w:bCs/>
                <w:sz w:val="20"/>
                <w:szCs w:val="20"/>
              </w:rPr>
            </w:r>
            <w:r>
              <w:rPr>
                <w:bCs/>
                <w:sz w:val="20"/>
                <w:szCs w:val="20"/>
              </w:rPr>
            </w:r>
          </w:p>
        </w:tc>
        <w:tc>
          <w:tcPr>
            <w:shd w:val="clear" w:color="auto" w:fill="auto"/>
            <w:tcW w:w="434" w:type="pct"/>
            <w:vAlign w:val="center"/>
            <w:textDirection w:val="lrTb"/>
            <w:noWrap w:val="false"/>
          </w:tcPr>
          <w:p>
            <w:pPr>
              <w:jc w:val="center"/>
              <w:rPr>
                <w:bCs/>
                <w:sz w:val="20"/>
                <w:szCs w:val="20"/>
              </w:rPr>
            </w:pPr>
            <w:r>
              <w:rPr>
                <w:bCs/>
                <w:sz w:val="20"/>
                <w:szCs w:val="20"/>
              </w:rPr>
              <w:t xml:space="preserve">194,0</w:t>
            </w:r>
            <w:r>
              <w:rPr>
                <w:bCs/>
                <w:sz w:val="20"/>
                <w:szCs w:val="20"/>
              </w:rPr>
            </w:r>
            <w:r>
              <w:rPr>
                <w:bCs/>
                <w:sz w:val="20"/>
                <w:szCs w:val="20"/>
              </w:rPr>
            </w:r>
          </w:p>
        </w:tc>
        <w:tc>
          <w:tcPr>
            <w:shd w:val="clear" w:color="auto" w:fill="auto"/>
            <w:tcW w:w="434" w:type="pct"/>
            <w:vAlign w:val="center"/>
            <w:textDirection w:val="lrTb"/>
            <w:noWrap w:val="false"/>
          </w:tcPr>
          <w:p>
            <w:pPr>
              <w:jc w:val="center"/>
              <w:rPr>
                <w:bCs/>
                <w:sz w:val="20"/>
                <w:szCs w:val="20"/>
              </w:rPr>
            </w:pPr>
            <w:r>
              <w:rPr>
                <w:bCs/>
                <w:sz w:val="20"/>
                <w:szCs w:val="20"/>
              </w:rPr>
              <w:t xml:space="preserve">194,0</w:t>
            </w:r>
            <w:r>
              <w:rPr>
                <w:bCs/>
                <w:sz w:val="20"/>
                <w:szCs w:val="20"/>
              </w:rPr>
            </w:r>
            <w:r>
              <w:rPr>
                <w:bCs/>
                <w:sz w:val="20"/>
                <w:szCs w:val="20"/>
              </w:rPr>
            </w:r>
          </w:p>
        </w:tc>
        <w:tc>
          <w:tcPr>
            <w:shd w:val="clear" w:color="auto" w:fill="auto"/>
            <w:tcW w:w="443" w:type="pct"/>
            <w:vAlign w:val="center"/>
            <w:textDirection w:val="lrTb"/>
            <w:noWrap w:val="false"/>
          </w:tcPr>
          <w:p>
            <w:pPr>
              <w:jc w:val="center"/>
              <w:rPr>
                <w:bCs/>
                <w:sz w:val="20"/>
                <w:szCs w:val="20"/>
              </w:rPr>
            </w:pPr>
            <w:r>
              <w:rPr>
                <w:bCs/>
                <w:sz w:val="20"/>
                <w:szCs w:val="20"/>
              </w:rPr>
              <w:t xml:space="preserve">194,0</w:t>
            </w:r>
            <w:r>
              <w:rPr>
                <w:bCs/>
                <w:sz w:val="20"/>
                <w:szCs w:val="20"/>
              </w:rPr>
            </w:r>
            <w:r>
              <w:rPr>
                <w:bCs/>
                <w:sz w:val="20"/>
                <w:szCs w:val="20"/>
              </w:rPr>
            </w:r>
          </w:p>
        </w:tc>
      </w:tr>
      <w:tr>
        <w:tblPrEx/>
        <w:trPr>
          <w:trHeight w:val="20"/>
        </w:trPr>
        <w:tc>
          <w:tcPr>
            <w:gridSpan w:val="3"/>
            <w:tcW w:w="2388" w:type="pct"/>
            <w:vAlign w:val="center"/>
            <w:textDirection w:val="lrTb"/>
            <w:noWrap w:val="false"/>
          </w:tcPr>
          <w:p>
            <w:pPr>
              <w:jc w:val="center"/>
              <w:rPr>
                <w:sz w:val="20"/>
                <w:szCs w:val="20"/>
              </w:rPr>
            </w:pPr>
            <w:r>
              <w:rPr>
                <w:sz w:val="20"/>
                <w:szCs w:val="20"/>
              </w:rPr>
              <w:t xml:space="preserve">Тип топлива</w:t>
            </w:r>
            <w:r>
              <w:rPr>
                <w:sz w:val="20"/>
                <w:szCs w:val="20"/>
              </w:rPr>
            </w:r>
            <w:r>
              <w:rPr>
                <w:sz w:val="20"/>
                <w:szCs w:val="20"/>
              </w:rPr>
            </w:r>
          </w:p>
        </w:tc>
        <w:tc>
          <w:tcPr>
            <w:gridSpan w:val="6"/>
            <w:shd w:val="clear" w:color="auto" w:fill="auto"/>
            <w:tcW w:w="2612" w:type="pct"/>
            <w:vAlign w:val="center"/>
            <w:textDirection w:val="lrTb"/>
            <w:noWrap w:val="false"/>
          </w:tcPr>
          <w:p>
            <w:pPr>
              <w:jc w:val="center"/>
              <w:rPr>
                <w:bCs/>
                <w:sz w:val="20"/>
                <w:szCs w:val="20"/>
              </w:rPr>
            </w:pPr>
            <w:r>
              <w:rPr>
                <w:bCs/>
                <w:sz w:val="20"/>
                <w:szCs w:val="20"/>
              </w:rPr>
              <w:t xml:space="preserve">Уголь, тыс.тн</w:t>
            </w:r>
            <w:r>
              <w:rPr>
                <w:bCs/>
                <w:sz w:val="20"/>
                <w:szCs w:val="20"/>
              </w:rPr>
            </w:r>
            <w:r>
              <w:rPr>
                <w:bCs/>
                <w:sz w:val="20"/>
                <w:szCs w:val="20"/>
              </w:rPr>
            </w:r>
          </w:p>
        </w:tc>
      </w:tr>
      <w:tr>
        <w:tblPrEx/>
        <w:trPr>
          <w:trHeight w:val="20"/>
        </w:trPr>
        <w:tc>
          <w:tcPr>
            <w:tcW w:w="945" w:type="pct"/>
            <w:vAlign w:val="center"/>
            <w:vMerge w:val="restart"/>
            <w:textDirection w:val="lrTb"/>
            <w:noWrap w:val="false"/>
          </w:tcPr>
          <w:p>
            <w:pPr>
              <w:jc w:val="center"/>
              <w:rPr>
                <w:sz w:val="20"/>
                <w:szCs w:val="20"/>
              </w:rPr>
            </w:pPr>
            <w:r>
              <w:rPr>
                <w:color w:val="000000"/>
                <w:sz w:val="20"/>
                <w:szCs w:val="20"/>
              </w:rPr>
              <w:t xml:space="preserve">Котельная </w:t>
            </w:r>
            <w:r>
              <w:rPr>
                <w:rFonts w:ascii="Liberation Serif" w:hAnsi="Liberation Serif" w:cs="Calibri"/>
                <w:color w:val="000000"/>
                <w:sz w:val="20"/>
                <w:szCs w:val="20"/>
              </w:rPr>
              <w:t xml:space="preserve">р.п.  Юргамыш, ул. Железнодорожная, территория тягловой подстанции ОАО «РЖД»</w:t>
            </w:r>
            <w:r>
              <w:rPr>
                <w:sz w:val="20"/>
                <w:szCs w:val="20"/>
              </w:rPr>
            </w:r>
            <w:r>
              <w:rPr>
                <w:sz w:val="20"/>
                <w:szCs w:val="20"/>
              </w:rPr>
            </w:r>
          </w:p>
        </w:tc>
        <w:tc>
          <w:tcPr>
            <w:tcW w:w="767" w:type="pct"/>
            <w:vAlign w:val="center"/>
            <w:vMerge w:val="restart"/>
            <w:textDirection w:val="lrTb"/>
            <w:noWrap w:val="false"/>
          </w:tcPr>
          <w:p>
            <w:pPr>
              <w:jc w:val="center"/>
              <w:rPr>
                <w:sz w:val="20"/>
                <w:szCs w:val="20"/>
              </w:rPr>
            </w:pPr>
            <w:r>
              <w:rPr>
                <w:sz w:val="20"/>
                <w:szCs w:val="20"/>
              </w:rPr>
              <w:t xml:space="preserve">максимальный часовой</w:t>
            </w:r>
            <w:r>
              <w:rPr>
                <w:sz w:val="20"/>
                <w:szCs w:val="20"/>
              </w:rPr>
            </w:r>
            <w:r>
              <w:rPr>
                <w:sz w:val="20"/>
                <w:szCs w:val="20"/>
              </w:rPr>
            </w:r>
          </w:p>
        </w:tc>
        <w:tc>
          <w:tcPr>
            <w:tcW w:w="676" w:type="pct"/>
            <w:vAlign w:val="center"/>
            <w:textDirection w:val="lrTb"/>
            <w:noWrap w:val="false"/>
          </w:tcPr>
          <w:p>
            <w:pPr>
              <w:rPr>
                <w:sz w:val="20"/>
                <w:szCs w:val="20"/>
              </w:rPr>
            </w:pPr>
            <w:r>
              <w:rPr>
                <w:sz w:val="20"/>
                <w:szCs w:val="20"/>
              </w:rPr>
              <w:t xml:space="preserve">зимний</w:t>
            </w:r>
            <w:r>
              <w:rPr>
                <w:sz w:val="20"/>
                <w:szCs w:val="20"/>
              </w:rPr>
            </w:r>
            <w:r>
              <w:rPr>
                <w:sz w:val="20"/>
                <w:szCs w:val="20"/>
              </w:rPr>
            </w:r>
          </w:p>
        </w:tc>
        <w:tc>
          <w:tcPr>
            <w:shd w:val="clear" w:color="auto" w:fill="auto"/>
            <w:tcW w:w="434" w:type="pct"/>
            <w:textDirection w:val="lrTb"/>
            <w:noWrap w:val="false"/>
          </w:tcPr>
          <w:p>
            <w:pPr>
              <w:jc w:val="center"/>
              <w:rPr>
                <w:sz w:val="20"/>
                <w:szCs w:val="20"/>
                <w:lang w:eastAsia="ru-RU"/>
              </w:rPr>
            </w:pPr>
            <w:r>
              <w:rPr>
                <w:sz w:val="20"/>
                <w:szCs w:val="20"/>
                <w:lang w:eastAsia="ru-RU"/>
              </w:rPr>
              <w:t xml:space="preserve">0,104</w:t>
            </w:r>
            <w:r>
              <w:rPr>
                <w:sz w:val="20"/>
                <w:szCs w:val="20"/>
                <w:lang w:eastAsia="ru-RU"/>
              </w:rPr>
            </w:r>
            <w:r>
              <w:rPr>
                <w:sz w:val="20"/>
                <w:szCs w:val="20"/>
                <w:lang w:eastAsia="ru-RU"/>
              </w:rPr>
            </w:r>
          </w:p>
        </w:tc>
        <w:tc>
          <w:tcPr>
            <w:shd w:val="clear" w:color="auto" w:fill="auto"/>
            <w:tcW w:w="434" w:type="pct"/>
            <w:textDirection w:val="lrTb"/>
            <w:noWrap w:val="false"/>
          </w:tcPr>
          <w:p>
            <w:pPr>
              <w:jc w:val="center"/>
              <w:rPr>
                <w:sz w:val="20"/>
                <w:szCs w:val="20"/>
                <w:lang w:eastAsia="ru-RU"/>
              </w:rPr>
            </w:pPr>
            <w:r>
              <w:rPr>
                <w:sz w:val="20"/>
                <w:szCs w:val="20"/>
                <w:lang w:eastAsia="ru-RU"/>
              </w:rPr>
              <w:t xml:space="preserve">0,104</w:t>
            </w:r>
            <w:r>
              <w:rPr>
                <w:sz w:val="20"/>
                <w:szCs w:val="20"/>
                <w:lang w:eastAsia="ru-RU"/>
              </w:rPr>
            </w:r>
            <w:r>
              <w:rPr>
                <w:sz w:val="20"/>
                <w:szCs w:val="20"/>
                <w:lang w:eastAsia="ru-RU"/>
              </w:rPr>
            </w:r>
          </w:p>
        </w:tc>
        <w:tc>
          <w:tcPr>
            <w:shd w:val="clear" w:color="auto" w:fill="auto"/>
            <w:tcW w:w="434" w:type="pct"/>
            <w:textDirection w:val="lrTb"/>
            <w:noWrap w:val="false"/>
          </w:tcPr>
          <w:p>
            <w:pPr>
              <w:jc w:val="center"/>
              <w:rPr>
                <w:sz w:val="20"/>
                <w:szCs w:val="20"/>
                <w:lang w:eastAsia="ru-RU"/>
              </w:rPr>
            </w:pPr>
            <w:r>
              <w:rPr>
                <w:sz w:val="20"/>
                <w:szCs w:val="20"/>
                <w:lang w:eastAsia="ru-RU"/>
              </w:rPr>
              <w:t xml:space="preserve">0,104</w:t>
            </w:r>
            <w:r>
              <w:rPr>
                <w:sz w:val="20"/>
                <w:szCs w:val="20"/>
                <w:lang w:eastAsia="ru-RU"/>
              </w:rPr>
            </w:r>
            <w:r>
              <w:rPr>
                <w:sz w:val="20"/>
                <w:szCs w:val="20"/>
                <w:lang w:eastAsia="ru-RU"/>
              </w:rPr>
            </w:r>
          </w:p>
        </w:tc>
        <w:tc>
          <w:tcPr>
            <w:shd w:val="clear" w:color="auto" w:fill="auto"/>
            <w:tcW w:w="434" w:type="pct"/>
            <w:textDirection w:val="lrTb"/>
            <w:noWrap w:val="false"/>
          </w:tcPr>
          <w:p>
            <w:pPr>
              <w:jc w:val="center"/>
              <w:rPr>
                <w:sz w:val="20"/>
                <w:szCs w:val="20"/>
                <w:lang w:eastAsia="ru-RU"/>
              </w:rPr>
            </w:pPr>
            <w:r>
              <w:rPr>
                <w:sz w:val="20"/>
                <w:szCs w:val="20"/>
                <w:lang w:eastAsia="ru-RU"/>
              </w:rPr>
              <w:t xml:space="preserve">0,104</w:t>
            </w:r>
            <w:r>
              <w:rPr>
                <w:sz w:val="20"/>
                <w:szCs w:val="20"/>
                <w:lang w:eastAsia="ru-RU"/>
              </w:rPr>
            </w:r>
            <w:r>
              <w:rPr>
                <w:sz w:val="20"/>
                <w:szCs w:val="20"/>
                <w:lang w:eastAsia="ru-RU"/>
              </w:rPr>
            </w:r>
          </w:p>
        </w:tc>
        <w:tc>
          <w:tcPr>
            <w:shd w:val="clear" w:color="auto" w:fill="auto"/>
            <w:tcW w:w="434" w:type="pct"/>
            <w:textDirection w:val="lrTb"/>
            <w:noWrap w:val="false"/>
          </w:tcPr>
          <w:p>
            <w:pPr>
              <w:jc w:val="center"/>
              <w:rPr>
                <w:sz w:val="20"/>
                <w:szCs w:val="20"/>
                <w:lang w:eastAsia="ru-RU"/>
              </w:rPr>
            </w:pPr>
            <w:r>
              <w:rPr>
                <w:sz w:val="20"/>
                <w:szCs w:val="20"/>
                <w:lang w:eastAsia="ru-RU"/>
              </w:rPr>
              <w:t xml:space="preserve">0,104</w:t>
            </w:r>
            <w:r>
              <w:rPr>
                <w:sz w:val="20"/>
                <w:szCs w:val="20"/>
                <w:lang w:eastAsia="ru-RU"/>
              </w:rPr>
            </w:r>
            <w:r>
              <w:rPr>
                <w:sz w:val="20"/>
                <w:szCs w:val="20"/>
                <w:lang w:eastAsia="ru-RU"/>
              </w:rPr>
            </w:r>
          </w:p>
        </w:tc>
        <w:tc>
          <w:tcPr>
            <w:shd w:val="clear" w:color="auto" w:fill="auto"/>
            <w:tcW w:w="443" w:type="pct"/>
            <w:textDirection w:val="lrTb"/>
            <w:noWrap w:val="false"/>
          </w:tcPr>
          <w:p>
            <w:pPr>
              <w:jc w:val="center"/>
              <w:rPr>
                <w:sz w:val="20"/>
                <w:szCs w:val="20"/>
                <w:lang w:eastAsia="ru-RU"/>
              </w:rPr>
            </w:pPr>
            <w:r>
              <w:rPr>
                <w:sz w:val="20"/>
                <w:szCs w:val="20"/>
                <w:lang w:eastAsia="ru-RU"/>
              </w:rPr>
              <w:t xml:space="preserve">0,104</w:t>
            </w:r>
            <w:r>
              <w:rPr>
                <w:sz w:val="20"/>
                <w:szCs w:val="20"/>
                <w:lang w:eastAsia="ru-RU"/>
              </w:rPr>
            </w:r>
            <w:r>
              <w:rPr>
                <w:sz w:val="20"/>
                <w:szCs w:val="20"/>
                <w:lang w:eastAsia="ru-RU"/>
              </w:rPr>
            </w:r>
          </w:p>
        </w:tc>
      </w:tr>
      <w:tr>
        <w:tblPrEx/>
        <w:trPr>
          <w:trHeight w:val="20"/>
        </w:trPr>
        <w:tc>
          <w:tcPr>
            <w:tcW w:w="945" w:type="pct"/>
            <w:vAlign w:val="center"/>
            <w:vMerge w:val="continue"/>
            <w:textDirection w:val="lrTb"/>
            <w:noWrap w:val="false"/>
          </w:tcPr>
          <w:p>
            <w:pPr>
              <w:rPr>
                <w:sz w:val="20"/>
                <w:szCs w:val="20"/>
              </w:rPr>
            </w:pPr>
            <w:r>
              <w:rPr>
                <w:sz w:val="20"/>
                <w:szCs w:val="20"/>
              </w:rPr>
            </w:r>
            <w:r>
              <w:rPr>
                <w:sz w:val="20"/>
                <w:szCs w:val="20"/>
              </w:rPr>
            </w:r>
            <w:r>
              <w:rPr>
                <w:sz w:val="20"/>
                <w:szCs w:val="20"/>
              </w:rPr>
            </w:r>
          </w:p>
        </w:tc>
        <w:tc>
          <w:tcPr>
            <w:tcW w:w="767" w:type="pct"/>
            <w:vAlign w:val="center"/>
            <w:vMerge w:val="continue"/>
            <w:textDirection w:val="lrTb"/>
            <w:noWrap w:val="false"/>
          </w:tcPr>
          <w:p>
            <w:pPr>
              <w:jc w:val="center"/>
              <w:rPr>
                <w:sz w:val="20"/>
                <w:szCs w:val="20"/>
              </w:rPr>
            </w:pPr>
            <w:r>
              <w:rPr>
                <w:sz w:val="20"/>
                <w:szCs w:val="20"/>
              </w:rPr>
            </w:r>
            <w:r>
              <w:rPr>
                <w:sz w:val="20"/>
                <w:szCs w:val="20"/>
              </w:rPr>
            </w:r>
            <w:r>
              <w:rPr>
                <w:sz w:val="20"/>
                <w:szCs w:val="20"/>
              </w:rPr>
            </w:r>
          </w:p>
        </w:tc>
        <w:tc>
          <w:tcPr>
            <w:tcW w:w="676" w:type="pct"/>
            <w:vAlign w:val="center"/>
            <w:textDirection w:val="lrTb"/>
            <w:noWrap w:val="false"/>
          </w:tcPr>
          <w:p>
            <w:pPr>
              <w:rPr>
                <w:sz w:val="20"/>
                <w:szCs w:val="20"/>
              </w:rPr>
            </w:pPr>
            <w:r>
              <w:rPr>
                <w:sz w:val="20"/>
                <w:szCs w:val="20"/>
              </w:rPr>
              <w:t xml:space="preserve">летний</w:t>
            </w:r>
            <w:r>
              <w:rPr>
                <w:sz w:val="20"/>
                <w:szCs w:val="20"/>
              </w:rPr>
            </w:r>
            <w:r>
              <w:rPr>
                <w:sz w:val="20"/>
                <w:szCs w:val="20"/>
              </w:rPr>
            </w:r>
          </w:p>
        </w:tc>
        <w:tc>
          <w:tcPr>
            <w:shd w:val="clear" w:color="auto" w:fill="auto"/>
            <w:tcW w:w="434" w:type="pct"/>
            <w:textDirection w:val="lrTb"/>
            <w:noWrap w:val="false"/>
          </w:tcPr>
          <w:p>
            <w:pPr>
              <w:jc w:val="center"/>
              <w:rPr>
                <w:sz w:val="20"/>
                <w:szCs w:val="20"/>
                <w:lang w:eastAsia="ru-RU"/>
              </w:rPr>
            </w:pPr>
            <w:r>
              <w:rPr>
                <w:sz w:val="20"/>
                <w:szCs w:val="20"/>
                <w:lang w:eastAsia="ru-RU"/>
              </w:rPr>
              <w:t xml:space="preserve">-</w:t>
            </w:r>
            <w:r>
              <w:rPr>
                <w:sz w:val="20"/>
                <w:szCs w:val="20"/>
                <w:lang w:eastAsia="ru-RU"/>
              </w:rPr>
            </w:r>
            <w:r>
              <w:rPr>
                <w:sz w:val="20"/>
                <w:szCs w:val="20"/>
                <w:lang w:eastAsia="ru-RU"/>
              </w:rPr>
            </w:r>
          </w:p>
        </w:tc>
        <w:tc>
          <w:tcPr>
            <w:shd w:val="clear" w:color="auto" w:fill="auto"/>
            <w:tcW w:w="434" w:type="pct"/>
            <w:textDirection w:val="lrTb"/>
            <w:noWrap w:val="false"/>
          </w:tcPr>
          <w:p>
            <w:pPr>
              <w:jc w:val="center"/>
              <w:rPr>
                <w:sz w:val="20"/>
                <w:szCs w:val="20"/>
                <w:lang w:eastAsia="ru-RU"/>
              </w:rPr>
            </w:pPr>
            <w:r>
              <w:rPr>
                <w:sz w:val="20"/>
                <w:szCs w:val="20"/>
                <w:lang w:eastAsia="ru-RU"/>
              </w:rPr>
              <w:t xml:space="preserve">-</w:t>
            </w:r>
            <w:r>
              <w:rPr>
                <w:sz w:val="20"/>
                <w:szCs w:val="20"/>
                <w:lang w:eastAsia="ru-RU"/>
              </w:rPr>
            </w:r>
            <w:r>
              <w:rPr>
                <w:sz w:val="20"/>
                <w:szCs w:val="20"/>
                <w:lang w:eastAsia="ru-RU"/>
              </w:rPr>
            </w:r>
          </w:p>
        </w:tc>
        <w:tc>
          <w:tcPr>
            <w:shd w:val="clear" w:color="auto" w:fill="auto"/>
            <w:tcW w:w="434" w:type="pct"/>
            <w:textDirection w:val="lrTb"/>
            <w:noWrap w:val="false"/>
          </w:tcPr>
          <w:p>
            <w:pPr>
              <w:jc w:val="center"/>
              <w:rPr>
                <w:sz w:val="20"/>
                <w:szCs w:val="20"/>
                <w:lang w:eastAsia="ru-RU"/>
              </w:rPr>
            </w:pPr>
            <w:r>
              <w:rPr>
                <w:sz w:val="20"/>
                <w:szCs w:val="20"/>
                <w:lang w:eastAsia="ru-RU"/>
              </w:rPr>
              <w:t xml:space="preserve">-</w:t>
            </w:r>
            <w:r>
              <w:rPr>
                <w:sz w:val="20"/>
                <w:szCs w:val="20"/>
                <w:lang w:eastAsia="ru-RU"/>
              </w:rPr>
            </w:r>
            <w:r>
              <w:rPr>
                <w:sz w:val="20"/>
                <w:szCs w:val="20"/>
                <w:lang w:eastAsia="ru-RU"/>
              </w:rPr>
            </w:r>
          </w:p>
        </w:tc>
        <w:tc>
          <w:tcPr>
            <w:shd w:val="clear" w:color="auto" w:fill="auto"/>
            <w:tcW w:w="434" w:type="pct"/>
            <w:textDirection w:val="lrTb"/>
            <w:noWrap w:val="false"/>
          </w:tcPr>
          <w:p>
            <w:pPr>
              <w:jc w:val="center"/>
              <w:rPr>
                <w:sz w:val="20"/>
                <w:szCs w:val="20"/>
                <w:lang w:eastAsia="ru-RU"/>
              </w:rPr>
            </w:pPr>
            <w:r>
              <w:rPr>
                <w:sz w:val="20"/>
                <w:szCs w:val="20"/>
                <w:lang w:eastAsia="ru-RU"/>
              </w:rPr>
              <w:t xml:space="preserve">-</w:t>
            </w:r>
            <w:r>
              <w:rPr>
                <w:sz w:val="20"/>
                <w:szCs w:val="20"/>
                <w:lang w:eastAsia="ru-RU"/>
              </w:rPr>
            </w:r>
            <w:r>
              <w:rPr>
                <w:sz w:val="20"/>
                <w:szCs w:val="20"/>
                <w:lang w:eastAsia="ru-RU"/>
              </w:rPr>
            </w:r>
          </w:p>
        </w:tc>
        <w:tc>
          <w:tcPr>
            <w:shd w:val="clear" w:color="auto" w:fill="auto"/>
            <w:tcW w:w="434" w:type="pct"/>
            <w:textDirection w:val="lrTb"/>
            <w:noWrap w:val="false"/>
          </w:tcPr>
          <w:p>
            <w:pPr>
              <w:jc w:val="center"/>
              <w:rPr>
                <w:sz w:val="20"/>
                <w:szCs w:val="20"/>
                <w:lang w:eastAsia="ru-RU"/>
              </w:rPr>
            </w:pPr>
            <w:r>
              <w:rPr>
                <w:sz w:val="20"/>
                <w:szCs w:val="20"/>
                <w:lang w:eastAsia="ru-RU"/>
              </w:rPr>
              <w:t xml:space="preserve">-</w:t>
            </w:r>
            <w:r>
              <w:rPr>
                <w:sz w:val="20"/>
                <w:szCs w:val="20"/>
                <w:lang w:eastAsia="ru-RU"/>
              </w:rPr>
            </w:r>
            <w:r>
              <w:rPr>
                <w:sz w:val="20"/>
                <w:szCs w:val="20"/>
                <w:lang w:eastAsia="ru-RU"/>
              </w:rPr>
            </w:r>
          </w:p>
        </w:tc>
        <w:tc>
          <w:tcPr>
            <w:shd w:val="clear" w:color="auto" w:fill="auto"/>
            <w:tcW w:w="443" w:type="pct"/>
            <w:textDirection w:val="lrTb"/>
            <w:noWrap w:val="false"/>
          </w:tcPr>
          <w:p>
            <w:pPr>
              <w:jc w:val="center"/>
              <w:rPr>
                <w:sz w:val="20"/>
                <w:szCs w:val="20"/>
                <w:lang w:eastAsia="ru-RU"/>
              </w:rPr>
            </w:pPr>
            <w:r>
              <w:rPr>
                <w:sz w:val="20"/>
                <w:szCs w:val="20"/>
                <w:lang w:eastAsia="ru-RU"/>
              </w:rPr>
              <w:t xml:space="preserve">-</w:t>
            </w:r>
            <w:r>
              <w:rPr>
                <w:sz w:val="20"/>
                <w:szCs w:val="20"/>
                <w:lang w:eastAsia="ru-RU"/>
              </w:rPr>
            </w:r>
            <w:r>
              <w:rPr>
                <w:sz w:val="20"/>
                <w:szCs w:val="20"/>
                <w:lang w:eastAsia="ru-RU"/>
              </w:rPr>
            </w:r>
          </w:p>
        </w:tc>
      </w:tr>
      <w:tr>
        <w:tblPrEx/>
        <w:trPr>
          <w:trHeight w:val="20"/>
        </w:trPr>
        <w:tc>
          <w:tcPr>
            <w:tcW w:w="945" w:type="pct"/>
            <w:vAlign w:val="center"/>
            <w:vMerge w:val="continue"/>
            <w:textDirection w:val="lrTb"/>
            <w:noWrap w:val="false"/>
          </w:tcPr>
          <w:p>
            <w:pPr>
              <w:rPr>
                <w:sz w:val="20"/>
                <w:szCs w:val="20"/>
              </w:rPr>
            </w:pPr>
            <w:r>
              <w:rPr>
                <w:sz w:val="20"/>
                <w:szCs w:val="20"/>
              </w:rPr>
            </w:r>
            <w:r>
              <w:rPr>
                <w:sz w:val="20"/>
                <w:szCs w:val="20"/>
              </w:rPr>
            </w:r>
            <w:r>
              <w:rPr>
                <w:sz w:val="20"/>
                <w:szCs w:val="20"/>
              </w:rPr>
            </w:r>
          </w:p>
        </w:tc>
        <w:tc>
          <w:tcPr>
            <w:tcW w:w="767" w:type="pct"/>
            <w:vAlign w:val="center"/>
            <w:vMerge w:val="continue"/>
            <w:textDirection w:val="lrTb"/>
            <w:noWrap w:val="false"/>
          </w:tcPr>
          <w:p>
            <w:pPr>
              <w:jc w:val="center"/>
              <w:rPr>
                <w:sz w:val="20"/>
                <w:szCs w:val="20"/>
              </w:rPr>
            </w:pPr>
            <w:r>
              <w:rPr>
                <w:sz w:val="20"/>
                <w:szCs w:val="20"/>
              </w:rPr>
            </w:r>
            <w:r>
              <w:rPr>
                <w:sz w:val="20"/>
                <w:szCs w:val="20"/>
              </w:rPr>
            </w:r>
            <w:r>
              <w:rPr>
                <w:sz w:val="20"/>
                <w:szCs w:val="20"/>
              </w:rPr>
            </w:r>
          </w:p>
        </w:tc>
        <w:tc>
          <w:tcPr>
            <w:tcW w:w="676" w:type="pct"/>
            <w:vAlign w:val="center"/>
            <w:textDirection w:val="lrTb"/>
            <w:noWrap w:val="false"/>
          </w:tcPr>
          <w:p>
            <w:pPr>
              <w:rPr>
                <w:sz w:val="20"/>
                <w:szCs w:val="20"/>
              </w:rPr>
            </w:pPr>
            <w:r>
              <w:rPr>
                <w:sz w:val="20"/>
                <w:szCs w:val="20"/>
              </w:rPr>
              <w:t xml:space="preserve">переходной</w:t>
            </w:r>
            <w:r>
              <w:rPr>
                <w:sz w:val="20"/>
                <w:szCs w:val="20"/>
              </w:rPr>
            </w:r>
            <w:r>
              <w:rPr>
                <w:sz w:val="20"/>
                <w:szCs w:val="20"/>
              </w:rPr>
            </w:r>
          </w:p>
        </w:tc>
        <w:tc>
          <w:tcPr>
            <w:shd w:val="clear" w:color="auto" w:fill="auto"/>
            <w:tcW w:w="434" w:type="pct"/>
            <w:textDirection w:val="lrTb"/>
            <w:noWrap w:val="false"/>
          </w:tcPr>
          <w:p>
            <w:pPr>
              <w:jc w:val="center"/>
              <w:rPr>
                <w:sz w:val="20"/>
                <w:szCs w:val="20"/>
                <w:lang w:eastAsia="ru-RU"/>
              </w:rPr>
            </w:pPr>
            <w:r>
              <w:rPr>
                <w:sz w:val="20"/>
                <w:szCs w:val="20"/>
                <w:lang w:eastAsia="ru-RU"/>
              </w:rPr>
              <w:t xml:space="preserve">0,042</w:t>
            </w:r>
            <w:r>
              <w:rPr>
                <w:sz w:val="20"/>
                <w:szCs w:val="20"/>
                <w:lang w:eastAsia="ru-RU"/>
              </w:rPr>
            </w:r>
            <w:r>
              <w:rPr>
                <w:sz w:val="20"/>
                <w:szCs w:val="20"/>
                <w:lang w:eastAsia="ru-RU"/>
              </w:rPr>
            </w:r>
          </w:p>
        </w:tc>
        <w:tc>
          <w:tcPr>
            <w:shd w:val="clear" w:color="auto" w:fill="auto"/>
            <w:tcW w:w="434" w:type="pct"/>
            <w:textDirection w:val="lrTb"/>
            <w:noWrap w:val="false"/>
          </w:tcPr>
          <w:p>
            <w:pPr>
              <w:jc w:val="center"/>
              <w:rPr>
                <w:sz w:val="20"/>
                <w:szCs w:val="20"/>
                <w:lang w:eastAsia="ru-RU"/>
              </w:rPr>
            </w:pPr>
            <w:r>
              <w:rPr>
                <w:sz w:val="20"/>
                <w:szCs w:val="20"/>
                <w:lang w:eastAsia="ru-RU"/>
              </w:rPr>
              <w:t xml:space="preserve">0,042</w:t>
            </w:r>
            <w:r>
              <w:rPr>
                <w:sz w:val="20"/>
                <w:szCs w:val="20"/>
                <w:lang w:eastAsia="ru-RU"/>
              </w:rPr>
            </w:r>
            <w:r>
              <w:rPr>
                <w:sz w:val="20"/>
                <w:szCs w:val="20"/>
                <w:lang w:eastAsia="ru-RU"/>
              </w:rPr>
            </w:r>
          </w:p>
        </w:tc>
        <w:tc>
          <w:tcPr>
            <w:shd w:val="clear" w:color="auto" w:fill="auto"/>
            <w:tcW w:w="434" w:type="pct"/>
            <w:textDirection w:val="lrTb"/>
            <w:noWrap w:val="false"/>
          </w:tcPr>
          <w:p>
            <w:pPr>
              <w:jc w:val="center"/>
              <w:rPr>
                <w:sz w:val="20"/>
                <w:szCs w:val="20"/>
                <w:lang w:eastAsia="ru-RU"/>
              </w:rPr>
            </w:pPr>
            <w:r>
              <w:rPr>
                <w:sz w:val="20"/>
                <w:szCs w:val="20"/>
                <w:lang w:eastAsia="ru-RU"/>
              </w:rPr>
              <w:t xml:space="preserve">0,042</w:t>
            </w:r>
            <w:r>
              <w:rPr>
                <w:sz w:val="20"/>
                <w:szCs w:val="20"/>
                <w:lang w:eastAsia="ru-RU"/>
              </w:rPr>
            </w:r>
            <w:r>
              <w:rPr>
                <w:sz w:val="20"/>
                <w:szCs w:val="20"/>
                <w:lang w:eastAsia="ru-RU"/>
              </w:rPr>
            </w:r>
          </w:p>
        </w:tc>
        <w:tc>
          <w:tcPr>
            <w:shd w:val="clear" w:color="auto" w:fill="auto"/>
            <w:tcW w:w="434" w:type="pct"/>
            <w:textDirection w:val="lrTb"/>
            <w:noWrap w:val="false"/>
          </w:tcPr>
          <w:p>
            <w:pPr>
              <w:jc w:val="center"/>
              <w:rPr>
                <w:sz w:val="20"/>
                <w:szCs w:val="20"/>
                <w:lang w:eastAsia="ru-RU"/>
              </w:rPr>
            </w:pPr>
            <w:r>
              <w:rPr>
                <w:sz w:val="20"/>
                <w:szCs w:val="20"/>
                <w:lang w:eastAsia="ru-RU"/>
              </w:rPr>
              <w:t xml:space="preserve">0,042</w:t>
            </w:r>
            <w:r>
              <w:rPr>
                <w:sz w:val="20"/>
                <w:szCs w:val="20"/>
                <w:lang w:eastAsia="ru-RU"/>
              </w:rPr>
            </w:r>
            <w:r>
              <w:rPr>
                <w:sz w:val="20"/>
                <w:szCs w:val="20"/>
                <w:lang w:eastAsia="ru-RU"/>
              </w:rPr>
            </w:r>
          </w:p>
        </w:tc>
        <w:tc>
          <w:tcPr>
            <w:shd w:val="clear" w:color="auto" w:fill="auto"/>
            <w:tcW w:w="434" w:type="pct"/>
            <w:textDirection w:val="lrTb"/>
            <w:noWrap w:val="false"/>
          </w:tcPr>
          <w:p>
            <w:pPr>
              <w:jc w:val="center"/>
              <w:rPr>
                <w:sz w:val="20"/>
                <w:szCs w:val="20"/>
                <w:lang w:eastAsia="ru-RU"/>
              </w:rPr>
            </w:pPr>
            <w:r>
              <w:rPr>
                <w:sz w:val="20"/>
                <w:szCs w:val="20"/>
                <w:lang w:eastAsia="ru-RU"/>
              </w:rPr>
              <w:t xml:space="preserve">0,042</w:t>
            </w:r>
            <w:r>
              <w:rPr>
                <w:sz w:val="20"/>
                <w:szCs w:val="20"/>
                <w:lang w:eastAsia="ru-RU"/>
              </w:rPr>
            </w:r>
            <w:r>
              <w:rPr>
                <w:sz w:val="20"/>
                <w:szCs w:val="20"/>
                <w:lang w:eastAsia="ru-RU"/>
              </w:rPr>
            </w:r>
          </w:p>
        </w:tc>
        <w:tc>
          <w:tcPr>
            <w:shd w:val="clear" w:color="auto" w:fill="auto"/>
            <w:tcW w:w="443" w:type="pct"/>
            <w:textDirection w:val="lrTb"/>
            <w:noWrap w:val="false"/>
          </w:tcPr>
          <w:p>
            <w:pPr>
              <w:jc w:val="center"/>
              <w:rPr>
                <w:sz w:val="20"/>
                <w:szCs w:val="20"/>
                <w:lang w:eastAsia="ru-RU"/>
              </w:rPr>
            </w:pPr>
            <w:r>
              <w:rPr>
                <w:sz w:val="20"/>
                <w:szCs w:val="20"/>
                <w:lang w:eastAsia="ru-RU"/>
              </w:rPr>
              <w:t xml:space="preserve">0,042</w:t>
            </w:r>
            <w:r>
              <w:rPr>
                <w:sz w:val="20"/>
                <w:szCs w:val="20"/>
                <w:lang w:eastAsia="ru-RU"/>
              </w:rPr>
            </w:r>
            <w:r>
              <w:rPr>
                <w:sz w:val="20"/>
                <w:szCs w:val="20"/>
                <w:lang w:eastAsia="ru-RU"/>
              </w:rPr>
            </w:r>
          </w:p>
        </w:tc>
      </w:tr>
      <w:tr>
        <w:tblPrEx/>
        <w:trPr>
          <w:trHeight w:val="230"/>
        </w:trPr>
        <w:tc>
          <w:tcPr>
            <w:tcW w:w="945" w:type="pct"/>
            <w:vAlign w:val="center"/>
            <w:vMerge w:val="continue"/>
            <w:textDirection w:val="lrTb"/>
            <w:noWrap w:val="false"/>
          </w:tcPr>
          <w:p>
            <w:pPr>
              <w:rPr>
                <w:sz w:val="20"/>
                <w:szCs w:val="20"/>
              </w:rPr>
            </w:pPr>
            <w:r>
              <w:rPr>
                <w:sz w:val="20"/>
                <w:szCs w:val="20"/>
              </w:rPr>
            </w:r>
            <w:r>
              <w:rPr>
                <w:sz w:val="20"/>
                <w:szCs w:val="20"/>
              </w:rPr>
            </w:r>
            <w:r>
              <w:rPr>
                <w:sz w:val="20"/>
                <w:szCs w:val="20"/>
              </w:rPr>
            </w:r>
          </w:p>
        </w:tc>
        <w:tc>
          <w:tcPr>
            <w:tcW w:w="767" w:type="pct"/>
            <w:vAlign w:val="center"/>
            <w:vMerge w:val="restart"/>
            <w:textDirection w:val="lrTb"/>
            <w:noWrap w:val="false"/>
          </w:tcPr>
          <w:p>
            <w:pPr>
              <w:jc w:val="center"/>
              <w:rPr>
                <w:sz w:val="20"/>
                <w:szCs w:val="20"/>
              </w:rPr>
            </w:pPr>
            <w:r>
              <w:rPr>
                <w:sz w:val="20"/>
                <w:szCs w:val="20"/>
              </w:rPr>
              <w:t xml:space="preserve">годовой</w:t>
            </w:r>
            <w:r>
              <w:rPr>
                <w:sz w:val="20"/>
                <w:szCs w:val="20"/>
              </w:rPr>
            </w:r>
            <w:r>
              <w:rPr>
                <w:sz w:val="20"/>
                <w:szCs w:val="20"/>
              </w:rPr>
            </w:r>
          </w:p>
        </w:tc>
        <w:tc>
          <w:tcPr>
            <w:tcW w:w="676" w:type="pct"/>
            <w:vAlign w:val="center"/>
            <w:textDirection w:val="lrTb"/>
            <w:noWrap w:val="false"/>
          </w:tcPr>
          <w:p>
            <w:pPr>
              <w:rPr>
                <w:sz w:val="20"/>
                <w:szCs w:val="20"/>
              </w:rPr>
            </w:pPr>
            <w:r>
              <w:rPr>
                <w:sz w:val="20"/>
                <w:szCs w:val="20"/>
              </w:rPr>
              <w:t xml:space="preserve">зимний</w:t>
            </w:r>
            <w:r>
              <w:rPr>
                <w:sz w:val="20"/>
                <w:szCs w:val="20"/>
              </w:rPr>
            </w:r>
            <w:r>
              <w:rPr>
                <w:sz w:val="20"/>
                <w:szCs w:val="20"/>
              </w:rPr>
            </w:r>
          </w:p>
        </w:tc>
        <w:tc>
          <w:tcPr>
            <w:shd w:val="clear" w:color="auto" w:fill="auto"/>
            <w:tcW w:w="434" w:type="pct"/>
            <w:vAlign w:val="center"/>
            <w:textDirection w:val="lrTb"/>
            <w:noWrap w:val="false"/>
          </w:tcPr>
          <w:p>
            <w:pPr>
              <w:jc w:val="center"/>
              <w:rPr>
                <w:bCs/>
                <w:sz w:val="20"/>
                <w:szCs w:val="20"/>
              </w:rPr>
            </w:pPr>
            <w:r>
              <w:rPr>
                <w:bCs/>
                <w:sz w:val="20"/>
                <w:szCs w:val="20"/>
              </w:rPr>
              <w:t xml:space="preserve">224,64</w:t>
            </w:r>
            <w:r>
              <w:rPr>
                <w:bCs/>
                <w:sz w:val="20"/>
                <w:szCs w:val="20"/>
              </w:rPr>
            </w:r>
            <w:r>
              <w:rPr>
                <w:bCs/>
                <w:sz w:val="20"/>
                <w:szCs w:val="20"/>
              </w:rPr>
            </w:r>
          </w:p>
        </w:tc>
        <w:tc>
          <w:tcPr>
            <w:shd w:val="clear" w:color="auto" w:fill="auto"/>
            <w:tcW w:w="434" w:type="pct"/>
            <w:vAlign w:val="center"/>
            <w:textDirection w:val="lrTb"/>
            <w:noWrap w:val="false"/>
          </w:tcPr>
          <w:p>
            <w:pPr>
              <w:jc w:val="center"/>
              <w:rPr>
                <w:bCs/>
                <w:sz w:val="20"/>
                <w:szCs w:val="20"/>
              </w:rPr>
            </w:pPr>
            <w:r>
              <w:rPr>
                <w:bCs/>
                <w:sz w:val="20"/>
                <w:szCs w:val="20"/>
              </w:rPr>
              <w:t xml:space="preserve">224,64</w:t>
            </w:r>
            <w:r>
              <w:rPr>
                <w:bCs/>
                <w:sz w:val="20"/>
                <w:szCs w:val="20"/>
              </w:rPr>
            </w:r>
            <w:r>
              <w:rPr>
                <w:bCs/>
                <w:sz w:val="20"/>
                <w:szCs w:val="20"/>
              </w:rPr>
            </w:r>
          </w:p>
        </w:tc>
        <w:tc>
          <w:tcPr>
            <w:shd w:val="clear" w:color="auto" w:fill="auto"/>
            <w:tcW w:w="434" w:type="pct"/>
            <w:vAlign w:val="center"/>
            <w:textDirection w:val="lrTb"/>
            <w:noWrap w:val="false"/>
          </w:tcPr>
          <w:p>
            <w:pPr>
              <w:jc w:val="center"/>
              <w:rPr>
                <w:bCs/>
                <w:sz w:val="20"/>
                <w:szCs w:val="20"/>
              </w:rPr>
            </w:pPr>
            <w:r>
              <w:rPr>
                <w:bCs/>
                <w:sz w:val="20"/>
                <w:szCs w:val="20"/>
              </w:rPr>
              <w:t xml:space="preserve">224,64</w:t>
            </w:r>
            <w:r>
              <w:rPr>
                <w:bCs/>
                <w:sz w:val="20"/>
                <w:szCs w:val="20"/>
              </w:rPr>
            </w:r>
            <w:r>
              <w:rPr>
                <w:bCs/>
                <w:sz w:val="20"/>
                <w:szCs w:val="20"/>
              </w:rPr>
            </w:r>
          </w:p>
        </w:tc>
        <w:tc>
          <w:tcPr>
            <w:shd w:val="clear" w:color="auto" w:fill="auto"/>
            <w:tcW w:w="434" w:type="pct"/>
            <w:vAlign w:val="center"/>
            <w:textDirection w:val="lrTb"/>
            <w:noWrap w:val="false"/>
          </w:tcPr>
          <w:p>
            <w:pPr>
              <w:jc w:val="center"/>
              <w:rPr>
                <w:bCs/>
                <w:sz w:val="20"/>
                <w:szCs w:val="20"/>
              </w:rPr>
            </w:pPr>
            <w:r>
              <w:rPr>
                <w:bCs/>
                <w:sz w:val="20"/>
                <w:szCs w:val="20"/>
              </w:rPr>
              <w:t xml:space="preserve">224,64</w:t>
            </w:r>
            <w:r>
              <w:rPr>
                <w:bCs/>
                <w:sz w:val="20"/>
                <w:szCs w:val="20"/>
              </w:rPr>
            </w:r>
            <w:r>
              <w:rPr>
                <w:bCs/>
                <w:sz w:val="20"/>
                <w:szCs w:val="20"/>
              </w:rPr>
            </w:r>
          </w:p>
        </w:tc>
        <w:tc>
          <w:tcPr>
            <w:shd w:val="clear" w:color="auto" w:fill="auto"/>
            <w:tcW w:w="434" w:type="pct"/>
            <w:vAlign w:val="center"/>
            <w:textDirection w:val="lrTb"/>
            <w:noWrap w:val="false"/>
          </w:tcPr>
          <w:p>
            <w:pPr>
              <w:jc w:val="center"/>
              <w:rPr>
                <w:bCs/>
                <w:sz w:val="20"/>
                <w:szCs w:val="20"/>
              </w:rPr>
            </w:pPr>
            <w:r>
              <w:rPr>
                <w:bCs/>
                <w:sz w:val="20"/>
                <w:szCs w:val="20"/>
              </w:rPr>
              <w:t xml:space="preserve">224,64</w:t>
            </w:r>
            <w:r>
              <w:rPr>
                <w:bCs/>
                <w:sz w:val="20"/>
                <w:szCs w:val="20"/>
              </w:rPr>
            </w:r>
            <w:r>
              <w:rPr>
                <w:bCs/>
                <w:sz w:val="20"/>
                <w:szCs w:val="20"/>
              </w:rPr>
            </w:r>
          </w:p>
        </w:tc>
        <w:tc>
          <w:tcPr>
            <w:shd w:val="clear" w:color="auto" w:fill="auto"/>
            <w:tcW w:w="443" w:type="pct"/>
            <w:vAlign w:val="center"/>
            <w:textDirection w:val="lrTb"/>
            <w:noWrap w:val="false"/>
          </w:tcPr>
          <w:p>
            <w:pPr>
              <w:jc w:val="center"/>
              <w:rPr>
                <w:bCs/>
                <w:sz w:val="20"/>
                <w:szCs w:val="20"/>
              </w:rPr>
            </w:pPr>
            <w:r>
              <w:rPr>
                <w:bCs/>
                <w:sz w:val="20"/>
                <w:szCs w:val="20"/>
              </w:rPr>
              <w:t xml:space="preserve">224,64</w:t>
            </w:r>
            <w:r>
              <w:rPr>
                <w:bCs/>
                <w:sz w:val="20"/>
                <w:szCs w:val="20"/>
              </w:rPr>
            </w:r>
            <w:r>
              <w:rPr>
                <w:bCs/>
                <w:sz w:val="20"/>
                <w:szCs w:val="20"/>
              </w:rPr>
            </w:r>
          </w:p>
        </w:tc>
      </w:tr>
      <w:tr>
        <w:tblPrEx/>
        <w:trPr>
          <w:trHeight w:val="20"/>
        </w:trPr>
        <w:tc>
          <w:tcPr>
            <w:tcW w:w="945" w:type="pct"/>
            <w:vAlign w:val="center"/>
            <w:vMerge w:val="continue"/>
            <w:textDirection w:val="lrTb"/>
            <w:noWrap w:val="false"/>
          </w:tcPr>
          <w:p>
            <w:pPr>
              <w:rPr>
                <w:sz w:val="20"/>
                <w:szCs w:val="20"/>
              </w:rPr>
            </w:pPr>
            <w:r>
              <w:rPr>
                <w:sz w:val="20"/>
                <w:szCs w:val="20"/>
              </w:rPr>
            </w:r>
            <w:r>
              <w:rPr>
                <w:sz w:val="20"/>
                <w:szCs w:val="20"/>
              </w:rPr>
            </w:r>
            <w:r>
              <w:rPr>
                <w:sz w:val="20"/>
                <w:szCs w:val="20"/>
              </w:rPr>
            </w:r>
          </w:p>
        </w:tc>
        <w:tc>
          <w:tcPr>
            <w:tcW w:w="767" w:type="pct"/>
            <w:vAlign w:val="center"/>
            <w:vMerge w:val="continue"/>
            <w:textDirection w:val="lrTb"/>
            <w:noWrap w:val="false"/>
          </w:tcPr>
          <w:p>
            <w:pPr>
              <w:rPr>
                <w:sz w:val="20"/>
                <w:szCs w:val="20"/>
              </w:rPr>
            </w:pPr>
            <w:r>
              <w:rPr>
                <w:sz w:val="20"/>
                <w:szCs w:val="20"/>
              </w:rPr>
            </w:r>
            <w:r>
              <w:rPr>
                <w:sz w:val="20"/>
                <w:szCs w:val="20"/>
              </w:rPr>
            </w:r>
            <w:r>
              <w:rPr>
                <w:sz w:val="20"/>
                <w:szCs w:val="20"/>
              </w:rPr>
            </w:r>
          </w:p>
        </w:tc>
        <w:tc>
          <w:tcPr>
            <w:tcW w:w="676" w:type="pct"/>
            <w:vAlign w:val="center"/>
            <w:textDirection w:val="lrTb"/>
            <w:noWrap w:val="false"/>
          </w:tcPr>
          <w:p>
            <w:pPr>
              <w:rPr>
                <w:sz w:val="20"/>
                <w:szCs w:val="20"/>
              </w:rPr>
            </w:pPr>
            <w:r>
              <w:rPr>
                <w:sz w:val="20"/>
                <w:szCs w:val="20"/>
              </w:rPr>
              <w:t xml:space="preserve">летний</w:t>
            </w:r>
            <w:r>
              <w:rPr>
                <w:sz w:val="20"/>
                <w:szCs w:val="20"/>
              </w:rPr>
            </w:r>
            <w:r>
              <w:rPr>
                <w:sz w:val="20"/>
                <w:szCs w:val="20"/>
              </w:rPr>
            </w:r>
          </w:p>
        </w:tc>
        <w:tc>
          <w:tcPr>
            <w:shd w:val="clear" w:color="auto" w:fill="auto"/>
            <w:tcW w:w="434"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c>
          <w:tcPr>
            <w:shd w:val="clear" w:color="auto" w:fill="auto"/>
            <w:tcW w:w="434"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c>
          <w:tcPr>
            <w:shd w:val="clear" w:color="auto" w:fill="auto"/>
            <w:tcW w:w="434"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c>
          <w:tcPr>
            <w:shd w:val="clear" w:color="auto" w:fill="auto"/>
            <w:tcW w:w="434"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c>
          <w:tcPr>
            <w:shd w:val="clear" w:color="auto" w:fill="auto"/>
            <w:tcW w:w="434"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c>
          <w:tcPr>
            <w:shd w:val="clear" w:color="auto" w:fill="auto"/>
            <w:tcW w:w="443" w:type="pct"/>
            <w:vAlign w:val="center"/>
            <w:textDirection w:val="lrTb"/>
            <w:noWrap w:val="false"/>
          </w:tcPr>
          <w:p>
            <w:pPr>
              <w:jc w:val="center"/>
              <w:rPr>
                <w:sz w:val="20"/>
                <w:szCs w:val="20"/>
              </w:rPr>
            </w:pPr>
            <w:r>
              <w:rPr>
                <w:sz w:val="20"/>
                <w:szCs w:val="20"/>
              </w:rPr>
              <w:t xml:space="preserve">-</w:t>
            </w:r>
            <w:r>
              <w:rPr>
                <w:sz w:val="20"/>
                <w:szCs w:val="20"/>
              </w:rPr>
            </w:r>
            <w:r>
              <w:rPr>
                <w:sz w:val="20"/>
                <w:szCs w:val="20"/>
              </w:rPr>
            </w:r>
          </w:p>
        </w:tc>
      </w:tr>
      <w:tr>
        <w:tblPrEx/>
        <w:trPr>
          <w:trHeight w:val="20"/>
        </w:trPr>
        <w:tc>
          <w:tcPr>
            <w:tcW w:w="945" w:type="pct"/>
            <w:vAlign w:val="center"/>
            <w:vMerge w:val="continue"/>
            <w:textDirection w:val="lrTb"/>
            <w:noWrap w:val="false"/>
          </w:tcPr>
          <w:p>
            <w:pPr>
              <w:rPr>
                <w:sz w:val="20"/>
                <w:szCs w:val="20"/>
              </w:rPr>
            </w:pPr>
            <w:r>
              <w:rPr>
                <w:sz w:val="20"/>
                <w:szCs w:val="20"/>
              </w:rPr>
            </w:r>
            <w:r>
              <w:rPr>
                <w:sz w:val="20"/>
                <w:szCs w:val="20"/>
              </w:rPr>
            </w:r>
            <w:r>
              <w:rPr>
                <w:sz w:val="20"/>
                <w:szCs w:val="20"/>
              </w:rPr>
            </w:r>
          </w:p>
        </w:tc>
        <w:tc>
          <w:tcPr>
            <w:tcW w:w="767" w:type="pct"/>
            <w:vAlign w:val="center"/>
            <w:vMerge w:val="continue"/>
            <w:textDirection w:val="lrTb"/>
            <w:noWrap w:val="false"/>
          </w:tcPr>
          <w:p>
            <w:pPr>
              <w:rPr>
                <w:sz w:val="20"/>
                <w:szCs w:val="20"/>
              </w:rPr>
            </w:pPr>
            <w:r>
              <w:rPr>
                <w:sz w:val="20"/>
                <w:szCs w:val="20"/>
              </w:rPr>
            </w:r>
            <w:r>
              <w:rPr>
                <w:sz w:val="20"/>
                <w:szCs w:val="20"/>
              </w:rPr>
            </w:r>
            <w:r>
              <w:rPr>
                <w:sz w:val="20"/>
                <w:szCs w:val="20"/>
              </w:rPr>
            </w:r>
          </w:p>
        </w:tc>
        <w:tc>
          <w:tcPr>
            <w:tcW w:w="676" w:type="pct"/>
            <w:vAlign w:val="center"/>
            <w:textDirection w:val="lrTb"/>
            <w:noWrap w:val="false"/>
          </w:tcPr>
          <w:p>
            <w:pPr>
              <w:rPr>
                <w:sz w:val="20"/>
                <w:szCs w:val="20"/>
              </w:rPr>
            </w:pPr>
            <w:r>
              <w:rPr>
                <w:sz w:val="20"/>
                <w:szCs w:val="20"/>
              </w:rPr>
              <w:t xml:space="preserve">переходной</w:t>
            </w:r>
            <w:r>
              <w:rPr>
                <w:sz w:val="20"/>
                <w:szCs w:val="20"/>
              </w:rPr>
            </w:r>
            <w:r>
              <w:rPr>
                <w:sz w:val="20"/>
                <w:szCs w:val="20"/>
              </w:rPr>
            </w:r>
          </w:p>
        </w:tc>
        <w:tc>
          <w:tcPr>
            <w:shd w:val="clear" w:color="auto" w:fill="auto"/>
            <w:tcW w:w="434" w:type="pct"/>
            <w:vAlign w:val="center"/>
            <w:textDirection w:val="lrTb"/>
            <w:noWrap w:val="false"/>
          </w:tcPr>
          <w:p>
            <w:pPr>
              <w:jc w:val="center"/>
              <w:rPr>
                <w:bCs/>
                <w:sz w:val="20"/>
                <w:szCs w:val="20"/>
              </w:rPr>
            </w:pPr>
            <w:r>
              <w:rPr>
                <w:bCs/>
                <w:sz w:val="20"/>
                <w:szCs w:val="20"/>
              </w:rPr>
              <w:t xml:space="preserve">84,94</w:t>
            </w:r>
            <w:r>
              <w:rPr>
                <w:bCs/>
                <w:sz w:val="20"/>
                <w:szCs w:val="20"/>
              </w:rPr>
            </w:r>
            <w:r>
              <w:rPr>
                <w:bCs/>
                <w:sz w:val="20"/>
                <w:szCs w:val="20"/>
              </w:rPr>
            </w:r>
          </w:p>
        </w:tc>
        <w:tc>
          <w:tcPr>
            <w:shd w:val="clear" w:color="auto" w:fill="auto"/>
            <w:tcW w:w="434" w:type="pct"/>
            <w:vAlign w:val="center"/>
            <w:textDirection w:val="lrTb"/>
            <w:noWrap w:val="false"/>
          </w:tcPr>
          <w:p>
            <w:pPr>
              <w:jc w:val="center"/>
              <w:rPr>
                <w:bCs/>
                <w:sz w:val="20"/>
                <w:szCs w:val="20"/>
              </w:rPr>
            </w:pPr>
            <w:r>
              <w:rPr>
                <w:bCs/>
                <w:sz w:val="20"/>
                <w:szCs w:val="20"/>
              </w:rPr>
              <w:t xml:space="preserve">84,94</w:t>
            </w:r>
            <w:r>
              <w:rPr>
                <w:bCs/>
                <w:sz w:val="20"/>
                <w:szCs w:val="20"/>
              </w:rPr>
            </w:r>
            <w:r>
              <w:rPr>
                <w:bCs/>
                <w:sz w:val="20"/>
                <w:szCs w:val="20"/>
              </w:rPr>
            </w:r>
          </w:p>
        </w:tc>
        <w:tc>
          <w:tcPr>
            <w:shd w:val="clear" w:color="auto" w:fill="auto"/>
            <w:tcW w:w="434" w:type="pct"/>
            <w:vAlign w:val="center"/>
            <w:textDirection w:val="lrTb"/>
            <w:noWrap w:val="false"/>
          </w:tcPr>
          <w:p>
            <w:pPr>
              <w:jc w:val="center"/>
              <w:rPr>
                <w:bCs/>
                <w:sz w:val="20"/>
                <w:szCs w:val="20"/>
              </w:rPr>
            </w:pPr>
            <w:r>
              <w:rPr>
                <w:bCs/>
                <w:sz w:val="20"/>
                <w:szCs w:val="20"/>
              </w:rPr>
              <w:t xml:space="preserve">84,94</w:t>
            </w:r>
            <w:r>
              <w:rPr>
                <w:bCs/>
                <w:sz w:val="20"/>
                <w:szCs w:val="20"/>
              </w:rPr>
            </w:r>
            <w:r>
              <w:rPr>
                <w:bCs/>
                <w:sz w:val="20"/>
                <w:szCs w:val="20"/>
              </w:rPr>
            </w:r>
          </w:p>
        </w:tc>
        <w:tc>
          <w:tcPr>
            <w:shd w:val="clear" w:color="auto" w:fill="auto"/>
            <w:tcW w:w="434" w:type="pct"/>
            <w:vAlign w:val="center"/>
            <w:textDirection w:val="lrTb"/>
            <w:noWrap w:val="false"/>
          </w:tcPr>
          <w:p>
            <w:pPr>
              <w:jc w:val="center"/>
              <w:rPr>
                <w:bCs/>
                <w:sz w:val="20"/>
                <w:szCs w:val="20"/>
              </w:rPr>
            </w:pPr>
            <w:r>
              <w:rPr>
                <w:bCs/>
                <w:sz w:val="20"/>
                <w:szCs w:val="20"/>
              </w:rPr>
              <w:t xml:space="preserve">84,94</w:t>
            </w:r>
            <w:r>
              <w:rPr>
                <w:bCs/>
                <w:sz w:val="20"/>
                <w:szCs w:val="20"/>
              </w:rPr>
            </w:r>
            <w:r>
              <w:rPr>
                <w:bCs/>
                <w:sz w:val="20"/>
                <w:szCs w:val="20"/>
              </w:rPr>
            </w:r>
          </w:p>
        </w:tc>
        <w:tc>
          <w:tcPr>
            <w:shd w:val="clear" w:color="auto" w:fill="auto"/>
            <w:tcW w:w="434" w:type="pct"/>
            <w:vAlign w:val="center"/>
            <w:textDirection w:val="lrTb"/>
            <w:noWrap w:val="false"/>
          </w:tcPr>
          <w:p>
            <w:pPr>
              <w:jc w:val="center"/>
              <w:rPr>
                <w:bCs/>
                <w:sz w:val="20"/>
                <w:szCs w:val="20"/>
              </w:rPr>
            </w:pPr>
            <w:r>
              <w:rPr>
                <w:bCs/>
                <w:sz w:val="20"/>
                <w:szCs w:val="20"/>
              </w:rPr>
              <w:t xml:space="preserve">84,94</w:t>
            </w:r>
            <w:r>
              <w:rPr>
                <w:bCs/>
                <w:sz w:val="20"/>
                <w:szCs w:val="20"/>
              </w:rPr>
            </w:r>
            <w:r>
              <w:rPr>
                <w:bCs/>
                <w:sz w:val="20"/>
                <w:szCs w:val="20"/>
              </w:rPr>
            </w:r>
          </w:p>
        </w:tc>
        <w:tc>
          <w:tcPr>
            <w:shd w:val="clear" w:color="auto" w:fill="auto"/>
            <w:tcW w:w="443" w:type="pct"/>
            <w:vAlign w:val="center"/>
            <w:textDirection w:val="lrTb"/>
            <w:noWrap w:val="false"/>
          </w:tcPr>
          <w:p>
            <w:pPr>
              <w:jc w:val="center"/>
              <w:rPr>
                <w:bCs/>
                <w:sz w:val="20"/>
                <w:szCs w:val="20"/>
              </w:rPr>
            </w:pPr>
            <w:r>
              <w:rPr>
                <w:bCs/>
                <w:sz w:val="20"/>
                <w:szCs w:val="20"/>
              </w:rPr>
              <w:t xml:space="preserve">84,94</w:t>
            </w:r>
            <w:r>
              <w:rPr>
                <w:bCs/>
                <w:sz w:val="20"/>
                <w:szCs w:val="20"/>
              </w:rPr>
            </w:r>
            <w:r>
              <w:rPr>
                <w:bCs/>
                <w:sz w:val="20"/>
                <w:szCs w:val="20"/>
              </w:rPr>
            </w:r>
          </w:p>
        </w:tc>
      </w:tr>
      <w:tr>
        <w:tblPrEx/>
        <w:trPr>
          <w:trHeight w:val="20"/>
        </w:trPr>
        <w:tc>
          <w:tcPr>
            <w:tcW w:w="945" w:type="pct"/>
            <w:vAlign w:val="center"/>
            <w:vMerge w:val="restart"/>
            <w:textDirection w:val="lrTb"/>
            <w:noWrap w:val="false"/>
          </w:tcPr>
          <w:p>
            <w:pPr>
              <w:jc w:val="center"/>
              <w:rPr>
                <w:sz w:val="20"/>
                <w:szCs w:val="20"/>
              </w:rPr>
            </w:pPr>
            <w:r>
              <w:rPr>
                <w:sz w:val="20"/>
                <w:szCs w:val="20"/>
              </w:rPr>
              <w:t xml:space="preserve">Котельная ФКУ ИК №7 УФСИН России по Курганской области,</w:t>
            </w:r>
            <w:r>
              <w:rPr>
                <w:rFonts w:ascii="Liberation Serif" w:hAnsi="Liberation Serif" w:cs="Calibri"/>
                <w:color w:val="000000"/>
                <w:sz w:val="20"/>
                <w:szCs w:val="20"/>
              </w:rPr>
              <w:t xml:space="preserve"> Курганская область, р.п. Юргамыш, ул. Труда, 147</w:t>
            </w:r>
            <w:r>
              <w:rPr>
                <w:sz w:val="20"/>
                <w:szCs w:val="20"/>
              </w:rPr>
            </w:r>
            <w:r>
              <w:rPr>
                <w:sz w:val="20"/>
                <w:szCs w:val="20"/>
              </w:rPr>
            </w:r>
          </w:p>
        </w:tc>
        <w:tc>
          <w:tcPr>
            <w:tcW w:w="767" w:type="pct"/>
            <w:vAlign w:val="center"/>
            <w:vMerge w:val="restart"/>
            <w:textDirection w:val="lrTb"/>
            <w:noWrap w:val="false"/>
          </w:tcPr>
          <w:p>
            <w:pPr>
              <w:jc w:val="center"/>
              <w:rPr>
                <w:sz w:val="20"/>
                <w:szCs w:val="20"/>
              </w:rPr>
            </w:pPr>
            <w:r>
              <w:rPr>
                <w:sz w:val="20"/>
                <w:szCs w:val="20"/>
              </w:rPr>
              <w:t xml:space="preserve">максимальный часовой</w:t>
            </w:r>
            <w:r>
              <w:rPr>
                <w:sz w:val="20"/>
                <w:szCs w:val="20"/>
              </w:rPr>
            </w:r>
            <w:r>
              <w:rPr>
                <w:sz w:val="20"/>
                <w:szCs w:val="20"/>
              </w:rPr>
            </w:r>
          </w:p>
        </w:tc>
        <w:tc>
          <w:tcPr>
            <w:tcW w:w="676" w:type="pct"/>
            <w:vAlign w:val="center"/>
            <w:textDirection w:val="lrTb"/>
            <w:noWrap w:val="false"/>
          </w:tcPr>
          <w:p>
            <w:pPr>
              <w:rPr>
                <w:sz w:val="20"/>
                <w:szCs w:val="20"/>
              </w:rPr>
            </w:pPr>
            <w:r>
              <w:rPr>
                <w:sz w:val="20"/>
                <w:szCs w:val="20"/>
              </w:rPr>
              <w:t xml:space="preserve">зимний</w:t>
            </w:r>
            <w:r>
              <w:rPr>
                <w:sz w:val="20"/>
                <w:szCs w:val="20"/>
              </w:rPr>
            </w:r>
            <w:r>
              <w:rPr>
                <w:sz w:val="20"/>
                <w:szCs w:val="20"/>
              </w:rPr>
            </w:r>
          </w:p>
        </w:tc>
        <w:tc>
          <w:tcPr>
            <w:shd w:val="clear" w:color="auto" w:fill="auto"/>
            <w:tcW w:w="434" w:type="pct"/>
            <w:vAlign w:val="center"/>
            <w:textDirection w:val="lrTb"/>
            <w:noWrap w:val="false"/>
          </w:tcPr>
          <w:p>
            <w:pPr>
              <w:jc w:val="center"/>
              <w:rPr>
                <w:bCs/>
                <w:sz w:val="20"/>
                <w:szCs w:val="20"/>
              </w:rPr>
            </w:pPr>
            <w:r>
              <w:rPr>
                <w:bCs/>
                <w:sz w:val="20"/>
                <w:szCs w:val="20"/>
              </w:rPr>
              <w:t xml:space="preserve">н/д</w:t>
            </w:r>
            <w:r>
              <w:rPr>
                <w:bCs/>
                <w:sz w:val="20"/>
                <w:szCs w:val="20"/>
              </w:rPr>
            </w:r>
            <w:r>
              <w:rPr>
                <w:bCs/>
                <w:sz w:val="20"/>
                <w:szCs w:val="20"/>
              </w:rPr>
            </w:r>
          </w:p>
        </w:tc>
        <w:tc>
          <w:tcPr>
            <w:shd w:val="clear" w:color="auto" w:fill="auto"/>
            <w:tcW w:w="434" w:type="pct"/>
            <w:vAlign w:val="center"/>
            <w:textDirection w:val="lrTb"/>
            <w:noWrap w:val="false"/>
          </w:tcPr>
          <w:p>
            <w:pPr>
              <w:jc w:val="center"/>
              <w:rPr>
                <w:bCs/>
                <w:sz w:val="20"/>
                <w:szCs w:val="20"/>
              </w:rPr>
            </w:pPr>
            <w:r>
              <w:rPr>
                <w:bCs/>
                <w:sz w:val="20"/>
                <w:szCs w:val="20"/>
              </w:rPr>
              <w:t xml:space="preserve">н/д</w:t>
            </w:r>
            <w:r>
              <w:rPr>
                <w:bCs/>
                <w:sz w:val="20"/>
                <w:szCs w:val="20"/>
              </w:rPr>
            </w:r>
            <w:r>
              <w:rPr>
                <w:bCs/>
                <w:sz w:val="20"/>
                <w:szCs w:val="20"/>
              </w:rPr>
            </w:r>
          </w:p>
        </w:tc>
        <w:tc>
          <w:tcPr>
            <w:shd w:val="clear" w:color="auto" w:fill="auto"/>
            <w:tcW w:w="434" w:type="pct"/>
            <w:vAlign w:val="center"/>
            <w:textDirection w:val="lrTb"/>
            <w:noWrap w:val="false"/>
          </w:tcPr>
          <w:p>
            <w:pPr>
              <w:jc w:val="center"/>
              <w:rPr>
                <w:bCs/>
                <w:sz w:val="20"/>
                <w:szCs w:val="20"/>
              </w:rPr>
            </w:pPr>
            <w:r>
              <w:rPr>
                <w:bCs/>
                <w:sz w:val="20"/>
                <w:szCs w:val="20"/>
              </w:rPr>
              <w:t xml:space="preserve">н/д</w:t>
            </w:r>
            <w:r>
              <w:rPr>
                <w:bCs/>
                <w:sz w:val="20"/>
                <w:szCs w:val="20"/>
              </w:rPr>
            </w:r>
            <w:r>
              <w:rPr>
                <w:bCs/>
                <w:sz w:val="20"/>
                <w:szCs w:val="20"/>
              </w:rPr>
            </w:r>
          </w:p>
        </w:tc>
        <w:tc>
          <w:tcPr>
            <w:shd w:val="clear" w:color="auto" w:fill="auto"/>
            <w:tcW w:w="434" w:type="pct"/>
            <w:vAlign w:val="center"/>
            <w:textDirection w:val="lrTb"/>
            <w:noWrap w:val="false"/>
          </w:tcPr>
          <w:p>
            <w:pPr>
              <w:jc w:val="center"/>
              <w:rPr>
                <w:bCs/>
                <w:sz w:val="20"/>
                <w:szCs w:val="20"/>
              </w:rPr>
            </w:pPr>
            <w:r>
              <w:rPr>
                <w:bCs/>
                <w:sz w:val="20"/>
                <w:szCs w:val="20"/>
              </w:rPr>
              <w:t xml:space="preserve">н/д</w:t>
            </w:r>
            <w:r>
              <w:rPr>
                <w:bCs/>
                <w:sz w:val="20"/>
                <w:szCs w:val="20"/>
              </w:rPr>
            </w:r>
            <w:r>
              <w:rPr>
                <w:bCs/>
                <w:sz w:val="20"/>
                <w:szCs w:val="20"/>
              </w:rPr>
            </w:r>
          </w:p>
        </w:tc>
        <w:tc>
          <w:tcPr>
            <w:shd w:val="clear" w:color="auto" w:fill="auto"/>
            <w:tcW w:w="434" w:type="pct"/>
            <w:vAlign w:val="center"/>
            <w:textDirection w:val="lrTb"/>
            <w:noWrap w:val="false"/>
          </w:tcPr>
          <w:p>
            <w:pPr>
              <w:jc w:val="center"/>
              <w:rPr>
                <w:bCs/>
                <w:sz w:val="20"/>
                <w:szCs w:val="20"/>
              </w:rPr>
            </w:pPr>
            <w:r>
              <w:rPr>
                <w:bCs/>
                <w:sz w:val="20"/>
                <w:szCs w:val="20"/>
              </w:rPr>
              <w:t xml:space="preserve">н/д</w:t>
            </w:r>
            <w:r>
              <w:rPr>
                <w:bCs/>
                <w:sz w:val="20"/>
                <w:szCs w:val="20"/>
              </w:rPr>
            </w:r>
            <w:r>
              <w:rPr>
                <w:bCs/>
                <w:sz w:val="20"/>
                <w:szCs w:val="20"/>
              </w:rPr>
            </w:r>
          </w:p>
        </w:tc>
        <w:tc>
          <w:tcPr>
            <w:shd w:val="clear" w:color="auto" w:fill="auto"/>
            <w:tcW w:w="443" w:type="pct"/>
            <w:vAlign w:val="center"/>
            <w:textDirection w:val="lrTb"/>
            <w:noWrap w:val="false"/>
          </w:tcPr>
          <w:p>
            <w:pPr>
              <w:jc w:val="center"/>
              <w:rPr>
                <w:bCs/>
                <w:sz w:val="20"/>
                <w:szCs w:val="20"/>
              </w:rPr>
            </w:pPr>
            <w:r>
              <w:rPr>
                <w:bCs/>
                <w:sz w:val="20"/>
                <w:szCs w:val="20"/>
              </w:rPr>
              <w:t xml:space="preserve">н/д</w:t>
            </w:r>
            <w:r>
              <w:rPr>
                <w:bCs/>
                <w:sz w:val="20"/>
                <w:szCs w:val="20"/>
              </w:rPr>
            </w:r>
            <w:r>
              <w:rPr>
                <w:bCs/>
                <w:sz w:val="20"/>
                <w:szCs w:val="20"/>
              </w:rPr>
            </w:r>
          </w:p>
        </w:tc>
      </w:tr>
      <w:tr>
        <w:tblPrEx/>
        <w:trPr>
          <w:trHeight w:val="20"/>
        </w:trPr>
        <w:tc>
          <w:tcPr>
            <w:tcW w:w="945" w:type="pct"/>
            <w:vAlign w:val="center"/>
            <w:vMerge w:val="continue"/>
            <w:textDirection w:val="lrTb"/>
            <w:noWrap w:val="false"/>
          </w:tcPr>
          <w:p>
            <w:pPr>
              <w:rPr>
                <w:sz w:val="20"/>
                <w:szCs w:val="20"/>
              </w:rPr>
            </w:pPr>
            <w:r>
              <w:rPr>
                <w:sz w:val="20"/>
                <w:szCs w:val="20"/>
              </w:rPr>
            </w:r>
            <w:r>
              <w:rPr>
                <w:sz w:val="20"/>
                <w:szCs w:val="20"/>
              </w:rPr>
            </w:r>
            <w:r>
              <w:rPr>
                <w:sz w:val="20"/>
                <w:szCs w:val="20"/>
              </w:rPr>
            </w:r>
          </w:p>
        </w:tc>
        <w:tc>
          <w:tcPr>
            <w:tcW w:w="767" w:type="pct"/>
            <w:vAlign w:val="center"/>
            <w:vMerge w:val="continue"/>
            <w:textDirection w:val="lrTb"/>
            <w:noWrap w:val="false"/>
          </w:tcPr>
          <w:p>
            <w:pPr>
              <w:rPr>
                <w:sz w:val="20"/>
                <w:szCs w:val="20"/>
              </w:rPr>
            </w:pPr>
            <w:r>
              <w:rPr>
                <w:sz w:val="20"/>
                <w:szCs w:val="20"/>
              </w:rPr>
            </w:r>
            <w:r>
              <w:rPr>
                <w:sz w:val="20"/>
                <w:szCs w:val="20"/>
              </w:rPr>
            </w:r>
            <w:r>
              <w:rPr>
                <w:sz w:val="20"/>
                <w:szCs w:val="20"/>
              </w:rPr>
            </w:r>
          </w:p>
        </w:tc>
        <w:tc>
          <w:tcPr>
            <w:tcW w:w="676" w:type="pct"/>
            <w:vAlign w:val="center"/>
            <w:textDirection w:val="lrTb"/>
            <w:noWrap w:val="false"/>
          </w:tcPr>
          <w:p>
            <w:pPr>
              <w:rPr>
                <w:sz w:val="20"/>
                <w:szCs w:val="20"/>
              </w:rPr>
            </w:pPr>
            <w:r>
              <w:rPr>
                <w:sz w:val="20"/>
                <w:szCs w:val="20"/>
              </w:rPr>
              <w:t xml:space="preserve">летний</w:t>
            </w:r>
            <w:r>
              <w:rPr>
                <w:sz w:val="20"/>
                <w:szCs w:val="20"/>
              </w:rPr>
            </w:r>
            <w:r>
              <w:rPr>
                <w:sz w:val="20"/>
                <w:szCs w:val="20"/>
              </w:rPr>
            </w:r>
          </w:p>
        </w:tc>
        <w:tc>
          <w:tcPr>
            <w:shd w:val="clear" w:color="auto" w:fill="auto"/>
            <w:tcW w:w="434" w:type="pct"/>
            <w:textDirection w:val="lrTb"/>
            <w:noWrap w:val="false"/>
          </w:tcPr>
          <w:p>
            <w:pPr>
              <w:jc w:val="center"/>
              <w:rPr>
                <w:sz w:val="20"/>
                <w:szCs w:val="20"/>
                <w:lang w:eastAsia="ru-RU"/>
              </w:rPr>
            </w:pPr>
            <w:r>
              <w:rPr>
                <w:sz w:val="20"/>
                <w:szCs w:val="20"/>
                <w:lang w:eastAsia="ru-RU"/>
              </w:rPr>
              <w:t xml:space="preserve">-</w:t>
            </w:r>
            <w:r>
              <w:rPr>
                <w:sz w:val="20"/>
                <w:szCs w:val="20"/>
                <w:lang w:eastAsia="ru-RU"/>
              </w:rPr>
            </w:r>
            <w:r>
              <w:rPr>
                <w:sz w:val="20"/>
                <w:szCs w:val="20"/>
                <w:lang w:eastAsia="ru-RU"/>
              </w:rPr>
            </w:r>
          </w:p>
        </w:tc>
        <w:tc>
          <w:tcPr>
            <w:shd w:val="clear" w:color="auto" w:fill="auto"/>
            <w:tcW w:w="434" w:type="pct"/>
            <w:textDirection w:val="lrTb"/>
            <w:noWrap w:val="false"/>
          </w:tcPr>
          <w:p>
            <w:pPr>
              <w:jc w:val="center"/>
              <w:rPr>
                <w:sz w:val="20"/>
                <w:szCs w:val="20"/>
                <w:lang w:eastAsia="ru-RU"/>
              </w:rPr>
            </w:pPr>
            <w:r>
              <w:rPr>
                <w:sz w:val="20"/>
                <w:szCs w:val="20"/>
                <w:lang w:eastAsia="ru-RU"/>
              </w:rPr>
              <w:t xml:space="preserve">-</w:t>
            </w:r>
            <w:r>
              <w:rPr>
                <w:sz w:val="20"/>
                <w:szCs w:val="20"/>
                <w:lang w:eastAsia="ru-RU"/>
              </w:rPr>
            </w:r>
            <w:r>
              <w:rPr>
                <w:sz w:val="20"/>
                <w:szCs w:val="20"/>
                <w:lang w:eastAsia="ru-RU"/>
              </w:rPr>
            </w:r>
          </w:p>
        </w:tc>
        <w:tc>
          <w:tcPr>
            <w:shd w:val="clear" w:color="auto" w:fill="auto"/>
            <w:tcW w:w="434" w:type="pct"/>
            <w:textDirection w:val="lrTb"/>
            <w:noWrap w:val="false"/>
          </w:tcPr>
          <w:p>
            <w:pPr>
              <w:jc w:val="center"/>
              <w:rPr>
                <w:sz w:val="20"/>
                <w:szCs w:val="20"/>
                <w:lang w:eastAsia="ru-RU"/>
              </w:rPr>
            </w:pPr>
            <w:r>
              <w:rPr>
                <w:sz w:val="20"/>
                <w:szCs w:val="20"/>
                <w:lang w:eastAsia="ru-RU"/>
              </w:rPr>
              <w:t xml:space="preserve">-</w:t>
            </w:r>
            <w:r>
              <w:rPr>
                <w:sz w:val="20"/>
                <w:szCs w:val="20"/>
                <w:lang w:eastAsia="ru-RU"/>
              </w:rPr>
            </w:r>
            <w:r>
              <w:rPr>
                <w:sz w:val="20"/>
                <w:szCs w:val="20"/>
                <w:lang w:eastAsia="ru-RU"/>
              </w:rPr>
            </w:r>
          </w:p>
        </w:tc>
        <w:tc>
          <w:tcPr>
            <w:shd w:val="clear" w:color="auto" w:fill="auto"/>
            <w:tcW w:w="434" w:type="pct"/>
            <w:textDirection w:val="lrTb"/>
            <w:noWrap w:val="false"/>
          </w:tcPr>
          <w:p>
            <w:pPr>
              <w:jc w:val="center"/>
              <w:rPr>
                <w:sz w:val="20"/>
                <w:szCs w:val="20"/>
                <w:lang w:eastAsia="ru-RU"/>
              </w:rPr>
            </w:pPr>
            <w:r>
              <w:rPr>
                <w:sz w:val="20"/>
                <w:szCs w:val="20"/>
                <w:lang w:eastAsia="ru-RU"/>
              </w:rPr>
              <w:t xml:space="preserve">-</w:t>
            </w:r>
            <w:r>
              <w:rPr>
                <w:sz w:val="20"/>
                <w:szCs w:val="20"/>
                <w:lang w:eastAsia="ru-RU"/>
              </w:rPr>
            </w:r>
            <w:r>
              <w:rPr>
                <w:sz w:val="20"/>
                <w:szCs w:val="20"/>
                <w:lang w:eastAsia="ru-RU"/>
              </w:rPr>
            </w:r>
          </w:p>
        </w:tc>
        <w:tc>
          <w:tcPr>
            <w:shd w:val="clear" w:color="auto" w:fill="auto"/>
            <w:tcW w:w="434" w:type="pct"/>
            <w:textDirection w:val="lrTb"/>
            <w:noWrap w:val="false"/>
          </w:tcPr>
          <w:p>
            <w:pPr>
              <w:jc w:val="center"/>
              <w:rPr>
                <w:sz w:val="20"/>
                <w:szCs w:val="20"/>
                <w:lang w:eastAsia="ru-RU"/>
              </w:rPr>
            </w:pPr>
            <w:r>
              <w:rPr>
                <w:sz w:val="20"/>
                <w:szCs w:val="20"/>
                <w:lang w:eastAsia="ru-RU"/>
              </w:rPr>
              <w:t xml:space="preserve">-</w:t>
            </w:r>
            <w:r>
              <w:rPr>
                <w:sz w:val="20"/>
                <w:szCs w:val="20"/>
                <w:lang w:eastAsia="ru-RU"/>
              </w:rPr>
            </w:r>
            <w:r>
              <w:rPr>
                <w:sz w:val="20"/>
                <w:szCs w:val="20"/>
                <w:lang w:eastAsia="ru-RU"/>
              </w:rPr>
            </w:r>
          </w:p>
        </w:tc>
        <w:tc>
          <w:tcPr>
            <w:shd w:val="clear" w:color="auto" w:fill="auto"/>
            <w:tcW w:w="443" w:type="pct"/>
            <w:textDirection w:val="lrTb"/>
            <w:noWrap w:val="false"/>
          </w:tcPr>
          <w:p>
            <w:pPr>
              <w:jc w:val="center"/>
              <w:rPr>
                <w:sz w:val="20"/>
                <w:szCs w:val="20"/>
                <w:lang w:eastAsia="ru-RU"/>
              </w:rPr>
            </w:pPr>
            <w:r>
              <w:rPr>
                <w:sz w:val="20"/>
                <w:szCs w:val="20"/>
                <w:lang w:eastAsia="ru-RU"/>
              </w:rPr>
              <w:t xml:space="preserve">-</w:t>
            </w:r>
            <w:r>
              <w:rPr>
                <w:sz w:val="20"/>
                <w:szCs w:val="20"/>
                <w:lang w:eastAsia="ru-RU"/>
              </w:rPr>
            </w:r>
            <w:r>
              <w:rPr>
                <w:sz w:val="20"/>
                <w:szCs w:val="20"/>
                <w:lang w:eastAsia="ru-RU"/>
              </w:rPr>
            </w:r>
          </w:p>
        </w:tc>
      </w:tr>
      <w:tr>
        <w:tblPrEx/>
        <w:trPr>
          <w:trHeight w:val="20"/>
        </w:trPr>
        <w:tc>
          <w:tcPr>
            <w:tcW w:w="945" w:type="pct"/>
            <w:vAlign w:val="center"/>
            <w:vMerge w:val="continue"/>
            <w:textDirection w:val="lrTb"/>
            <w:noWrap w:val="false"/>
          </w:tcPr>
          <w:p>
            <w:pPr>
              <w:rPr>
                <w:sz w:val="20"/>
                <w:szCs w:val="20"/>
              </w:rPr>
            </w:pPr>
            <w:r>
              <w:rPr>
                <w:sz w:val="20"/>
                <w:szCs w:val="20"/>
              </w:rPr>
            </w:r>
            <w:r>
              <w:rPr>
                <w:sz w:val="20"/>
                <w:szCs w:val="20"/>
              </w:rPr>
            </w:r>
            <w:r>
              <w:rPr>
                <w:sz w:val="20"/>
                <w:szCs w:val="20"/>
              </w:rPr>
            </w:r>
          </w:p>
        </w:tc>
        <w:tc>
          <w:tcPr>
            <w:tcW w:w="767" w:type="pct"/>
            <w:vAlign w:val="center"/>
            <w:vMerge w:val="continue"/>
            <w:textDirection w:val="lrTb"/>
            <w:noWrap w:val="false"/>
          </w:tcPr>
          <w:p>
            <w:pPr>
              <w:rPr>
                <w:sz w:val="20"/>
                <w:szCs w:val="20"/>
              </w:rPr>
            </w:pPr>
            <w:r>
              <w:rPr>
                <w:sz w:val="20"/>
                <w:szCs w:val="20"/>
              </w:rPr>
            </w:r>
            <w:r>
              <w:rPr>
                <w:sz w:val="20"/>
                <w:szCs w:val="20"/>
              </w:rPr>
            </w:r>
            <w:r>
              <w:rPr>
                <w:sz w:val="20"/>
                <w:szCs w:val="20"/>
              </w:rPr>
            </w:r>
          </w:p>
        </w:tc>
        <w:tc>
          <w:tcPr>
            <w:tcW w:w="676" w:type="pct"/>
            <w:vAlign w:val="center"/>
            <w:textDirection w:val="lrTb"/>
            <w:noWrap w:val="false"/>
          </w:tcPr>
          <w:p>
            <w:pPr>
              <w:rPr>
                <w:sz w:val="20"/>
                <w:szCs w:val="20"/>
              </w:rPr>
            </w:pPr>
            <w:r>
              <w:rPr>
                <w:sz w:val="20"/>
                <w:szCs w:val="20"/>
              </w:rPr>
              <w:t xml:space="preserve">переходной</w:t>
            </w:r>
            <w:r>
              <w:rPr>
                <w:sz w:val="20"/>
                <w:szCs w:val="20"/>
              </w:rPr>
            </w:r>
            <w:r>
              <w:rPr>
                <w:sz w:val="20"/>
                <w:szCs w:val="20"/>
              </w:rPr>
            </w:r>
          </w:p>
        </w:tc>
        <w:tc>
          <w:tcPr>
            <w:shd w:val="clear" w:color="auto" w:fill="auto"/>
            <w:tcW w:w="434" w:type="pct"/>
            <w:vAlign w:val="center"/>
            <w:textDirection w:val="lrTb"/>
            <w:noWrap w:val="false"/>
          </w:tcPr>
          <w:p>
            <w:pPr>
              <w:jc w:val="center"/>
              <w:rPr>
                <w:bCs/>
                <w:sz w:val="20"/>
                <w:szCs w:val="20"/>
              </w:rPr>
            </w:pPr>
            <w:r>
              <w:rPr>
                <w:bCs/>
                <w:sz w:val="20"/>
                <w:szCs w:val="20"/>
              </w:rPr>
              <w:t xml:space="preserve">н/д</w:t>
            </w:r>
            <w:r>
              <w:rPr>
                <w:bCs/>
                <w:sz w:val="20"/>
                <w:szCs w:val="20"/>
              </w:rPr>
            </w:r>
            <w:r>
              <w:rPr>
                <w:bCs/>
                <w:sz w:val="20"/>
                <w:szCs w:val="20"/>
              </w:rPr>
            </w:r>
          </w:p>
        </w:tc>
        <w:tc>
          <w:tcPr>
            <w:shd w:val="clear" w:color="auto" w:fill="auto"/>
            <w:tcW w:w="434" w:type="pct"/>
            <w:vAlign w:val="center"/>
            <w:textDirection w:val="lrTb"/>
            <w:noWrap w:val="false"/>
          </w:tcPr>
          <w:p>
            <w:pPr>
              <w:jc w:val="center"/>
              <w:rPr>
                <w:bCs/>
                <w:sz w:val="20"/>
                <w:szCs w:val="20"/>
              </w:rPr>
            </w:pPr>
            <w:r>
              <w:rPr>
                <w:bCs/>
                <w:sz w:val="20"/>
                <w:szCs w:val="20"/>
              </w:rPr>
              <w:t xml:space="preserve">н/д</w:t>
            </w:r>
            <w:r>
              <w:rPr>
                <w:bCs/>
                <w:sz w:val="20"/>
                <w:szCs w:val="20"/>
              </w:rPr>
            </w:r>
            <w:r>
              <w:rPr>
                <w:bCs/>
                <w:sz w:val="20"/>
                <w:szCs w:val="20"/>
              </w:rPr>
            </w:r>
          </w:p>
        </w:tc>
        <w:tc>
          <w:tcPr>
            <w:shd w:val="clear" w:color="auto" w:fill="auto"/>
            <w:tcW w:w="434" w:type="pct"/>
            <w:vAlign w:val="center"/>
            <w:textDirection w:val="lrTb"/>
            <w:noWrap w:val="false"/>
          </w:tcPr>
          <w:p>
            <w:pPr>
              <w:jc w:val="center"/>
              <w:rPr>
                <w:bCs/>
                <w:sz w:val="20"/>
                <w:szCs w:val="20"/>
              </w:rPr>
            </w:pPr>
            <w:r>
              <w:rPr>
                <w:bCs/>
                <w:sz w:val="20"/>
                <w:szCs w:val="20"/>
              </w:rPr>
              <w:t xml:space="preserve">н/д</w:t>
            </w:r>
            <w:r>
              <w:rPr>
                <w:bCs/>
                <w:sz w:val="20"/>
                <w:szCs w:val="20"/>
              </w:rPr>
            </w:r>
            <w:r>
              <w:rPr>
                <w:bCs/>
                <w:sz w:val="20"/>
                <w:szCs w:val="20"/>
              </w:rPr>
            </w:r>
          </w:p>
        </w:tc>
        <w:tc>
          <w:tcPr>
            <w:shd w:val="clear" w:color="auto" w:fill="auto"/>
            <w:tcW w:w="434" w:type="pct"/>
            <w:vAlign w:val="center"/>
            <w:textDirection w:val="lrTb"/>
            <w:noWrap w:val="false"/>
          </w:tcPr>
          <w:p>
            <w:pPr>
              <w:jc w:val="center"/>
              <w:rPr>
                <w:bCs/>
                <w:sz w:val="20"/>
                <w:szCs w:val="20"/>
              </w:rPr>
            </w:pPr>
            <w:r>
              <w:rPr>
                <w:bCs/>
                <w:sz w:val="20"/>
                <w:szCs w:val="20"/>
              </w:rPr>
              <w:t xml:space="preserve">н/д</w:t>
            </w:r>
            <w:r>
              <w:rPr>
                <w:bCs/>
                <w:sz w:val="20"/>
                <w:szCs w:val="20"/>
              </w:rPr>
            </w:r>
            <w:r>
              <w:rPr>
                <w:bCs/>
                <w:sz w:val="20"/>
                <w:szCs w:val="20"/>
              </w:rPr>
            </w:r>
          </w:p>
        </w:tc>
        <w:tc>
          <w:tcPr>
            <w:shd w:val="clear" w:color="auto" w:fill="auto"/>
            <w:tcW w:w="434" w:type="pct"/>
            <w:vAlign w:val="center"/>
            <w:textDirection w:val="lrTb"/>
            <w:noWrap w:val="false"/>
          </w:tcPr>
          <w:p>
            <w:pPr>
              <w:jc w:val="center"/>
              <w:rPr>
                <w:bCs/>
                <w:sz w:val="20"/>
                <w:szCs w:val="20"/>
              </w:rPr>
            </w:pPr>
            <w:r>
              <w:rPr>
                <w:bCs/>
                <w:sz w:val="20"/>
                <w:szCs w:val="20"/>
              </w:rPr>
              <w:t xml:space="preserve">н/д</w:t>
            </w:r>
            <w:r>
              <w:rPr>
                <w:bCs/>
                <w:sz w:val="20"/>
                <w:szCs w:val="20"/>
              </w:rPr>
            </w:r>
            <w:r>
              <w:rPr>
                <w:bCs/>
                <w:sz w:val="20"/>
                <w:szCs w:val="20"/>
              </w:rPr>
            </w:r>
          </w:p>
        </w:tc>
        <w:tc>
          <w:tcPr>
            <w:shd w:val="clear" w:color="auto" w:fill="auto"/>
            <w:tcW w:w="443" w:type="pct"/>
            <w:vAlign w:val="center"/>
            <w:textDirection w:val="lrTb"/>
            <w:noWrap w:val="false"/>
          </w:tcPr>
          <w:p>
            <w:pPr>
              <w:jc w:val="center"/>
              <w:rPr>
                <w:bCs/>
                <w:sz w:val="20"/>
                <w:szCs w:val="20"/>
              </w:rPr>
            </w:pPr>
            <w:r>
              <w:rPr>
                <w:bCs/>
                <w:sz w:val="20"/>
                <w:szCs w:val="20"/>
              </w:rPr>
              <w:t xml:space="preserve">н/д</w:t>
            </w:r>
            <w:r>
              <w:rPr>
                <w:bCs/>
                <w:sz w:val="20"/>
                <w:szCs w:val="20"/>
              </w:rPr>
            </w:r>
            <w:r>
              <w:rPr>
                <w:bCs/>
                <w:sz w:val="20"/>
                <w:szCs w:val="20"/>
              </w:rPr>
            </w:r>
          </w:p>
        </w:tc>
      </w:tr>
      <w:tr>
        <w:tblPrEx/>
        <w:trPr>
          <w:trHeight w:val="230"/>
        </w:trPr>
        <w:tc>
          <w:tcPr>
            <w:tcW w:w="945" w:type="pct"/>
            <w:vAlign w:val="center"/>
            <w:vMerge w:val="continue"/>
            <w:textDirection w:val="lrTb"/>
            <w:noWrap w:val="false"/>
          </w:tcPr>
          <w:p>
            <w:pPr>
              <w:rPr>
                <w:sz w:val="20"/>
                <w:szCs w:val="20"/>
              </w:rPr>
            </w:pPr>
            <w:r>
              <w:rPr>
                <w:sz w:val="20"/>
                <w:szCs w:val="20"/>
              </w:rPr>
            </w:r>
            <w:r>
              <w:rPr>
                <w:sz w:val="20"/>
                <w:szCs w:val="20"/>
              </w:rPr>
            </w:r>
            <w:r>
              <w:rPr>
                <w:sz w:val="20"/>
                <w:szCs w:val="20"/>
              </w:rPr>
            </w:r>
          </w:p>
        </w:tc>
        <w:tc>
          <w:tcPr>
            <w:tcW w:w="767" w:type="pct"/>
            <w:vAlign w:val="center"/>
            <w:vMerge w:val="restart"/>
            <w:textDirection w:val="lrTb"/>
            <w:noWrap w:val="false"/>
          </w:tcPr>
          <w:p>
            <w:pPr>
              <w:jc w:val="center"/>
              <w:rPr>
                <w:sz w:val="20"/>
                <w:szCs w:val="20"/>
              </w:rPr>
            </w:pPr>
            <w:r>
              <w:rPr>
                <w:sz w:val="20"/>
                <w:szCs w:val="20"/>
              </w:rPr>
              <w:t xml:space="preserve">годовой</w:t>
            </w:r>
            <w:r>
              <w:rPr>
                <w:sz w:val="20"/>
                <w:szCs w:val="20"/>
              </w:rPr>
            </w:r>
            <w:r>
              <w:rPr>
                <w:sz w:val="20"/>
                <w:szCs w:val="20"/>
              </w:rPr>
            </w:r>
          </w:p>
        </w:tc>
        <w:tc>
          <w:tcPr>
            <w:tcW w:w="676" w:type="pct"/>
            <w:vAlign w:val="center"/>
            <w:textDirection w:val="lrTb"/>
            <w:noWrap w:val="false"/>
          </w:tcPr>
          <w:p>
            <w:pPr>
              <w:rPr>
                <w:sz w:val="20"/>
                <w:szCs w:val="20"/>
              </w:rPr>
            </w:pPr>
            <w:r>
              <w:rPr>
                <w:sz w:val="20"/>
                <w:szCs w:val="20"/>
              </w:rPr>
              <w:t xml:space="preserve">зимний</w:t>
            </w:r>
            <w:r>
              <w:rPr>
                <w:sz w:val="20"/>
                <w:szCs w:val="20"/>
              </w:rPr>
            </w:r>
            <w:r>
              <w:rPr>
                <w:sz w:val="20"/>
                <w:szCs w:val="20"/>
              </w:rPr>
            </w:r>
          </w:p>
        </w:tc>
        <w:tc>
          <w:tcPr>
            <w:shd w:val="clear" w:color="auto" w:fill="auto"/>
            <w:tcW w:w="434" w:type="pct"/>
            <w:vAlign w:val="center"/>
            <w:textDirection w:val="lrTb"/>
            <w:noWrap w:val="false"/>
          </w:tcPr>
          <w:p>
            <w:pPr>
              <w:jc w:val="center"/>
              <w:rPr>
                <w:bCs/>
                <w:sz w:val="20"/>
                <w:szCs w:val="20"/>
              </w:rPr>
            </w:pPr>
            <w:r>
              <w:rPr>
                <w:bCs/>
                <w:sz w:val="20"/>
                <w:szCs w:val="20"/>
              </w:rPr>
              <w:t xml:space="preserve">н/д</w:t>
            </w:r>
            <w:r>
              <w:rPr>
                <w:bCs/>
                <w:sz w:val="20"/>
                <w:szCs w:val="20"/>
              </w:rPr>
            </w:r>
            <w:r>
              <w:rPr>
                <w:bCs/>
                <w:sz w:val="20"/>
                <w:szCs w:val="20"/>
              </w:rPr>
            </w:r>
          </w:p>
        </w:tc>
        <w:tc>
          <w:tcPr>
            <w:shd w:val="clear" w:color="auto" w:fill="auto"/>
            <w:tcW w:w="434" w:type="pct"/>
            <w:vAlign w:val="center"/>
            <w:textDirection w:val="lrTb"/>
            <w:noWrap w:val="false"/>
          </w:tcPr>
          <w:p>
            <w:pPr>
              <w:jc w:val="center"/>
              <w:rPr>
                <w:bCs/>
                <w:sz w:val="20"/>
                <w:szCs w:val="20"/>
              </w:rPr>
            </w:pPr>
            <w:r>
              <w:rPr>
                <w:bCs/>
                <w:sz w:val="20"/>
                <w:szCs w:val="20"/>
              </w:rPr>
              <w:t xml:space="preserve">н/д</w:t>
            </w:r>
            <w:r>
              <w:rPr>
                <w:bCs/>
                <w:sz w:val="20"/>
                <w:szCs w:val="20"/>
              </w:rPr>
            </w:r>
            <w:r>
              <w:rPr>
                <w:bCs/>
                <w:sz w:val="20"/>
                <w:szCs w:val="20"/>
              </w:rPr>
            </w:r>
          </w:p>
        </w:tc>
        <w:tc>
          <w:tcPr>
            <w:shd w:val="clear" w:color="auto" w:fill="auto"/>
            <w:tcW w:w="434" w:type="pct"/>
            <w:vAlign w:val="center"/>
            <w:textDirection w:val="lrTb"/>
            <w:noWrap w:val="false"/>
          </w:tcPr>
          <w:p>
            <w:pPr>
              <w:jc w:val="center"/>
              <w:rPr>
                <w:bCs/>
                <w:sz w:val="20"/>
                <w:szCs w:val="20"/>
              </w:rPr>
            </w:pPr>
            <w:r>
              <w:rPr>
                <w:bCs/>
                <w:sz w:val="20"/>
                <w:szCs w:val="20"/>
              </w:rPr>
              <w:t xml:space="preserve">н/д</w:t>
            </w:r>
            <w:r>
              <w:rPr>
                <w:bCs/>
                <w:sz w:val="20"/>
                <w:szCs w:val="20"/>
              </w:rPr>
            </w:r>
            <w:r>
              <w:rPr>
                <w:bCs/>
                <w:sz w:val="20"/>
                <w:szCs w:val="20"/>
              </w:rPr>
            </w:r>
          </w:p>
        </w:tc>
        <w:tc>
          <w:tcPr>
            <w:shd w:val="clear" w:color="auto" w:fill="auto"/>
            <w:tcW w:w="434" w:type="pct"/>
            <w:vAlign w:val="center"/>
            <w:textDirection w:val="lrTb"/>
            <w:noWrap w:val="false"/>
          </w:tcPr>
          <w:p>
            <w:pPr>
              <w:jc w:val="center"/>
              <w:rPr>
                <w:bCs/>
                <w:sz w:val="20"/>
                <w:szCs w:val="20"/>
              </w:rPr>
            </w:pPr>
            <w:r>
              <w:rPr>
                <w:bCs/>
                <w:sz w:val="20"/>
                <w:szCs w:val="20"/>
              </w:rPr>
              <w:t xml:space="preserve">н/д</w:t>
            </w:r>
            <w:r>
              <w:rPr>
                <w:bCs/>
                <w:sz w:val="20"/>
                <w:szCs w:val="20"/>
              </w:rPr>
            </w:r>
            <w:r>
              <w:rPr>
                <w:bCs/>
                <w:sz w:val="20"/>
                <w:szCs w:val="20"/>
              </w:rPr>
            </w:r>
          </w:p>
        </w:tc>
        <w:tc>
          <w:tcPr>
            <w:shd w:val="clear" w:color="auto" w:fill="auto"/>
            <w:tcW w:w="434" w:type="pct"/>
            <w:vAlign w:val="center"/>
            <w:textDirection w:val="lrTb"/>
            <w:noWrap w:val="false"/>
          </w:tcPr>
          <w:p>
            <w:pPr>
              <w:jc w:val="center"/>
              <w:rPr>
                <w:bCs/>
                <w:sz w:val="20"/>
                <w:szCs w:val="20"/>
              </w:rPr>
            </w:pPr>
            <w:r>
              <w:rPr>
                <w:bCs/>
                <w:sz w:val="20"/>
                <w:szCs w:val="20"/>
              </w:rPr>
              <w:t xml:space="preserve">н/д</w:t>
            </w:r>
            <w:r>
              <w:rPr>
                <w:bCs/>
                <w:sz w:val="20"/>
                <w:szCs w:val="20"/>
              </w:rPr>
            </w:r>
            <w:r>
              <w:rPr>
                <w:bCs/>
                <w:sz w:val="20"/>
                <w:szCs w:val="20"/>
              </w:rPr>
            </w:r>
          </w:p>
        </w:tc>
        <w:tc>
          <w:tcPr>
            <w:shd w:val="clear" w:color="auto" w:fill="auto"/>
            <w:tcW w:w="443" w:type="pct"/>
            <w:vAlign w:val="center"/>
            <w:textDirection w:val="lrTb"/>
            <w:noWrap w:val="false"/>
          </w:tcPr>
          <w:p>
            <w:pPr>
              <w:jc w:val="center"/>
              <w:rPr>
                <w:bCs/>
                <w:sz w:val="20"/>
                <w:szCs w:val="20"/>
              </w:rPr>
            </w:pPr>
            <w:r>
              <w:rPr>
                <w:bCs/>
                <w:sz w:val="20"/>
                <w:szCs w:val="20"/>
              </w:rPr>
              <w:t xml:space="preserve">н/д</w:t>
            </w:r>
            <w:r>
              <w:rPr>
                <w:bCs/>
                <w:sz w:val="20"/>
                <w:szCs w:val="20"/>
              </w:rPr>
            </w:r>
            <w:r>
              <w:rPr>
                <w:bCs/>
                <w:sz w:val="20"/>
                <w:szCs w:val="20"/>
              </w:rPr>
            </w:r>
          </w:p>
        </w:tc>
      </w:tr>
      <w:tr>
        <w:tblPrEx/>
        <w:trPr>
          <w:trHeight w:val="20"/>
        </w:trPr>
        <w:tc>
          <w:tcPr>
            <w:tcW w:w="945" w:type="pct"/>
            <w:vAlign w:val="center"/>
            <w:vMerge w:val="continue"/>
            <w:textDirection w:val="lrTb"/>
            <w:noWrap w:val="false"/>
          </w:tcPr>
          <w:p>
            <w:pPr>
              <w:rPr>
                <w:sz w:val="20"/>
                <w:szCs w:val="20"/>
              </w:rPr>
            </w:pPr>
            <w:r>
              <w:rPr>
                <w:sz w:val="20"/>
                <w:szCs w:val="20"/>
              </w:rPr>
            </w:r>
            <w:r>
              <w:rPr>
                <w:sz w:val="20"/>
                <w:szCs w:val="20"/>
              </w:rPr>
            </w:r>
            <w:r>
              <w:rPr>
                <w:sz w:val="20"/>
                <w:szCs w:val="20"/>
              </w:rPr>
            </w:r>
          </w:p>
        </w:tc>
        <w:tc>
          <w:tcPr>
            <w:tcW w:w="767" w:type="pct"/>
            <w:vAlign w:val="center"/>
            <w:vMerge w:val="continue"/>
            <w:textDirection w:val="lrTb"/>
            <w:noWrap w:val="false"/>
          </w:tcPr>
          <w:p>
            <w:pPr>
              <w:rPr>
                <w:sz w:val="20"/>
                <w:szCs w:val="20"/>
              </w:rPr>
            </w:pPr>
            <w:r>
              <w:rPr>
                <w:sz w:val="20"/>
                <w:szCs w:val="20"/>
              </w:rPr>
            </w:r>
            <w:r>
              <w:rPr>
                <w:sz w:val="20"/>
                <w:szCs w:val="20"/>
              </w:rPr>
            </w:r>
            <w:r>
              <w:rPr>
                <w:sz w:val="20"/>
                <w:szCs w:val="20"/>
              </w:rPr>
            </w:r>
          </w:p>
        </w:tc>
        <w:tc>
          <w:tcPr>
            <w:tcW w:w="676" w:type="pct"/>
            <w:vAlign w:val="center"/>
            <w:textDirection w:val="lrTb"/>
            <w:noWrap w:val="false"/>
          </w:tcPr>
          <w:p>
            <w:pPr>
              <w:rPr>
                <w:sz w:val="20"/>
                <w:szCs w:val="20"/>
              </w:rPr>
            </w:pPr>
            <w:r>
              <w:rPr>
                <w:sz w:val="20"/>
                <w:szCs w:val="20"/>
              </w:rPr>
              <w:t xml:space="preserve">летний</w:t>
            </w:r>
            <w:r>
              <w:rPr>
                <w:sz w:val="20"/>
                <w:szCs w:val="20"/>
              </w:rPr>
            </w:r>
            <w:r>
              <w:rPr>
                <w:sz w:val="20"/>
                <w:szCs w:val="20"/>
              </w:rPr>
            </w:r>
          </w:p>
        </w:tc>
        <w:tc>
          <w:tcPr>
            <w:shd w:val="clear" w:color="auto" w:fill="auto"/>
            <w:tcW w:w="434" w:type="pct"/>
            <w:textDirection w:val="lrTb"/>
            <w:noWrap w:val="false"/>
          </w:tcPr>
          <w:p>
            <w:pPr>
              <w:jc w:val="center"/>
              <w:rPr>
                <w:sz w:val="20"/>
                <w:szCs w:val="20"/>
                <w:lang w:eastAsia="ru-RU"/>
              </w:rPr>
            </w:pPr>
            <w:r>
              <w:rPr>
                <w:sz w:val="20"/>
                <w:szCs w:val="20"/>
                <w:lang w:eastAsia="ru-RU"/>
              </w:rPr>
              <w:t xml:space="preserve">-</w:t>
            </w:r>
            <w:r>
              <w:rPr>
                <w:sz w:val="20"/>
                <w:szCs w:val="20"/>
                <w:lang w:eastAsia="ru-RU"/>
              </w:rPr>
            </w:r>
            <w:r>
              <w:rPr>
                <w:sz w:val="20"/>
                <w:szCs w:val="20"/>
                <w:lang w:eastAsia="ru-RU"/>
              </w:rPr>
            </w:r>
          </w:p>
        </w:tc>
        <w:tc>
          <w:tcPr>
            <w:shd w:val="clear" w:color="auto" w:fill="auto"/>
            <w:tcW w:w="434" w:type="pct"/>
            <w:textDirection w:val="lrTb"/>
            <w:noWrap w:val="false"/>
          </w:tcPr>
          <w:p>
            <w:pPr>
              <w:jc w:val="center"/>
              <w:rPr>
                <w:sz w:val="20"/>
                <w:szCs w:val="20"/>
                <w:lang w:eastAsia="ru-RU"/>
              </w:rPr>
            </w:pPr>
            <w:r>
              <w:rPr>
                <w:sz w:val="20"/>
                <w:szCs w:val="20"/>
                <w:lang w:eastAsia="ru-RU"/>
              </w:rPr>
              <w:t xml:space="preserve">-</w:t>
            </w:r>
            <w:r>
              <w:rPr>
                <w:sz w:val="20"/>
                <w:szCs w:val="20"/>
                <w:lang w:eastAsia="ru-RU"/>
              </w:rPr>
            </w:r>
            <w:r>
              <w:rPr>
                <w:sz w:val="20"/>
                <w:szCs w:val="20"/>
                <w:lang w:eastAsia="ru-RU"/>
              </w:rPr>
            </w:r>
          </w:p>
        </w:tc>
        <w:tc>
          <w:tcPr>
            <w:shd w:val="clear" w:color="auto" w:fill="auto"/>
            <w:tcW w:w="434" w:type="pct"/>
            <w:textDirection w:val="lrTb"/>
            <w:noWrap w:val="false"/>
          </w:tcPr>
          <w:p>
            <w:pPr>
              <w:jc w:val="center"/>
              <w:rPr>
                <w:sz w:val="20"/>
                <w:szCs w:val="20"/>
                <w:lang w:eastAsia="ru-RU"/>
              </w:rPr>
            </w:pPr>
            <w:r>
              <w:rPr>
                <w:sz w:val="20"/>
                <w:szCs w:val="20"/>
                <w:lang w:eastAsia="ru-RU"/>
              </w:rPr>
              <w:t xml:space="preserve">-</w:t>
            </w:r>
            <w:r>
              <w:rPr>
                <w:sz w:val="20"/>
                <w:szCs w:val="20"/>
                <w:lang w:eastAsia="ru-RU"/>
              </w:rPr>
            </w:r>
            <w:r>
              <w:rPr>
                <w:sz w:val="20"/>
                <w:szCs w:val="20"/>
                <w:lang w:eastAsia="ru-RU"/>
              </w:rPr>
            </w:r>
          </w:p>
        </w:tc>
        <w:tc>
          <w:tcPr>
            <w:shd w:val="clear" w:color="auto" w:fill="auto"/>
            <w:tcW w:w="434" w:type="pct"/>
            <w:textDirection w:val="lrTb"/>
            <w:noWrap w:val="false"/>
          </w:tcPr>
          <w:p>
            <w:pPr>
              <w:jc w:val="center"/>
              <w:rPr>
                <w:sz w:val="20"/>
                <w:szCs w:val="20"/>
                <w:lang w:eastAsia="ru-RU"/>
              </w:rPr>
            </w:pPr>
            <w:r>
              <w:rPr>
                <w:sz w:val="20"/>
                <w:szCs w:val="20"/>
                <w:lang w:eastAsia="ru-RU"/>
              </w:rPr>
              <w:t xml:space="preserve">-</w:t>
            </w:r>
            <w:r>
              <w:rPr>
                <w:sz w:val="20"/>
                <w:szCs w:val="20"/>
                <w:lang w:eastAsia="ru-RU"/>
              </w:rPr>
            </w:r>
            <w:r>
              <w:rPr>
                <w:sz w:val="20"/>
                <w:szCs w:val="20"/>
                <w:lang w:eastAsia="ru-RU"/>
              </w:rPr>
            </w:r>
          </w:p>
        </w:tc>
        <w:tc>
          <w:tcPr>
            <w:shd w:val="clear" w:color="auto" w:fill="auto"/>
            <w:tcW w:w="434" w:type="pct"/>
            <w:textDirection w:val="lrTb"/>
            <w:noWrap w:val="false"/>
          </w:tcPr>
          <w:p>
            <w:pPr>
              <w:jc w:val="center"/>
              <w:rPr>
                <w:sz w:val="20"/>
                <w:szCs w:val="20"/>
                <w:lang w:eastAsia="ru-RU"/>
              </w:rPr>
            </w:pPr>
            <w:r>
              <w:rPr>
                <w:sz w:val="20"/>
                <w:szCs w:val="20"/>
                <w:lang w:eastAsia="ru-RU"/>
              </w:rPr>
              <w:t xml:space="preserve">-</w:t>
            </w:r>
            <w:r>
              <w:rPr>
                <w:sz w:val="20"/>
                <w:szCs w:val="20"/>
                <w:lang w:eastAsia="ru-RU"/>
              </w:rPr>
            </w:r>
            <w:r>
              <w:rPr>
                <w:sz w:val="20"/>
                <w:szCs w:val="20"/>
                <w:lang w:eastAsia="ru-RU"/>
              </w:rPr>
            </w:r>
          </w:p>
        </w:tc>
        <w:tc>
          <w:tcPr>
            <w:shd w:val="clear" w:color="auto" w:fill="auto"/>
            <w:tcW w:w="443" w:type="pct"/>
            <w:textDirection w:val="lrTb"/>
            <w:noWrap w:val="false"/>
          </w:tcPr>
          <w:p>
            <w:pPr>
              <w:jc w:val="center"/>
              <w:rPr>
                <w:sz w:val="20"/>
                <w:szCs w:val="20"/>
                <w:lang w:eastAsia="ru-RU"/>
              </w:rPr>
            </w:pPr>
            <w:r>
              <w:rPr>
                <w:sz w:val="20"/>
                <w:szCs w:val="20"/>
                <w:lang w:eastAsia="ru-RU"/>
              </w:rPr>
              <w:t xml:space="preserve">-</w:t>
            </w:r>
            <w:r>
              <w:rPr>
                <w:sz w:val="20"/>
                <w:szCs w:val="20"/>
                <w:lang w:eastAsia="ru-RU"/>
              </w:rPr>
            </w:r>
            <w:r>
              <w:rPr>
                <w:sz w:val="20"/>
                <w:szCs w:val="20"/>
                <w:lang w:eastAsia="ru-RU"/>
              </w:rPr>
            </w:r>
          </w:p>
        </w:tc>
      </w:tr>
      <w:tr>
        <w:tblPrEx/>
        <w:trPr>
          <w:trHeight w:val="20"/>
        </w:trPr>
        <w:tc>
          <w:tcPr>
            <w:tcW w:w="945" w:type="pct"/>
            <w:vAlign w:val="center"/>
            <w:vMerge w:val="continue"/>
            <w:textDirection w:val="lrTb"/>
            <w:noWrap w:val="false"/>
          </w:tcPr>
          <w:p>
            <w:pPr>
              <w:rPr>
                <w:sz w:val="20"/>
                <w:szCs w:val="20"/>
              </w:rPr>
            </w:pPr>
            <w:r>
              <w:rPr>
                <w:sz w:val="20"/>
                <w:szCs w:val="20"/>
              </w:rPr>
            </w:r>
            <w:r>
              <w:rPr>
                <w:sz w:val="20"/>
                <w:szCs w:val="20"/>
              </w:rPr>
            </w:r>
            <w:r>
              <w:rPr>
                <w:sz w:val="20"/>
                <w:szCs w:val="20"/>
              </w:rPr>
            </w:r>
          </w:p>
        </w:tc>
        <w:tc>
          <w:tcPr>
            <w:tcW w:w="767" w:type="pct"/>
            <w:vAlign w:val="center"/>
            <w:vMerge w:val="continue"/>
            <w:textDirection w:val="lrTb"/>
            <w:noWrap w:val="false"/>
          </w:tcPr>
          <w:p>
            <w:pPr>
              <w:rPr>
                <w:sz w:val="20"/>
                <w:szCs w:val="20"/>
              </w:rPr>
            </w:pPr>
            <w:r>
              <w:rPr>
                <w:sz w:val="20"/>
                <w:szCs w:val="20"/>
              </w:rPr>
            </w:r>
            <w:r>
              <w:rPr>
                <w:sz w:val="20"/>
                <w:szCs w:val="20"/>
              </w:rPr>
            </w:r>
            <w:r>
              <w:rPr>
                <w:sz w:val="20"/>
                <w:szCs w:val="20"/>
              </w:rPr>
            </w:r>
          </w:p>
        </w:tc>
        <w:tc>
          <w:tcPr>
            <w:tcW w:w="676" w:type="pct"/>
            <w:vAlign w:val="center"/>
            <w:textDirection w:val="lrTb"/>
            <w:noWrap w:val="false"/>
          </w:tcPr>
          <w:p>
            <w:pPr>
              <w:rPr>
                <w:sz w:val="20"/>
                <w:szCs w:val="20"/>
              </w:rPr>
            </w:pPr>
            <w:r>
              <w:rPr>
                <w:sz w:val="20"/>
                <w:szCs w:val="20"/>
              </w:rPr>
              <w:t xml:space="preserve">переходной</w:t>
            </w:r>
            <w:r>
              <w:rPr>
                <w:sz w:val="20"/>
                <w:szCs w:val="20"/>
              </w:rPr>
            </w:r>
            <w:r>
              <w:rPr>
                <w:sz w:val="20"/>
                <w:szCs w:val="20"/>
              </w:rPr>
            </w:r>
          </w:p>
        </w:tc>
        <w:tc>
          <w:tcPr>
            <w:shd w:val="clear" w:color="auto" w:fill="auto"/>
            <w:tcW w:w="434" w:type="pct"/>
            <w:vAlign w:val="center"/>
            <w:textDirection w:val="lrTb"/>
            <w:noWrap w:val="false"/>
          </w:tcPr>
          <w:p>
            <w:pPr>
              <w:jc w:val="center"/>
              <w:rPr>
                <w:bCs/>
                <w:sz w:val="20"/>
                <w:szCs w:val="20"/>
              </w:rPr>
            </w:pPr>
            <w:r>
              <w:rPr>
                <w:bCs/>
                <w:sz w:val="20"/>
                <w:szCs w:val="20"/>
              </w:rPr>
              <w:t xml:space="preserve">н/д</w:t>
            </w:r>
            <w:r>
              <w:rPr>
                <w:bCs/>
                <w:sz w:val="20"/>
                <w:szCs w:val="20"/>
              </w:rPr>
            </w:r>
            <w:r>
              <w:rPr>
                <w:bCs/>
                <w:sz w:val="20"/>
                <w:szCs w:val="20"/>
              </w:rPr>
            </w:r>
          </w:p>
        </w:tc>
        <w:tc>
          <w:tcPr>
            <w:shd w:val="clear" w:color="auto" w:fill="auto"/>
            <w:tcW w:w="434" w:type="pct"/>
            <w:vAlign w:val="center"/>
            <w:textDirection w:val="lrTb"/>
            <w:noWrap w:val="false"/>
          </w:tcPr>
          <w:p>
            <w:pPr>
              <w:jc w:val="center"/>
              <w:rPr>
                <w:bCs/>
                <w:sz w:val="20"/>
                <w:szCs w:val="20"/>
              </w:rPr>
            </w:pPr>
            <w:r>
              <w:rPr>
                <w:bCs/>
                <w:sz w:val="20"/>
                <w:szCs w:val="20"/>
              </w:rPr>
              <w:t xml:space="preserve">н/д</w:t>
            </w:r>
            <w:r>
              <w:rPr>
                <w:bCs/>
                <w:sz w:val="20"/>
                <w:szCs w:val="20"/>
              </w:rPr>
            </w:r>
            <w:r>
              <w:rPr>
                <w:bCs/>
                <w:sz w:val="20"/>
                <w:szCs w:val="20"/>
              </w:rPr>
            </w:r>
          </w:p>
        </w:tc>
        <w:tc>
          <w:tcPr>
            <w:shd w:val="clear" w:color="auto" w:fill="auto"/>
            <w:tcW w:w="434" w:type="pct"/>
            <w:vAlign w:val="center"/>
            <w:textDirection w:val="lrTb"/>
            <w:noWrap w:val="false"/>
          </w:tcPr>
          <w:p>
            <w:pPr>
              <w:jc w:val="center"/>
              <w:rPr>
                <w:bCs/>
                <w:sz w:val="20"/>
                <w:szCs w:val="20"/>
              </w:rPr>
            </w:pPr>
            <w:r>
              <w:rPr>
                <w:bCs/>
                <w:sz w:val="20"/>
                <w:szCs w:val="20"/>
              </w:rPr>
              <w:t xml:space="preserve">н/д</w:t>
            </w:r>
            <w:r>
              <w:rPr>
                <w:bCs/>
                <w:sz w:val="20"/>
                <w:szCs w:val="20"/>
              </w:rPr>
            </w:r>
            <w:r>
              <w:rPr>
                <w:bCs/>
                <w:sz w:val="20"/>
                <w:szCs w:val="20"/>
              </w:rPr>
            </w:r>
          </w:p>
        </w:tc>
        <w:tc>
          <w:tcPr>
            <w:shd w:val="clear" w:color="auto" w:fill="auto"/>
            <w:tcW w:w="434" w:type="pct"/>
            <w:vAlign w:val="center"/>
            <w:textDirection w:val="lrTb"/>
            <w:noWrap w:val="false"/>
          </w:tcPr>
          <w:p>
            <w:pPr>
              <w:jc w:val="center"/>
              <w:rPr>
                <w:bCs/>
                <w:sz w:val="20"/>
                <w:szCs w:val="20"/>
              </w:rPr>
            </w:pPr>
            <w:r>
              <w:rPr>
                <w:bCs/>
                <w:sz w:val="20"/>
                <w:szCs w:val="20"/>
              </w:rPr>
              <w:t xml:space="preserve">н/д</w:t>
            </w:r>
            <w:r>
              <w:rPr>
                <w:bCs/>
                <w:sz w:val="20"/>
                <w:szCs w:val="20"/>
              </w:rPr>
            </w:r>
            <w:r>
              <w:rPr>
                <w:bCs/>
                <w:sz w:val="20"/>
                <w:szCs w:val="20"/>
              </w:rPr>
            </w:r>
          </w:p>
        </w:tc>
        <w:tc>
          <w:tcPr>
            <w:shd w:val="clear" w:color="auto" w:fill="auto"/>
            <w:tcW w:w="434" w:type="pct"/>
            <w:vAlign w:val="center"/>
            <w:textDirection w:val="lrTb"/>
            <w:noWrap w:val="false"/>
          </w:tcPr>
          <w:p>
            <w:pPr>
              <w:jc w:val="center"/>
              <w:rPr>
                <w:bCs/>
                <w:sz w:val="20"/>
                <w:szCs w:val="20"/>
              </w:rPr>
            </w:pPr>
            <w:r>
              <w:rPr>
                <w:bCs/>
                <w:sz w:val="20"/>
                <w:szCs w:val="20"/>
              </w:rPr>
              <w:t xml:space="preserve">н/д</w:t>
            </w:r>
            <w:r>
              <w:rPr>
                <w:bCs/>
                <w:sz w:val="20"/>
                <w:szCs w:val="20"/>
              </w:rPr>
            </w:r>
            <w:r>
              <w:rPr>
                <w:bCs/>
                <w:sz w:val="20"/>
                <w:szCs w:val="20"/>
              </w:rPr>
            </w:r>
          </w:p>
        </w:tc>
        <w:tc>
          <w:tcPr>
            <w:shd w:val="clear" w:color="auto" w:fill="auto"/>
            <w:tcW w:w="443" w:type="pct"/>
            <w:vAlign w:val="center"/>
            <w:textDirection w:val="lrTb"/>
            <w:noWrap w:val="false"/>
          </w:tcPr>
          <w:p>
            <w:pPr>
              <w:jc w:val="center"/>
              <w:rPr>
                <w:bCs/>
                <w:sz w:val="20"/>
                <w:szCs w:val="20"/>
              </w:rPr>
            </w:pPr>
            <w:r>
              <w:rPr>
                <w:bCs/>
                <w:sz w:val="20"/>
                <w:szCs w:val="20"/>
              </w:rPr>
              <w:t xml:space="preserve">н/д</w:t>
            </w:r>
            <w:r>
              <w:rPr>
                <w:bCs/>
                <w:sz w:val="20"/>
                <w:szCs w:val="20"/>
              </w:rPr>
            </w:r>
            <w:r>
              <w:rPr>
                <w:bCs/>
                <w:sz w:val="20"/>
                <w:szCs w:val="20"/>
              </w:rPr>
            </w:r>
          </w:p>
        </w:tc>
      </w:tr>
    </w:tbl>
    <w:p>
      <w:pPr>
        <w:pStyle w:val="1247"/>
        <w:ind w:left="118" w:right="106" w:firstLine="707"/>
        <w:jc w:val="both"/>
        <w:spacing w:before="116"/>
      </w:pPr>
      <w:r/>
      <w:r/>
    </w:p>
    <w:p>
      <w:pPr>
        <w:pStyle w:val="1248"/>
        <w:ind w:right="109" w:firstLine="733"/>
        <w:jc w:val="left"/>
        <w:spacing w:before="71"/>
      </w:pPr>
      <w:r/>
      <w:bookmarkStart w:id="540" w:name="_bookmark278"/>
      <w:r/>
      <w:bookmarkStart w:id="541" w:name="_Toc130232039"/>
      <w:r/>
      <w:bookmarkStart w:id="542" w:name="_Toc165540819"/>
      <w:r/>
      <w:bookmarkEnd w:id="540"/>
      <w:r>
        <w:rPr>
          <w:lang w:eastAsia="ru-RU"/>
        </w:rPr>
        <w:t xml:space="preserve">10.2 </w:t>
      </w:r>
      <w:r>
        <w:t xml:space="preserve">Результаты</w:t>
      </w:r>
      <w:r>
        <w:rPr>
          <w:spacing w:val="-3"/>
        </w:rPr>
        <w:t xml:space="preserve"> </w:t>
      </w:r>
      <w:r>
        <w:t xml:space="preserve">расчётов</w:t>
      </w:r>
      <w:r>
        <w:rPr>
          <w:spacing w:val="-1"/>
        </w:rPr>
        <w:t xml:space="preserve"> </w:t>
      </w:r>
      <w:r>
        <w:t xml:space="preserve">по</w:t>
      </w:r>
      <w:r>
        <w:rPr>
          <w:spacing w:val="-1"/>
        </w:rPr>
        <w:t xml:space="preserve"> </w:t>
      </w:r>
      <w:r>
        <w:t xml:space="preserve">каждому</w:t>
      </w:r>
      <w:r>
        <w:rPr>
          <w:spacing w:val="-1"/>
        </w:rPr>
        <w:t xml:space="preserve"> </w:t>
      </w:r>
      <w:r>
        <w:t xml:space="preserve">источнику</w:t>
      </w:r>
      <w:r>
        <w:rPr>
          <w:spacing w:val="-1"/>
        </w:rPr>
        <w:t xml:space="preserve"> </w:t>
      </w:r>
      <w:r>
        <w:t xml:space="preserve">тепловой энергии нормативных запасов топлива</w:t>
      </w:r>
      <w:bookmarkEnd w:id="541"/>
      <w:r/>
      <w:bookmarkEnd w:id="542"/>
      <w:r/>
      <w:r/>
    </w:p>
    <w:p>
      <w:pPr>
        <w:ind w:firstLine="851"/>
        <w:jc w:val="both"/>
        <w:spacing w:before="120"/>
        <w:tabs>
          <w:tab w:val="left" w:pos="142" w:leader="none"/>
        </w:tabs>
        <w:rPr>
          <w:sz w:val="24"/>
          <w:szCs w:val="24"/>
        </w:rPr>
      </w:pPr>
      <w:r>
        <w:rPr>
          <w:sz w:val="24"/>
          <w:szCs w:val="24"/>
        </w:rPr>
        <w:t xml:space="preserve">На котельной р.п.  Юргамыш, ул. Железнодорожная, территория тягловой подстанции ОАО «РЖД» в качестве резервного вида </w:t>
      </w:r>
      <w:r>
        <w:rPr>
          <w:sz w:val="24"/>
          <w:szCs w:val="24"/>
        </w:rPr>
        <w:t xml:space="preserve">топлива используется древесина, объем нормативного запаса составляет </w:t>
      </w:r>
      <w:r>
        <w:rPr>
          <w:sz w:val="24"/>
          <w:szCs w:val="24"/>
        </w:rPr>
        <w:t xml:space="preserve">8,77</w:t>
      </w:r>
      <w:r>
        <w:rPr>
          <w:sz w:val="24"/>
          <w:szCs w:val="24"/>
        </w:rPr>
        <w:t xml:space="preserve"> т.</w:t>
      </w:r>
      <w:r>
        <w:rPr>
          <w:sz w:val="24"/>
          <w:szCs w:val="24"/>
        </w:rPr>
      </w:r>
      <w:r>
        <w:rPr>
          <w:sz w:val="24"/>
          <w:szCs w:val="24"/>
        </w:rPr>
      </w:r>
    </w:p>
    <w:p>
      <w:pPr>
        <w:ind w:firstLine="851"/>
        <w:jc w:val="both"/>
        <w:tabs>
          <w:tab w:val="left" w:pos="142" w:leader="none"/>
        </w:tabs>
        <w:rPr>
          <w:sz w:val="24"/>
          <w:szCs w:val="24"/>
        </w:rPr>
      </w:pPr>
      <w:r>
        <w:rPr>
          <w:sz w:val="24"/>
          <w:szCs w:val="24"/>
        </w:rPr>
        <w:t xml:space="preserve">На остальных централизованных котельных Юргамышского муниципального округа резервное и аварийное топливо не предусм</w:t>
      </w:r>
      <w:r>
        <w:rPr>
          <w:sz w:val="24"/>
          <w:szCs w:val="24"/>
        </w:rPr>
        <w:t xml:space="preserve">отрено, в связи с чем </w:t>
      </w:r>
      <w:r>
        <w:rPr>
          <w:sz w:val="24"/>
          <w:szCs w:val="24"/>
        </w:rPr>
        <w:t xml:space="preserve">расчет </w:t>
      </w:r>
      <w:r>
        <w:rPr>
          <w:sz w:val="24"/>
          <w:szCs w:val="24"/>
        </w:rPr>
        <w:t xml:space="preserve">нормативн</w:t>
      </w:r>
      <w:r>
        <w:rPr>
          <w:sz w:val="24"/>
          <w:szCs w:val="24"/>
        </w:rPr>
        <w:t xml:space="preserve">ого</w:t>
      </w:r>
      <w:r>
        <w:rPr>
          <w:sz w:val="24"/>
          <w:szCs w:val="24"/>
        </w:rPr>
        <w:t xml:space="preserve"> запас</w:t>
      </w:r>
      <w:r>
        <w:rPr>
          <w:sz w:val="24"/>
          <w:szCs w:val="24"/>
        </w:rPr>
        <w:t xml:space="preserve">а</w:t>
      </w:r>
      <w:r>
        <w:rPr>
          <w:sz w:val="24"/>
          <w:szCs w:val="24"/>
        </w:rPr>
        <w:t xml:space="preserve"> топлива отсутствует.</w:t>
      </w:r>
      <w:r>
        <w:rPr>
          <w:sz w:val="24"/>
          <w:szCs w:val="24"/>
        </w:rPr>
      </w:r>
      <w:r>
        <w:rPr>
          <w:sz w:val="24"/>
          <w:szCs w:val="24"/>
        </w:rPr>
      </w:r>
    </w:p>
    <w:p>
      <w:pPr>
        <w:ind w:firstLine="851"/>
        <w:jc w:val="both"/>
        <w:tabs>
          <w:tab w:val="left" w:pos="142" w:leader="none"/>
        </w:tabs>
        <w:rPr>
          <w:sz w:val="24"/>
          <w:szCs w:val="24"/>
        </w:rPr>
      </w:pPr>
      <w:r>
        <w:rPr>
          <w:sz w:val="24"/>
          <w:szCs w:val="24"/>
        </w:rPr>
      </w:r>
      <w:r>
        <w:rPr>
          <w:sz w:val="24"/>
          <w:szCs w:val="24"/>
        </w:rPr>
      </w:r>
      <w:r>
        <w:rPr>
          <w:sz w:val="24"/>
          <w:szCs w:val="24"/>
        </w:rPr>
      </w:r>
    </w:p>
    <w:p>
      <w:pPr>
        <w:pStyle w:val="1248"/>
        <w:ind w:right="115" w:firstLine="733"/>
      </w:pPr>
      <w:r/>
      <w:bookmarkStart w:id="543" w:name="_Toc130232040"/>
      <w:r/>
      <w:bookmarkStart w:id="544" w:name="_Toc165540820"/>
      <w:r>
        <w:rPr>
          <w:lang w:eastAsia="ru-RU"/>
        </w:rPr>
        <w:t xml:space="preserve">10.3 </w:t>
      </w:r>
      <w:r>
        <w:t xml:space="preserve">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543"/>
      <w:r/>
      <w:bookmarkEnd w:id="544"/>
      <w:r/>
      <w:r/>
    </w:p>
    <w:p>
      <w:pPr>
        <w:ind w:left="142" w:firstLine="709"/>
        <w:jc w:val="both"/>
        <w:spacing w:before="120"/>
        <w:rPr>
          <w:sz w:val="24"/>
          <w:szCs w:val="24"/>
        </w:rPr>
      </w:pPr>
      <w:r>
        <w:rPr>
          <w:sz w:val="24"/>
          <w:szCs w:val="24"/>
        </w:rPr>
        <w:t xml:space="preserve">Вид топлива, потребляемый источниками тепловой энергии, представлен в таблице</w:t>
      </w:r>
      <w:r>
        <w:rPr>
          <w:sz w:val="24"/>
          <w:szCs w:val="24"/>
        </w:rPr>
        <w:t xml:space="preserve"> </w:t>
      </w:r>
      <w:r>
        <w:rPr>
          <w:sz w:val="24"/>
          <w:szCs w:val="24"/>
        </w:rPr>
        <w:t xml:space="preserve">1.2.1.2</w:t>
      </w:r>
      <w:r>
        <w:rPr>
          <w:sz w:val="24"/>
          <w:szCs w:val="24"/>
        </w:rPr>
        <w:t xml:space="preserve">.</w:t>
      </w:r>
      <w:r>
        <w:rPr>
          <w:sz w:val="24"/>
          <w:szCs w:val="24"/>
        </w:rPr>
      </w:r>
      <w:r>
        <w:rPr>
          <w:sz w:val="24"/>
          <w:szCs w:val="24"/>
        </w:rPr>
      </w:r>
    </w:p>
    <w:p>
      <w:pPr>
        <w:pStyle w:val="1248"/>
        <w:ind w:right="106" w:firstLine="733"/>
      </w:pPr>
      <w:r/>
      <w:bookmarkStart w:id="545" w:name="_bookmark281"/>
      <w:r/>
      <w:bookmarkStart w:id="546" w:name="_Toc130232041"/>
      <w:r/>
      <w:bookmarkStart w:id="547" w:name="_Toc165540821"/>
      <w:r/>
      <w:bookmarkEnd w:id="545"/>
      <w:r>
        <w:rPr>
          <w:lang w:eastAsia="ru-RU"/>
        </w:rPr>
        <w:t xml:space="preserve">10.4 </w:t>
      </w:r>
      <w:r>
        <w:t xml:space="preserve">Виды топлива (в случае, если топливом является уголь, - вид ископаемого угля</w:t>
      </w:r>
      <w:r>
        <w:rPr>
          <w:spacing w:val="-6"/>
        </w:rPr>
        <w:t xml:space="preserve"> </w:t>
      </w:r>
      <w:r>
        <w:t xml:space="preserve">в</w:t>
      </w:r>
      <w:r>
        <w:rPr>
          <w:spacing w:val="-4"/>
        </w:rPr>
        <w:t xml:space="preserve"> </w:t>
      </w:r>
      <w:r>
        <w:t xml:space="preserve">соответствии</w:t>
      </w:r>
      <w:r>
        <w:rPr>
          <w:spacing w:val="-5"/>
        </w:rPr>
        <w:t xml:space="preserve"> </w:t>
      </w:r>
      <w:r>
        <w:t xml:space="preserve">с</w:t>
      </w:r>
      <w:r>
        <w:rPr>
          <w:spacing w:val="-7"/>
        </w:rPr>
        <w:t xml:space="preserve"> </w:t>
      </w:r>
      <w:r>
        <w:t xml:space="preserve">Межгосударственным</w:t>
      </w:r>
      <w:r>
        <w:rPr>
          <w:spacing w:val="-6"/>
        </w:rPr>
        <w:t xml:space="preserve"> </w:t>
      </w:r>
      <w:r>
        <w:t xml:space="preserve">стандартом</w:t>
      </w:r>
      <w:r>
        <w:rPr>
          <w:spacing w:val="-6"/>
        </w:rPr>
        <w:t xml:space="preserve"> </w:t>
      </w:r>
      <w:r>
        <w:t xml:space="preserve">ГОСТ</w:t>
      </w:r>
      <w:r>
        <w:rPr>
          <w:spacing w:val="-5"/>
        </w:rPr>
        <w:t xml:space="preserve"> </w:t>
      </w:r>
      <w:r>
        <w:t xml:space="preserve">25543-2013</w:t>
      </w:r>
      <w:r>
        <w:rPr>
          <w:spacing w:val="-6"/>
        </w:rPr>
        <w:t xml:space="preserve"> </w:t>
      </w:r>
      <w:r>
        <w:t xml:space="preserve">"Угли</w:t>
      </w:r>
      <w:r>
        <w:rPr>
          <w:spacing w:val="-5"/>
        </w:rPr>
        <w:t xml:space="preserve"> </w:t>
      </w:r>
      <w:r>
        <w:t xml:space="preserve">бурые, каменные и антрациты. Классификация по генетическим и технологическим параметрам"),</w:t>
      </w:r>
      <w:r>
        <w:rPr>
          <w:spacing w:val="-15"/>
        </w:rPr>
        <w:t xml:space="preserve"> </w:t>
      </w:r>
      <w:r>
        <w:t xml:space="preserve">их</w:t>
      </w:r>
      <w:r>
        <w:rPr>
          <w:spacing w:val="-15"/>
        </w:rPr>
        <w:t xml:space="preserve"> </w:t>
      </w:r>
      <w:r>
        <w:t xml:space="preserve">долю</w:t>
      </w:r>
      <w:r>
        <w:rPr>
          <w:spacing w:val="-15"/>
        </w:rPr>
        <w:t xml:space="preserve"> </w:t>
      </w:r>
      <w:r>
        <w:t xml:space="preserve">и</w:t>
      </w:r>
      <w:r>
        <w:rPr>
          <w:spacing w:val="-14"/>
        </w:rPr>
        <w:t xml:space="preserve"> </w:t>
      </w:r>
      <w:r>
        <w:t xml:space="preserve">значение</w:t>
      </w:r>
      <w:r>
        <w:rPr>
          <w:spacing w:val="-15"/>
        </w:rPr>
        <w:t xml:space="preserve"> </w:t>
      </w:r>
      <w:r>
        <w:t xml:space="preserve">низшей</w:t>
      </w:r>
      <w:r>
        <w:rPr>
          <w:spacing w:val="-14"/>
        </w:rPr>
        <w:t xml:space="preserve"> </w:t>
      </w:r>
      <w:r>
        <w:t xml:space="preserve">теплоты</w:t>
      </w:r>
      <w:r>
        <w:rPr>
          <w:spacing w:val="-15"/>
        </w:rPr>
        <w:t xml:space="preserve"> </w:t>
      </w:r>
      <w:r>
        <w:t xml:space="preserve">сгорания</w:t>
      </w:r>
      <w:r>
        <w:rPr>
          <w:spacing w:val="-15"/>
        </w:rPr>
        <w:t xml:space="preserve"> </w:t>
      </w:r>
      <w:r>
        <w:t xml:space="preserve">топлива,</w:t>
      </w:r>
      <w:r>
        <w:rPr>
          <w:spacing w:val="-15"/>
        </w:rPr>
        <w:t xml:space="preserve"> </w:t>
      </w:r>
      <w:r>
        <w:t xml:space="preserve">используемые</w:t>
      </w:r>
      <w:r>
        <w:rPr>
          <w:spacing w:val="-15"/>
        </w:rPr>
        <w:t xml:space="preserve"> </w:t>
      </w:r>
      <w:r>
        <w:t xml:space="preserve">для производства тепловой энергии по каждой системе теплоснабжения</w:t>
      </w:r>
      <w:bookmarkEnd w:id="546"/>
      <w:r/>
      <w:bookmarkEnd w:id="547"/>
      <w:r/>
      <w:r/>
    </w:p>
    <w:p>
      <w:pPr>
        <w:ind w:right="130" w:firstLine="851"/>
        <w:jc w:val="both"/>
        <w:spacing w:before="120"/>
        <w:rPr>
          <w:sz w:val="24"/>
          <w:szCs w:val="24"/>
        </w:rPr>
      </w:pPr>
      <w:r>
        <w:rPr>
          <w:sz w:val="24"/>
          <w:szCs w:val="24"/>
        </w:rPr>
        <w:t xml:space="preserve">Природный газ на 98% состоит из метана СН4, свойства которого почти полностью определяют свойства и характеристики природного газа. Также в его составе присутствуют гомологи метана – пропан С3Н8,</w:t>
      </w:r>
      <w:r>
        <w:rPr>
          <w:sz w:val="24"/>
          <w:szCs w:val="24"/>
        </w:rPr>
        <w:t xml:space="preserve"> этан C2H6 и бутан С4Н10. Иногда природный газ может содержать сероводород, гелий и углекислый газ. Метан (CH4) – газ без цвета и запаха, легче воздуха. Метан горюч, но достаточно легко хранится. Чаще всего используется как горючее в промышленности и быту.</w:t>
      </w:r>
      <w:r>
        <w:rPr>
          <w:sz w:val="24"/>
          <w:szCs w:val="24"/>
        </w:rPr>
      </w:r>
      <w:r>
        <w:rPr>
          <w:sz w:val="24"/>
          <w:szCs w:val="24"/>
        </w:rPr>
      </w:r>
    </w:p>
    <w:p>
      <w:pPr>
        <w:ind w:right="129" w:firstLine="851"/>
        <w:jc w:val="both"/>
        <w:rPr>
          <w:sz w:val="24"/>
          <w:szCs w:val="24"/>
        </w:rPr>
      </w:pPr>
      <w:r>
        <w:rPr>
          <w:sz w:val="24"/>
          <w:szCs w:val="24"/>
        </w:rPr>
        <w:t xml:space="preserve">Пропан (C3H8) – газ, не имеющий запаха и цвета, ядовит. Обладает полезным свойством: при небольшом давлении пропан сжижается, что значительно облегчает процесс отделения от примесей и его транспортировку. Сжиженным пропаном заправляются зажигалки.</w:t>
      </w:r>
      <w:r>
        <w:rPr>
          <w:sz w:val="24"/>
          <w:szCs w:val="24"/>
        </w:rPr>
      </w:r>
      <w:r>
        <w:rPr>
          <w:sz w:val="24"/>
          <w:szCs w:val="24"/>
        </w:rPr>
      </w:r>
    </w:p>
    <w:p>
      <w:pPr>
        <w:ind w:right="129" w:firstLine="851"/>
        <w:jc w:val="both"/>
        <w:rPr>
          <w:sz w:val="24"/>
          <w:szCs w:val="24"/>
        </w:rPr>
      </w:pPr>
      <w:r>
        <w:rPr>
          <w:sz w:val="24"/>
          <w:szCs w:val="24"/>
        </w:rPr>
        <w:t xml:space="preserve">Бутан (C4H10) – очень схож по своим свойствам с пропаном, но облада</w:t>
      </w:r>
      <w:r>
        <w:rPr>
          <w:sz w:val="24"/>
          <w:szCs w:val="24"/>
        </w:rPr>
        <w:t xml:space="preserve">ет более высокой плотностью. Тяжелее воздуха в два раза. Углекислый газ (CO2) – малотоксичный бесцветный газ, не имеющий запаха, но обладающий кислым привкусом. В отличие от других компонентов состава природного газа (кроме гелия), углекислый газ не горюч.</w:t>
      </w:r>
      <w:r>
        <w:rPr>
          <w:sz w:val="24"/>
          <w:szCs w:val="24"/>
        </w:rPr>
      </w:r>
      <w:r>
        <w:rPr>
          <w:sz w:val="24"/>
          <w:szCs w:val="24"/>
        </w:rPr>
      </w:r>
    </w:p>
    <w:p>
      <w:pPr>
        <w:ind w:right="129" w:firstLine="851"/>
        <w:jc w:val="both"/>
        <w:rPr>
          <w:sz w:val="24"/>
          <w:szCs w:val="24"/>
        </w:rPr>
      </w:pPr>
      <w:r>
        <w:rPr>
          <w:sz w:val="24"/>
          <w:szCs w:val="24"/>
        </w:rPr>
        <w:t xml:space="preserve">Бурые угл</w:t>
      </w:r>
      <w:r>
        <w:rPr>
          <w:sz w:val="24"/>
          <w:szCs w:val="24"/>
        </w:rPr>
        <w:t xml:space="preserve">и подразделяются на технологические группы по спекающей способности; для указания технологической группы к буквенному обозначению марки прибавляется цифра, указывающая низшее значение толщины пластического слоя в данных углях, например Г6, Г17, КЖ14 и т.п.</w:t>
      </w:r>
      <w:r>
        <w:rPr>
          <w:sz w:val="24"/>
          <w:szCs w:val="24"/>
        </w:rPr>
      </w:r>
      <w:r>
        <w:rPr>
          <w:sz w:val="24"/>
          <w:szCs w:val="24"/>
        </w:rPr>
      </w:r>
    </w:p>
    <w:p>
      <w:pPr>
        <w:ind w:right="129" w:firstLine="851"/>
        <w:jc w:val="both"/>
        <w:rPr>
          <w:sz w:val="24"/>
          <w:szCs w:val="24"/>
        </w:rPr>
      </w:pPr>
      <w:r>
        <w:rPr>
          <w:sz w:val="24"/>
          <w:szCs w:val="24"/>
        </w:rPr>
        <w:t xml:space="preserve">Среди разновидностей неофициально различают мягкие, землистые, матовые, лигнитовые и плотные (блестящие). Выделяют также:</w:t>
      </w:r>
      <w:r>
        <w:rPr>
          <w:sz w:val="24"/>
          <w:szCs w:val="24"/>
        </w:rPr>
      </w:r>
      <w:r>
        <w:rPr>
          <w:sz w:val="24"/>
          <w:szCs w:val="24"/>
        </w:rPr>
      </w:r>
    </w:p>
    <w:p>
      <w:pPr>
        <w:ind w:right="129" w:firstLine="851"/>
        <w:jc w:val="both"/>
        <w:rPr>
          <w:sz w:val="24"/>
          <w:szCs w:val="24"/>
        </w:rPr>
      </w:pPr>
      <w:r>
        <w:rPr>
          <w:sz w:val="24"/>
          <w:szCs w:val="24"/>
        </w:rPr>
        <w:t xml:space="preserve">- плотный бурый уголь – бурого цвета с матовым блеском, землистым изломом;</w:t>
      </w:r>
      <w:r>
        <w:rPr>
          <w:sz w:val="24"/>
          <w:szCs w:val="24"/>
        </w:rPr>
      </w:r>
      <w:r>
        <w:rPr>
          <w:sz w:val="24"/>
          <w:szCs w:val="24"/>
        </w:rPr>
      </w:r>
    </w:p>
    <w:p>
      <w:pPr>
        <w:ind w:right="129" w:firstLine="851"/>
        <w:jc w:val="both"/>
        <w:rPr>
          <w:sz w:val="24"/>
          <w:szCs w:val="24"/>
        </w:rPr>
      </w:pPr>
      <w:r>
        <w:rPr>
          <w:sz w:val="24"/>
          <w:szCs w:val="24"/>
        </w:rPr>
        <w:t xml:space="preserve">- землистый бурый уголь – бурый, легко истирающийся в порошок;</w:t>
      </w:r>
      <w:r>
        <w:rPr>
          <w:sz w:val="24"/>
          <w:szCs w:val="24"/>
        </w:rPr>
      </w:r>
      <w:r>
        <w:rPr>
          <w:sz w:val="24"/>
          <w:szCs w:val="24"/>
        </w:rPr>
      </w:r>
    </w:p>
    <w:p>
      <w:pPr>
        <w:ind w:right="129" w:firstLine="851"/>
        <w:jc w:val="both"/>
        <w:rPr>
          <w:sz w:val="24"/>
          <w:szCs w:val="24"/>
        </w:rPr>
      </w:pPr>
      <w:r>
        <w:rPr>
          <w:sz w:val="24"/>
          <w:szCs w:val="24"/>
        </w:rPr>
        <w:t xml:space="preserve">- смолистый бурый уголь – очень плотный, темно-бурый и даже черный, в изломе блестящий наподобие смолы;</w:t>
      </w:r>
      <w:r>
        <w:rPr>
          <w:sz w:val="24"/>
          <w:szCs w:val="24"/>
        </w:rPr>
      </w:r>
      <w:r>
        <w:rPr>
          <w:sz w:val="24"/>
          <w:szCs w:val="24"/>
        </w:rPr>
      </w:r>
    </w:p>
    <w:p>
      <w:pPr>
        <w:ind w:right="129" w:firstLine="851"/>
        <w:jc w:val="both"/>
        <w:rPr>
          <w:sz w:val="24"/>
          <w:szCs w:val="24"/>
        </w:rPr>
      </w:pPr>
      <w:r>
        <w:rPr>
          <w:sz w:val="24"/>
          <w:szCs w:val="24"/>
        </w:rPr>
        <w:t xml:space="preserve">- бумажный бурый уголь, или дизодил, представляет тонкослоистую истлевшую расти-тельную массу, легко делящуюся на тонкие листики;</w:t>
      </w:r>
      <w:r>
        <w:rPr>
          <w:sz w:val="24"/>
          <w:szCs w:val="24"/>
        </w:rPr>
      </w:r>
      <w:r>
        <w:rPr>
          <w:sz w:val="24"/>
          <w:szCs w:val="24"/>
        </w:rPr>
      </w:r>
    </w:p>
    <w:p>
      <w:pPr>
        <w:ind w:right="129" w:firstLine="851"/>
        <w:jc w:val="both"/>
        <w:rPr>
          <w:sz w:val="24"/>
          <w:szCs w:val="24"/>
        </w:rPr>
      </w:pPr>
      <w:r>
        <w:rPr>
          <w:sz w:val="24"/>
          <w:szCs w:val="24"/>
        </w:rPr>
        <w:t xml:space="preserve">- торфяной уголь, как бы войлочный, похожий на торф, часто содержит много посторонних примесей и иногда переходит в квасцовую землю.</w:t>
      </w:r>
      <w:r>
        <w:rPr>
          <w:sz w:val="24"/>
          <w:szCs w:val="24"/>
        </w:rPr>
      </w:r>
      <w:r>
        <w:rPr>
          <w:sz w:val="24"/>
          <w:szCs w:val="24"/>
        </w:rPr>
      </w:r>
    </w:p>
    <w:p>
      <w:pPr>
        <w:ind w:right="129" w:firstLine="851"/>
        <w:jc w:val="both"/>
        <w:rPr>
          <w:sz w:val="24"/>
          <w:szCs w:val="24"/>
        </w:rPr>
      </w:pPr>
      <w:r>
        <w:rPr>
          <w:sz w:val="24"/>
          <w:szCs w:val="24"/>
        </w:rPr>
        <w:t xml:space="preserve">Разновидности каменного угля:</w:t>
      </w:r>
      <w:r>
        <w:rPr>
          <w:sz w:val="24"/>
          <w:szCs w:val="24"/>
        </w:rPr>
      </w:r>
      <w:r>
        <w:rPr>
          <w:sz w:val="24"/>
          <w:szCs w:val="24"/>
        </w:rPr>
      </w:r>
    </w:p>
    <w:p>
      <w:pPr>
        <w:ind w:right="129" w:firstLine="851"/>
        <w:jc w:val="both"/>
        <w:rPr>
          <w:sz w:val="24"/>
          <w:szCs w:val="24"/>
        </w:rPr>
      </w:pPr>
      <w:r>
        <w:rPr>
          <w:sz w:val="24"/>
          <w:szCs w:val="24"/>
        </w:rPr>
        <w:t xml:space="preserve">1. Длиннопламенный каменный уголь</w:t>
      </w:r>
      <w:r>
        <w:rPr>
          <w:sz w:val="24"/>
          <w:szCs w:val="24"/>
        </w:rPr>
      </w:r>
      <w:r>
        <w:rPr>
          <w:sz w:val="24"/>
          <w:szCs w:val="24"/>
        </w:rPr>
      </w:r>
    </w:p>
    <w:p>
      <w:pPr>
        <w:ind w:right="129" w:firstLine="851"/>
        <w:jc w:val="both"/>
        <w:rPr>
          <w:sz w:val="24"/>
          <w:szCs w:val="24"/>
        </w:rPr>
      </w:pPr>
      <w:r>
        <w:rPr>
          <w:sz w:val="24"/>
          <w:szCs w:val="24"/>
        </w:rPr>
        <w:t xml:space="preserve">Длиннопламенный каменный уголь по праву является лидером среди каменных углей применяемых в бытовых целях. Применяется длинно</w:t>
      </w:r>
      <w:r>
        <w:rPr>
          <w:sz w:val="24"/>
          <w:szCs w:val="24"/>
        </w:rPr>
        <w:t xml:space="preserve">пламенный уголь для отопления и подходит для всех видов печей и котлов. Зачастую длиннопламенный каменный уголь используют для отопления объектов социально-бытового назначения, таких как больницы, лагеря, санатории, школы и интернаты. Длиннопламенный камен</w:t>
      </w:r>
      <w:r>
        <w:rPr>
          <w:sz w:val="24"/>
          <w:szCs w:val="24"/>
        </w:rPr>
        <w:t xml:space="preserve">ный уголь бывает рядовой (марки ДР) и сортовой (Марки ДМСШ, ДО, ДОМ, ДПК и т. д.). Длиннопламенный уголь получил своё название благодаря свойству гореть с высоким пламенем, подобно дровам, но при этом уголь горит намного дольше обычных дров, и имеет высоки</w:t>
      </w:r>
      <w:r>
        <w:rPr>
          <w:sz w:val="24"/>
          <w:szCs w:val="24"/>
        </w:rPr>
        <w:t xml:space="preserve">й показатель теплотворности. Длиннопламенный уголь легко горит и не требует поддува, поэтому данный вид угля считается лучшим видом топлива для печей и котлов. Весомым плюсом является тот факт, что для розжига длиннопламенного угля достаточно немного дров.</w:t>
      </w:r>
      <w:r>
        <w:rPr>
          <w:sz w:val="24"/>
          <w:szCs w:val="24"/>
        </w:rPr>
      </w:r>
      <w:r>
        <w:rPr>
          <w:sz w:val="24"/>
          <w:szCs w:val="24"/>
        </w:rPr>
      </w:r>
    </w:p>
    <w:p>
      <w:pPr>
        <w:ind w:right="129" w:firstLine="851"/>
        <w:jc w:val="both"/>
        <w:rPr>
          <w:sz w:val="24"/>
          <w:szCs w:val="24"/>
        </w:rPr>
      </w:pPr>
      <w:r>
        <w:rPr>
          <w:sz w:val="24"/>
          <w:szCs w:val="24"/>
        </w:rPr>
        <w:t xml:space="preserve">Преимущества длиннопламенного каменного угля:</w:t>
      </w:r>
      <w:r>
        <w:rPr>
          <w:sz w:val="24"/>
          <w:szCs w:val="24"/>
        </w:rPr>
      </w:r>
      <w:r>
        <w:rPr>
          <w:sz w:val="24"/>
          <w:szCs w:val="24"/>
        </w:rPr>
      </w:r>
    </w:p>
    <w:p>
      <w:pPr>
        <w:ind w:right="129" w:firstLine="851"/>
        <w:jc w:val="both"/>
        <w:rPr>
          <w:sz w:val="24"/>
          <w:szCs w:val="24"/>
        </w:rPr>
      </w:pPr>
      <w:r>
        <w:rPr>
          <w:sz w:val="24"/>
          <w:szCs w:val="24"/>
        </w:rPr>
        <w:t xml:space="preserve">Самый распространенный вид угля</w:t>
      </w:r>
      <w:r>
        <w:rPr>
          <w:sz w:val="24"/>
          <w:szCs w:val="24"/>
        </w:rPr>
      </w:r>
      <w:r>
        <w:rPr>
          <w:sz w:val="24"/>
          <w:szCs w:val="24"/>
        </w:rPr>
      </w:r>
    </w:p>
    <w:p>
      <w:pPr>
        <w:ind w:right="129" w:firstLine="851"/>
        <w:jc w:val="both"/>
        <w:rPr>
          <w:sz w:val="24"/>
          <w:szCs w:val="24"/>
        </w:rPr>
      </w:pPr>
      <w:r>
        <w:rPr>
          <w:sz w:val="24"/>
          <w:szCs w:val="24"/>
        </w:rPr>
        <w:t xml:space="preserve">Легко разгорается, достаточно немного дров</w:t>
      </w:r>
      <w:r>
        <w:rPr>
          <w:sz w:val="24"/>
          <w:szCs w:val="24"/>
        </w:rPr>
      </w:r>
      <w:r>
        <w:rPr>
          <w:sz w:val="24"/>
          <w:szCs w:val="24"/>
        </w:rPr>
      </w:r>
    </w:p>
    <w:p>
      <w:pPr>
        <w:ind w:right="129" w:firstLine="851"/>
        <w:jc w:val="both"/>
        <w:rPr>
          <w:sz w:val="24"/>
          <w:szCs w:val="24"/>
        </w:rPr>
      </w:pPr>
      <w:r>
        <w:rPr>
          <w:sz w:val="24"/>
          <w:szCs w:val="24"/>
        </w:rPr>
        <w:t xml:space="preserve">Не требует принудительного поддува, что его делает универсальным топливом для всех котлов и печей</w:t>
      </w:r>
      <w:r>
        <w:rPr>
          <w:sz w:val="24"/>
          <w:szCs w:val="24"/>
        </w:rPr>
      </w:r>
      <w:r>
        <w:rPr>
          <w:sz w:val="24"/>
          <w:szCs w:val="24"/>
        </w:rPr>
      </w:r>
    </w:p>
    <w:p>
      <w:pPr>
        <w:ind w:right="129" w:firstLine="851"/>
        <w:jc w:val="both"/>
        <w:rPr>
          <w:sz w:val="24"/>
          <w:szCs w:val="24"/>
        </w:rPr>
      </w:pPr>
      <w:r>
        <w:rPr>
          <w:sz w:val="24"/>
          <w:szCs w:val="24"/>
        </w:rPr>
        <w:t xml:space="preserve">Доступная цена</w:t>
      </w:r>
      <w:r>
        <w:rPr>
          <w:sz w:val="24"/>
          <w:szCs w:val="24"/>
        </w:rPr>
      </w:r>
      <w:r>
        <w:rPr>
          <w:sz w:val="24"/>
          <w:szCs w:val="24"/>
        </w:rPr>
      </w:r>
    </w:p>
    <w:p>
      <w:pPr>
        <w:ind w:right="129" w:firstLine="851"/>
        <w:jc w:val="both"/>
        <w:rPr>
          <w:sz w:val="24"/>
          <w:szCs w:val="24"/>
        </w:rPr>
      </w:pPr>
      <w:r>
        <w:rPr>
          <w:sz w:val="24"/>
          <w:szCs w:val="24"/>
        </w:rPr>
        <w:t xml:space="preserve">2. Слабоспекающийся каменный уголь</w:t>
      </w:r>
      <w:r>
        <w:rPr>
          <w:sz w:val="24"/>
          <w:szCs w:val="24"/>
        </w:rPr>
      </w:r>
      <w:r>
        <w:rPr>
          <w:sz w:val="24"/>
          <w:szCs w:val="24"/>
        </w:rPr>
      </w:r>
    </w:p>
    <w:p>
      <w:pPr>
        <w:ind w:right="129" w:firstLine="851"/>
        <w:jc w:val="both"/>
        <w:rPr>
          <w:sz w:val="24"/>
          <w:szCs w:val="24"/>
        </w:rPr>
      </w:pPr>
      <w:r>
        <w:rPr>
          <w:sz w:val="24"/>
          <w:szCs w:val="24"/>
        </w:rPr>
        <w:t xml:space="preserve">Слабоспекающийся каменный уголь является углем достигшим высоких степеней метаморфизма, и поэтому относится к коксующейся разновидности угля. Благодаря высок</w:t>
      </w:r>
      <w:r>
        <w:rPr>
          <w:sz w:val="24"/>
          <w:szCs w:val="24"/>
        </w:rPr>
        <w:t xml:space="preserve">им показателям теплотворности, слабоспекающийся каменный уголь применяется как и в бытовых отопительных системах, так и на крупных электростанциях и промышленных котельных. Рекомендуется использовать слабоспекающийся каменный уголь для железных и чугунных </w:t>
      </w:r>
      <w:r>
        <w:rPr>
          <w:sz w:val="24"/>
          <w:szCs w:val="24"/>
        </w:rPr>
        <w:t xml:space="preserve">котлов или каменных печей при естественной и слабой тяге. Один из главных признаков данного вида угля - слабая спекаемость или её фактическое отсутствие, что и определяет название "слабоспекающийся" каменный уголь. Так же можно отнести слабоспекающиеся вид</w:t>
      </w:r>
      <w:r>
        <w:rPr>
          <w:sz w:val="24"/>
          <w:szCs w:val="24"/>
        </w:rPr>
        <w:t xml:space="preserve">ы углей к трудно разжигаемым, но в отличие от длиннопламенного каменного угля, слабоспекающийся долго горит и при этом выделяет большое количество тепла. Отличительной чертой слабоспекающегося каменного угля, является отсутствие пламени и дыма при горении.</w:t>
      </w:r>
      <w:r>
        <w:rPr>
          <w:sz w:val="24"/>
          <w:szCs w:val="24"/>
        </w:rPr>
      </w:r>
      <w:r>
        <w:rPr>
          <w:sz w:val="24"/>
          <w:szCs w:val="24"/>
        </w:rPr>
      </w:r>
    </w:p>
    <w:p>
      <w:pPr>
        <w:ind w:right="129" w:firstLine="851"/>
        <w:jc w:val="both"/>
        <w:rPr>
          <w:sz w:val="24"/>
          <w:szCs w:val="24"/>
        </w:rPr>
      </w:pPr>
      <w:r>
        <w:rPr>
          <w:sz w:val="24"/>
          <w:szCs w:val="24"/>
        </w:rPr>
        <w:t xml:space="preserve">Преимущества слабоспекающегося каменного угля:</w:t>
      </w:r>
      <w:r>
        <w:rPr>
          <w:sz w:val="24"/>
          <w:szCs w:val="24"/>
        </w:rPr>
      </w:r>
      <w:r>
        <w:rPr>
          <w:sz w:val="24"/>
          <w:szCs w:val="24"/>
        </w:rPr>
      </w:r>
    </w:p>
    <w:p>
      <w:pPr>
        <w:ind w:right="129" w:firstLine="851"/>
        <w:jc w:val="both"/>
        <w:rPr>
          <w:sz w:val="24"/>
          <w:szCs w:val="24"/>
        </w:rPr>
      </w:pPr>
      <w:r>
        <w:rPr>
          <w:sz w:val="24"/>
          <w:szCs w:val="24"/>
        </w:rPr>
        <w:t xml:space="preserve">Горит фактически без пламени и дыма</w:t>
      </w:r>
      <w:r>
        <w:rPr>
          <w:sz w:val="24"/>
          <w:szCs w:val="24"/>
        </w:rPr>
      </w:r>
      <w:r>
        <w:rPr>
          <w:sz w:val="24"/>
          <w:szCs w:val="24"/>
        </w:rPr>
      </w:r>
    </w:p>
    <w:p>
      <w:pPr>
        <w:ind w:right="129" w:firstLine="851"/>
        <w:jc w:val="both"/>
        <w:rPr>
          <w:sz w:val="24"/>
          <w:szCs w:val="24"/>
        </w:rPr>
      </w:pPr>
      <w:r>
        <w:rPr>
          <w:sz w:val="24"/>
          <w:szCs w:val="24"/>
        </w:rPr>
        <w:t xml:space="preserve">Выделяет большое количество тепла</w:t>
      </w:r>
      <w:r>
        <w:rPr>
          <w:sz w:val="24"/>
          <w:szCs w:val="24"/>
        </w:rPr>
      </w:r>
      <w:r>
        <w:rPr>
          <w:sz w:val="24"/>
          <w:szCs w:val="24"/>
        </w:rPr>
      </w:r>
    </w:p>
    <w:p>
      <w:pPr>
        <w:ind w:right="129" w:firstLine="851"/>
        <w:jc w:val="both"/>
        <w:rPr>
          <w:sz w:val="24"/>
          <w:szCs w:val="24"/>
        </w:rPr>
      </w:pPr>
      <w:r>
        <w:rPr>
          <w:sz w:val="24"/>
          <w:szCs w:val="24"/>
        </w:rPr>
        <w:t xml:space="preserve">Имеет высокие показатели продолжительности сгорания</w:t>
      </w:r>
      <w:r>
        <w:rPr>
          <w:sz w:val="24"/>
          <w:szCs w:val="24"/>
        </w:rPr>
      </w:r>
      <w:r>
        <w:rPr>
          <w:sz w:val="24"/>
          <w:szCs w:val="24"/>
        </w:rPr>
      </w:r>
    </w:p>
    <w:p>
      <w:pPr>
        <w:ind w:right="129" w:firstLine="851"/>
        <w:jc w:val="both"/>
        <w:rPr>
          <w:sz w:val="24"/>
          <w:szCs w:val="24"/>
        </w:rPr>
      </w:pPr>
      <w:r>
        <w:rPr>
          <w:sz w:val="24"/>
          <w:szCs w:val="24"/>
        </w:rPr>
        <w:t xml:space="preserve">Экономичный расход, позволяет тратить меньше угля</w:t>
      </w:r>
      <w:r>
        <w:rPr>
          <w:sz w:val="24"/>
          <w:szCs w:val="24"/>
        </w:rPr>
      </w:r>
      <w:r>
        <w:rPr>
          <w:sz w:val="24"/>
          <w:szCs w:val="24"/>
        </w:rPr>
      </w:r>
    </w:p>
    <w:p>
      <w:pPr>
        <w:ind w:right="129" w:firstLine="851"/>
        <w:jc w:val="both"/>
        <w:rPr>
          <w:sz w:val="24"/>
          <w:szCs w:val="24"/>
        </w:rPr>
      </w:pPr>
      <w:r>
        <w:rPr>
          <w:sz w:val="24"/>
          <w:szCs w:val="24"/>
        </w:rPr>
        <w:t xml:space="preserve">Подходит для большинства видов котлов и печей</w:t>
      </w:r>
      <w:r>
        <w:rPr>
          <w:sz w:val="24"/>
          <w:szCs w:val="24"/>
        </w:rPr>
      </w:r>
      <w:r>
        <w:rPr>
          <w:sz w:val="24"/>
          <w:szCs w:val="24"/>
        </w:rPr>
      </w:r>
    </w:p>
    <w:p>
      <w:pPr>
        <w:ind w:right="129" w:firstLine="851"/>
        <w:jc w:val="both"/>
        <w:rPr>
          <w:sz w:val="24"/>
          <w:szCs w:val="24"/>
        </w:rPr>
      </w:pPr>
      <w:r>
        <w:rPr>
          <w:sz w:val="24"/>
          <w:szCs w:val="24"/>
        </w:rPr>
        <w:t xml:space="preserve">3. Каменный уголь антрацит</w:t>
      </w:r>
      <w:r>
        <w:rPr>
          <w:sz w:val="24"/>
          <w:szCs w:val="24"/>
        </w:rPr>
      </w:r>
      <w:r>
        <w:rPr>
          <w:sz w:val="24"/>
          <w:szCs w:val="24"/>
        </w:rPr>
      </w:r>
    </w:p>
    <w:p>
      <w:pPr>
        <w:ind w:right="129" w:firstLine="851"/>
        <w:jc w:val="both"/>
        <w:rPr>
          <w:sz w:val="24"/>
          <w:szCs w:val="24"/>
        </w:rPr>
      </w:pPr>
      <w:r>
        <w:rPr>
          <w:sz w:val="24"/>
          <w:szCs w:val="24"/>
        </w:rPr>
        <w:t xml:space="preserve">Каменный уголь Антрац</w:t>
      </w:r>
      <w:r>
        <w:rPr>
          <w:sz w:val="24"/>
          <w:szCs w:val="24"/>
        </w:rPr>
        <w:t xml:space="preserve">ит - является высшей разновидностью и лучшим сортом каменного угля среди всех видов добываемых углей.  Для антрацита характерен черно-серый цвет, с ярко выраженным металлическим блеском. Имеет очень плотную структуру и твердый как камень. Каменный уголь Ан</w:t>
      </w:r>
      <w:r>
        <w:rPr>
          <w:sz w:val="24"/>
          <w:szCs w:val="24"/>
        </w:rPr>
        <w:t xml:space="preserve">трацит обладает высокой степенью углефикации и поэтому содержание углерода в нем более 95%. Также для угля Антрацит характерно гореть без языков пламени, запаха и дыма. Антрацит применяется как и для отопления частных домов так и в тяжелой промышленности. </w:t>
      </w:r>
      <w:r>
        <w:rPr>
          <w:sz w:val="24"/>
          <w:szCs w:val="24"/>
        </w:rPr>
      </w:r>
      <w:r>
        <w:rPr>
          <w:sz w:val="24"/>
          <w:szCs w:val="24"/>
        </w:rPr>
      </w:r>
    </w:p>
    <w:p>
      <w:pPr>
        <w:ind w:right="129" w:firstLine="851"/>
        <w:jc w:val="both"/>
        <w:rPr>
          <w:sz w:val="24"/>
          <w:szCs w:val="24"/>
        </w:rPr>
      </w:pPr>
      <w:r>
        <w:rPr>
          <w:sz w:val="24"/>
          <w:szCs w:val="24"/>
        </w:rPr>
        <w:t xml:space="preserve">Преимущества каменного антрацит:</w:t>
      </w:r>
      <w:r>
        <w:rPr>
          <w:sz w:val="24"/>
          <w:szCs w:val="24"/>
        </w:rPr>
      </w:r>
      <w:r>
        <w:rPr>
          <w:sz w:val="24"/>
          <w:szCs w:val="24"/>
        </w:rPr>
      </w:r>
    </w:p>
    <w:p>
      <w:pPr>
        <w:ind w:right="129" w:firstLine="851"/>
        <w:jc w:val="both"/>
        <w:rPr>
          <w:sz w:val="24"/>
          <w:szCs w:val="24"/>
        </w:rPr>
      </w:pPr>
      <w:r>
        <w:rPr>
          <w:sz w:val="24"/>
          <w:szCs w:val="24"/>
        </w:rPr>
        <w:t xml:space="preserve">Самый качественный и лучший вид угля</w:t>
      </w:r>
      <w:r>
        <w:rPr>
          <w:sz w:val="24"/>
          <w:szCs w:val="24"/>
        </w:rPr>
      </w:r>
      <w:r>
        <w:rPr>
          <w:sz w:val="24"/>
          <w:szCs w:val="24"/>
        </w:rPr>
      </w:r>
    </w:p>
    <w:p>
      <w:pPr>
        <w:ind w:right="129" w:firstLine="851"/>
        <w:jc w:val="both"/>
        <w:rPr>
          <w:sz w:val="24"/>
          <w:szCs w:val="24"/>
        </w:rPr>
      </w:pPr>
      <w:r>
        <w:rPr>
          <w:sz w:val="24"/>
          <w:szCs w:val="24"/>
        </w:rPr>
        <w:t xml:space="preserve">Обладает высшей теплотворностью среди всех марок угля, к примеру способен расплавить чугун</w:t>
      </w:r>
      <w:r>
        <w:rPr>
          <w:sz w:val="24"/>
          <w:szCs w:val="24"/>
        </w:rPr>
      </w:r>
      <w:r>
        <w:rPr>
          <w:sz w:val="24"/>
          <w:szCs w:val="24"/>
        </w:rPr>
      </w:r>
    </w:p>
    <w:p>
      <w:pPr>
        <w:ind w:right="129" w:firstLine="851"/>
        <w:jc w:val="both"/>
        <w:rPr>
          <w:sz w:val="24"/>
          <w:szCs w:val="24"/>
        </w:rPr>
      </w:pPr>
      <w:r>
        <w:rPr>
          <w:sz w:val="24"/>
          <w:szCs w:val="24"/>
        </w:rPr>
        <w:t xml:space="preserve">Горит без пламени и дыма</w:t>
      </w:r>
      <w:r>
        <w:rPr>
          <w:sz w:val="24"/>
          <w:szCs w:val="24"/>
        </w:rPr>
      </w:r>
      <w:r>
        <w:rPr>
          <w:sz w:val="24"/>
          <w:szCs w:val="24"/>
        </w:rPr>
      </w:r>
    </w:p>
    <w:p>
      <w:pPr>
        <w:ind w:right="129" w:firstLine="851"/>
        <w:jc w:val="both"/>
        <w:rPr>
          <w:sz w:val="24"/>
          <w:szCs w:val="24"/>
        </w:rPr>
      </w:pPr>
      <w:r>
        <w:rPr>
          <w:sz w:val="24"/>
          <w:szCs w:val="24"/>
        </w:rPr>
        <w:t xml:space="preserve">Низкий расход топлива в период отопления.</w:t>
      </w:r>
      <w:r>
        <w:rPr>
          <w:sz w:val="24"/>
          <w:szCs w:val="24"/>
        </w:rPr>
      </w:r>
      <w:r>
        <w:rPr>
          <w:sz w:val="24"/>
          <w:szCs w:val="24"/>
        </w:rPr>
      </w:r>
    </w:p>
    <w:p>
      <w:pPr>
        <w:ind w:right="129" w:firstLine="851"/>
        <w:jc w:val="both"/>
        <w:rPr>
          <w:sz w:val="24"/>
          <w:szCs w:val="24"/>
        </w:rPr>
      </w:pPr>
      <w:r>
        <w:rPr>
          <w:sz w:val="24"/>
          <w:szCs w:val="24"/>
        </w:rPr>
        <w:t xml:space="preserve">Пеллеты – это гранулированный вид твердого топлива цилиндрической формы, из спрессованных отходов сельскохозяйственного производства деревообрабатывающей промышленности. В ка</w:t>
      </w:r>
      <w:r>
        <w:rPr>
          <w:sz w:val="24"/>
          <w:szCs w:val="24"/>
        </w:rPr>
        <w:t xml:space="preserve">честве базового связующего вещества выступает вещество растительного происхождения – лигнин, природный полимер, содержащийся практически в любом растении, способный пластифицироваться при грануляции под воздействием достаточно высокой рабочей температуры. </w:t>
      </w:r>
      <w:r>
        <w:rPr>
          <w:sz w:val="24"/>
          <w:szCs w:val="24"/>
        </w:rPr>
      </w:r>
      <w:r>
        <w:rPr>
          <w:sz w:val="24"/>
          <w:szCs w:val="24"/>
        </w:rPr>
      </w:r>
    </w:p>
    <w:p>
      <w:pPr>
        <w:ind w:right="129" w:firstLine="851"/>
        <w:jc w:val="both"/>
        <w:rPr>
          <w:sz w:val="24"/>
          <w:szCs w:val="24"/>
        </w:rPr>
      </w:pPr>
      <w:r>
        <w:rPr>
          <w:sz w:val="24"/>
          <w:szCs w:val="24"/>
        </w:rPr>
        <w:t xml:space="preserve">Производство пеллет заключается в прессовании предварительно высушенных до определенной влажности и измельченных до заданной фракции отходов под давлением порядка 300 атмосфер. Их теплота сгорани</w:t>
      </w:r>
      <w:r>
        <w:rPr>
          <w:sz w:val="24"/>
          <w:szCs w:val="24"/>
        </w:rPr>
        <w:t xml:space="preserve">я составляет 4,3 – 4,5 кВт/кг, что в полтора раза больше, чем у древесины, но при этом теплоотдача сравнима с углем. При сгорании выбросы в атмосферу минимальны. Сжигание 2 тонн топливных гранул дает такое же количество тепловой энергии, как сжигание 957 м</w:t>
      </w:r>
      <w:r>
        <w:rPr>
          <w:sz w:val="24"/>
          <w:szCs w:val="24"/>
          <w:vertAlign w:val="superscript"/>
        </w:rPr>
        <w:t xml:space="preserve">3</w:t>
      </w:r>
      <w:r>
        <w:rPr>
          <w:sz w:val="24"/>
          <w:szCs w:val="24"/>
        </w:rPr>
        <w:t xml:space="preserve"> газа, 1000 л дизельного топлива, либо 3,2 тонны древесины.</w:t>
      </w:r>
      <w:r>
        <w:rPr>
          <w:sz w:val="24"/>
          <w:szCs w:val="24"/>
        </w:rPr>
      </w:r>
      <w:r>
        <w:rPr>
          <w:sz w:val="24"/>
          <w:szCs w:val="24"/>
        </w:rPr>
      </w:r>
    </w:p>
    <w:p>
      <w:pPr>
        <w:ind w:right="129" w:firstLine="851"/>
        <w:jc w:val="both"/>
        <w:rPr>
          <w:sz w:val="24"/>
          <w:szCs w:val="24"/>
        </w:rPr>
      </w:pPr>
      <w:r>
        <w:rPr>
          <w:sz w:val="24"/>
          <w:szCs w:val="24"/>
        </w:rPr>
        <w:t xml:space="preserve">Характеристики пеллет из древесины имеют показатели:</w:t>
      </w:r>
      <w:r>
        <w:rPr>
          <w:sz w:val="24"/>
          <w:szCs w:val="24"/>
        </w:rPr>
      </w:r>
      <w:r>
        <w:rPr>
          <w:sz w:val="24"/>
          <w:szCs w:val="24"/>
        </w:rPr>
      </w:r>
    </w:p>
    <w:p>
      <w:pPr>
        <w:ind w:right="129" w:firstLine="851"/>
        <w:jc w:val="both"/>
        <w:rPr>
          <w:sz w:val="24"/>
          <w:szCs w:val="24"/>
        </w:rPr>
      </w:pPr>
      <w:r>
        <w:rPr>
          <w:sz w:val="24"/>
          <w:szCs w:val="24"/>
        </w:rPr>
        <w:t xml:space="preserve">Выделяемая энергия при сгорании — не менее 17,5 кДж/кг</w:t>
      </w:r>
      <w:r>
        <w:rPr>
          <w:sz w:val="24"/>
          <w:szCs w:val="24"/>
        </w:rPr>
      </w:r>
      <w:r>
        <w:rPr>
          <w:sz w:val="24"/>
          <w:szCs w:val="24"/>
        </w:rPr>
      </w:r>
    </w:p>
    <w:p>
      <w:pPr>
        <w:ind w:right="129" w:firstLine="851"/>
        <w:jc w:val="both"/>
        <w:rPr>
          <w:sz w:val="24"/>
          <w:szCs w:val="24"/>
        </w:rPr>
      </w:pPr>
      <w:r>
        <w:rPr>
          <w:sz w:val="24"/>
          <w:szCs w:val="24"/>
        </w:rPr>
        <w:t xml:space="preserve">Зольность рабочего топлива – не более 0,8%.</w:t>
      </w:r>
      <w:r>
        <w:rPr>
          <w:sz w:val="24"/>
          <w:szCs w:val="24"/>
        </w:rPr>
      </w:r>
      <w:r>
        <w:rPr>
          <w:sz w:val="24"/>
          <w:szCs w:val="24"/>
        </w:rPr>
      </w:r>
    </w:p>
    <w:p>
      <w:pPr>
        <w:ind w:right="129" w:firstLine="851"/>
        <w:jc w:val="both"/>
        <w:rPr>
          <w:sz w:val="24"/>
          <w:szCs w:val="24"/>
        </w:rPr>
      </w:pPr>
      <w:r>
        <w:rPr>
          <w:sz w:val="24"/>
          <w:szCs w:val="24"/>
        </w:rPr>
      </w:r>
      <w:r>
        <w:rPr>
          <w:sz w:val="24"/>
          <w:szCs w:val="24"/>
        </w:rPr>
      </w:r>
      <w:r>
        <w:rPr>
          <w:sz w:val="24"/>
          <w:szCs w:val="24"/>
        </w:rPr>
      </w:r>
    </w:p>
    <w:p>
      <w:pPr>
        <w:pStyle w:val="1248"/>
        <w:ind w:right="111" w:firstLine="733"/>
      </w:pPr>
      <w:r/>
      <w:bookmarkStart w:id="548" w:name="_bookmark282"/>
      <w:r/>
      <w:bookmarkStart w:id="549" w:name="_Toc130232042"/>
      <w:r/>
      <w:bookmarkStart w:id="550" w:name="_Toc165540822"/>
      <w:r/>
      <w:bookmarkEnd w:id="548"/>
      <w:r>
        <w:rPr>
          <w:lang w:eastAsia="ru-RU"/>
        </w:rPr>
        <w:t xml:space="preserve">10.5 </w:t>
      </w:r>
      <w:r>
        <w:t xml:space="preserve">Преобладающий в поселении, городском округе вид топлива, определяемый по совокупности всех систем теплоснабжения, находящихся в соответствующем </w:t>
      </w:r>
      <w:r>
        <w:rPr>
          <w:spacing w:val="-2"/>
        </w:rPr>
        <w:t xml:space="preserve">поселении</w:t>
      </w:r>
      <w:bookmarkEnd w:id="549"/>
      <w:r/>
      <w:bookmarkEnd w:id="550"/>
      <w:r/>
      <w:r/>
    </w:p>
    <w:p>
      <w:pPr>
        <w:pStyle w:val="1247"/>
        <w:ind w:left="142" w:right="129" w:firstLine="684"/>
        <w:jc w:val="both"/>
        <w:spacing w:before="116"/>
      </w:pPr>
      <w:r>
        <w:t xml:space="preserve">Преобладающим видом топлива в централизованных котельных Юргамышского </w:t>
      </w:r>
      <w:r>
        <w:t xml:space="preserve">муниципального округа является природный газ, в децентрализованных котельных - пеллеты.</w:t>
      </w:r>
      <w:r/>
    </w:p>
    <w:p>
      <w:pPr>
        <w:pStyle w:val="1247"/>
        <w:ind w:left="119" w:right="108" w:firstLine="709"/>
        <w:jc w:val="both"/>
      </w:pPr>
      <w:r/>
      <w:r/>
    </w:p>
    <w:p>
      <w:pPr>
        <w:pStyle w:val="1248"/>
        <w:ind w:firstLine="733"/>
      </w:pPr>
      <w:r/>
      <w:bookmarkStart w:id="551" w:name="_bookmark283"/>
      <w:r/>
      <w:bookmarkStart w:id="552" w:name="_Toc130232043"/>
      <w:r/>
      <w:bookmarkStart w:id="553" w:name="_Toc165540823"/>
      <w:r/>
      <w:bookmarkEnd w:id="551"/>
      <w:r>
        <w:rPr>
          <w:lang w:eastAsia="ru-RU"/>
        </w:rPr>
        <w:t xml:space="preserve">10.6 </w:t>
      </w:r>
      <w:r>
        <w:t xml:space="preserve">Приоритетное</w:t>
      </w:r>
      <w:r>
        <w:rPr>
          <w:spacing w:val="-7"/>
        </w:rPr>
        <w:t xml:space="preserve"> </w:t>
      </w:r>
      <w:r>
        <w:t xml:space="preserve">направление</w:t>
      </w:r>
      <w:r>
        <w:rPr>
          <w:spacing w:val="-4"/>
        </w:rPr>
        <w:t xml:space="preserve"> </w:t>
      </w:r>
      <w:r>
        <w:t xml:space="preserve">развития</w:t>
      </w:r>
      <w:r>
        <w:rPr>
          <w:spacing w:val="-3"/>
        </w:rPr>
        <w:t xml:space="preserve"> </w:t>
      </w:r>
      <w:r>
        <w:t xml:space="preserve">топливного</w:t>
      </w:r>
      <w:r>
        <w:rPr>
          <w:spacing w:val="-3"/>
        </w:rPr>
        <w:t xml:space="preserve"> </w:t>
      </w:r>
      <w:r>
        <w:t xml:space="preserve">баланса</w:t>
      </w:r>
      <w:r>
        <w:rPr>
          <w:spacing w:val="-3"/>
        </w:rPr>
        <w:t xml:space="preserve"> </w:t>
      </w:r>
      <w:r>
        <w:rPr>
          <w:spacing w:val="-2"/>
        </w:rPr>
        <w:t xml:space="preserve">поселения</w:t>
      </w:r>
      <w:bookmarkEnd w:id="552"/>
      <w:r/>
      <w:bookmarkEnd w:id="553"/>
      <w:r/>
      <w:r/>
    </w:p>
    <w:p>
      <w:pPr>
        <w:pStyle w:val="1247"/>
        <w:ind w:left="118" w:right="145" w:firstLine="707"/>
        <w:jc w:val="both"/>
        <w:spacing w:before="115"/>
        <w:rPr>
          <w:spacing w:val="-3"/>
        </w:rPr>
      </w:pPr>
      <w:r>
        <w:t xml:space="preserve">Приоритетный вид топлива – газ. </w:t>
      </w:r>
      <w:r>
        <w:rPr>
          <w:spacing w:val="-3"/>
        </w:rPr>
      </w:r>
      <w:r>
        <w:rPr>
          <w:spacing w:val="-3"/>
        </w:rPr>
      </w:r>
    </w:p>
    <w:p>
      <w:pPr>
        <w:pStyle w:val="1247"/>
        <w:spacing w:before="7"/>
        <w:rPr>
          <w:sz w:val="16"/>
        </w:rPr>
      </w:pPr>
      <w:r>
        <w:rPr>
          <w:sz w:val="16"/>
        </w:rPr>
      </w:r>
      <w:r>
        <w:rPr>
          <w:sz w:val="16"/>
        </w:rPr>
      </w:r>
      <w:r>
        <w:rPr>
          <w:sz w:val="16"/>
        </w:rPr>
      </w:r>
    </w:p>
    <w:p>
      <w:pPr>
        <w:pStyle w:val="1248"/>
        <w:ind w:right="105" w:firstLine="733"/>
      </w:pPr>
      <w:r/>
      <w:bookmarkStart w:id="554" w:name="_bookmark284"/>
      <w:r/>
      <w:bookmarkStart w:id="555" w:name="_Toc130232044"/>
      <w:r/>
      <w:bookmarkStart w:id="556" w:name="_Toc165540824"/>
      <w:r/>
      <w:bookmarkEnd w:id="554"/>
      <w:r>
        <w:rPr>
          <w:lang w:eastAsia="ru-RU"/>
        </w:rPr>
        <w:t xml:space="preserve">10.7 </w:t>
      </w:r>
      <w:r>
        <w:t xml:space="preserve">Описание изменений в перспективных топливных балансах за период, предшествующий</w:t>
      </w:r>
      <w:r>
        <w:rPr>
          <w:spacing w:val="-15"/>
        </w:rPr>
        <w:t xml:space="preserve"> </w:t>
      </w:r>
      <w:r>
        <w:t xml:space="preserve">актуализации</w:t>
      </w:r>
      <w:r>
        <w:rPr>
          <w:spacing w:val="-14"/>
        </w:rPr>
        <w:t xml:space="preserve"> </w:t>
      </w:r>
      <w:r>
        <w:t xml:space="preserve">схемы</w:t>
      </w:r>
      <w:r>
        <w:rPr>
          <w:spacing w:val="-15"/>
        </w:rPr>
        <w:t xml:space="preserve"> </w:t>
      </w:r>
      <w:r>
        <w:t xml:space="preserve">теплоснабжения,</w:t>
      </w:r>
      <w:r>
        <w:rPr>
          <w:spacing w:val="-15"/>
        </w:rPr>
        <w:t xml:space="preserve"> </w:t>
      </w:r>
      <w:r>
        <w:t xml:space="preserve">в</w:t>
      </w:r>
      <w:r>
        <w:rPr>
          <w:spacing w:val="-15"/>
        </w:rPr>
        <w:t xml:space="preserve"> </w:t>
      </w:r>
      <w:r>
        <w:t xml:space="preserve">том</w:t>
      </w:r>
      <w:r>
        <w:rPr>
          <w:spacing w:val="-15"/>
        </w:rPr>
        <w:t xml:space="preserve"> </w:t>
      </w:r>
      <w:r>
        <w:t xml:space="preserve">числе</w:t>
      </w:r>
      <w:r>
        <w:rPr>
          <w:spacing w:val="-15"/>
        </w:rPr>
        <w:t xml:space="preserve"> </w:t>
      </w:r>
      <w:r>
        <w:t xml:space="preserve">с</w:t>
      </w:r>
      <w:r>
        <w:rPr>
          <w:spacing w:val="-14"/>
        </w:rPr>
        <w:t xml:space="preserve"> </w:t>
      </w:r>
      <w:r>
        <w:t xml:space="preserve">учётом</w:t>
      </w:r>
      <w:r>
        <w:rPr>
          <w:spacing w:val="-15"/>
        </w:rPr>
        <w:t xml:space="preserve"> </w:t>
      </w:r>
      <w:r>
        <w:t xml:space="preserve">введённых в эксплуатацию построенных и реконструированных источников тепловой энергии</w:t>
      </w:r>
      <w:bookmarkEnd w:id="555"/>
      <w:r/>
      <w:bookmarkEnd w:id="556"/>
      <w:r/>
      <w:r/>
    </w:p>
    <w:p>
      <w:pPr>
        <w:pStyle w:val="1247"/>
        <w:ind w:left="119" w:right="108" w:firstLine="709"/>
        <w:jc w:val="both"/>
        <w:spacing w:before="120"/>
      </w:pPr>
      <w:r>
        <w:t xml:space="preserve">Ранее схема теплоснабжения </w:t>
      </w:r>
      <w:r>
        <w:t xml:space="preserve">Юргамышского</w:t>
      </w:r>
      <w:r>
        <w:t xml:space="preserve"> муниципального округа не была разработана.</w:t>
      </w:r>
      <w:r/>
    </w:p>
    <w:p>
      <w:pPr>
        <w:pStyle w:val="1247"/>
        <w:ind w:left="826"/>
        <w:jc w:val="both"/>
        <w:spacing w:before="116"/>
      </w:pPr>
      <w:r/>
      <w:r/>
    </w:p>
    <w:p>
      <w:pPr>
        <w:jc w:val="both"/>
        <w:sectPr>
          <w:footnotePr/>
          <w:endnotePr/>
          <w:type w:val="nextPage"/>
          <w:pgSz w:w="11910" w:h="16840" w:orient="portrait"/>
          <w:pgMar w:top="1040" w:right="740" w:bottom="940" w:left="1300" w:header="0" w:footer="758" w:gutter="0"/>
          <w:cols w:num="1" w:sep="0" w:space="720" w:equalWidth="1"/>
          <w:docGrid w:linePitch="360"/>
        </w:sectPr>
      </w:pPr>
      <w:r/>
      <w:r/>
    </w:p>
    <w:p>
      <w:pPr>
        <w:pStyle w:val="1248"/>
        <w:ind w:left="826"/>
        <w:spacing w:before="71"/>
      </w:pPr>
      <w:r/>
      <w:bookmarkStart w:id="557" w:name="_bookmark285"/>
      <w:r/>
      <w:bookmarkStart w:id="558" w:name="_Toc130232045"/>
      <w:r/>
      <w:bookmarkStart w:id="559" w:name="_Toc165540825"/>
      <w:r/>
      <w:bookmarkEnd w:id="557"/>
      <w:r>
        <w:t xml:space="preserve">Глава</w:t>
      </w:r>
      <w:r>
        <w:rPr>
          <w:spacing w:val="-4"/>
        </w:rPr>
        <w:t xml:space="preserve"> </w:t>
      </w:r>
      <w:r>
        <w:t xml:space="preserve">11</w:t>
      </w:r>
      <w:r>
        <w:rPr>
          <w:spacing w:val="4"/>
        </w:rPr>
        <w:t xml:space="preserve"> </w:t>
      </w:r>
      <w:r>
        <w:t xml:space="preserve">Оценка</w:t>
      </w:r>
      <w:r>
        <w:rPr>
          <w:spacing w:val="-3"/>
        </w:rPr>
        <w:t xml:space="preserve"> </w:t>
      </w:r>
      <w:r>
        <w:t xml:space="preserve">надёжности</w:t>
      </w:r>
      <w:r>
        <w:rPr>
          <w:spacing w:val="-2"/>
        </w:rPr>
        <w:t xml:space="preserve"> теплоснабжения</w:t>
      </w:r>
      <w:bookmarkEnd w:id="558"/>
      <w:r/>
      <w:bookmarkEnd w:id="559"/>
      <w:r/>
      <w:r/>
    </w:p>
    <w:p>
      <w:pPr>
        <w:pStyle w:val="1248"/>
        <w:ind w:right="108" w:firstLine="733"/>
        <w:spacing w:before="120"/>
      </w:pPr>
      <w:r/>
      <w:bookmarkStart w:id="560" w:name="_bookmark286"/>
      <w:r/>
      <w:bookmarkStart w:id="561" w:name="_Toc130232046"/>
      <w:r/>
      <w:bookmarkStart w:id="562" w:name="_Toc165540826"/>
      <w:r/>
      <w:bookmarkEnd w:id="560"/>
      <w:r>
        <w:rPr>
          <w:lang w:eastAsia="ru-RU"/>
        </w:rPr>
        <w:t xml:space="preserve">11.1 </w:t>
      </w:r>
      <w:r>
        <w:t xml:space="preserve">Обоснование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561"/>
      <w:r/>
      <w:bookmarkEnd w:id="562"/>
      <w:r/>
      <w:r/>
    </w:p>
    <w:p>
      <w:pPr>
        <w:pStyle w:val="1247"/>
        <w:ind w:left="118" w:right="111" w:firstLine="707"/>
        <w:jc w:val="both"/>
        <w:spacing w:before="116"/>
      </w:pPr>
      <w:r>
        <w:t xml:space="preserve">Надежность систем централизованного теплоснабжения определяе</w:t>
      </w:r>
      <w:r>
        <w:t xml:space="preserve">тся структурой, параметрами, степенью резервирования и качеством элементов всех ее подсистем – источников тепловой энергии, тепловых сетей, узлов потребления, систем автоматического регулирования, а также уровнем эксплуатации и строительно-монтажных работ.</w:t>
      </w:r>
      <w:r/>
    </w:p>
    <w:p>
      <w:pPr>
        <w:pStyle w:val="1247"/>
        <w:ind w:left="119" w:right="113" w:firstLine="709"/>
        <w:jc w:val="both"/>
      </w:pPr>
      <w:r>
        <w:t xml:space="preserve">Расчет надежности системы теплоснабжения выполнен для магистральных участков сети, резервирование которых обязательно в соответствии с требованиями пп. 6.33 – 6</w:t>
      </w:r>
      <w:r>
        <w:t xml:space="preserve">.36 СНиП 41-02- 2003 «Тепловые сети», п. 1.3 РД – 7 – ВЭП «Расчет систем централизованного теплоснабжения с учетом требований надежности», п. 5.1 СП 41- 110-2005 «Проектирование тепловых сетей» и других действующих в настоящее время нормативных документов.</w:t>
      </w:r>
      <w:r/>
    </w:p>
    <w:p>
      <w:pPr>
        <w:pStyle w:val="1247"/>
        <w:ind w:left="118" w:right="111" w:firstLine="707"/>
        <w:jc w:val="both"/>
        <w:spacing w:before="116"/>
      </w:pPr>
      <w:r/>
      <w:r/>
    </w:p>
    <w:p>
      <w:pPr>
        <w:pStyle w:val="1248"/>
        <w:ind w:right="106" w:firstLine="733"/>
        <w:spacing w:before="0"/>
      </w:pPr>
      <w:r/>
      <w:bookmarkStart w:id="563" w:name="_bookmark295"/>
      <w:r/>
      <w:bookmarkStart w:id="564" w:name="_Toc130232047"/>
      <w:r/>
      <w:bookmarkStart w:id="565" w:name="_Toc165540827"/>
      <w:r/>
      <w:bookmarkEnd w:id="563"/>
      <w:r>
        <w:rPr>
          <w:lang w:eastAsia="ru-RU"/>
        </w:rPr>
        <w:t xml:space="preserve">11.2 </w:t>
      </w:r>
      <w:r>
        <w:t xml:space="preserve">Обоснование метода и результатов обработки данных по восстановлениям отказавших</w:t>
      </w:r>
      <w:r>
        <w:rPr>
          <w:spacing w:val="-4"/>
        </w:rPr>
        <w:t xml:space="preserve"> </w:t>
      </w:r>
      <w:r>
        <w:t xml:space="preserve">участков</w:t>
      </w:r>
      <w:r>
        <w:rPr>
          <w:spacing w:val="-4"/>
        </w:rPr>
        <w:t xml:space="preserve"> </w:t>
      </w:r>
      <w:r>
        <w:t xml:space="preserve">тепловых</w:t>
      </w:r>
      <w:r>
        <w:rPr>
          <w:spacing w:val="-5"/>
        </w:rPr>
        <w:t xml:space="preserve"> </w:t>
      </w:r>
      <w:r>
        <w:t xml:space="preserve">сетей</w:t>
      </w:r>
      <w:r>
        <w:rPr>
          <w:spacing w:val="-4"/>
        </w:rPr>
        <w:t xml:space="preserve"> </w:t>
      </w:r>
      <w:r>
        <w:t xml:space="preserve">(участков</w:t>
      </w:r>
      <w:r>
        <w:rPr>
          <w:spacing w:val="-4"/>
        </w:rPr>
        <w:t xml:space="preserve"> </w:t>
      </w:r>
      <w:r>
        <w:t xml:space="preserve">тепловых</w:t>
      </w:r>
      <w:r>
        <w:rPr>
          <w:spacing w:val="-5"/>
        </w:rPr>
        <w:t xml:space="preserve"> </w:t>
      </w:r>
      <w:r>
        <w:t xml:space="preserve">сетей,</w:t>
      </w:r>
      <w:r>
        <w:rPr>
          <w:spacing w:val="-4"/>
        </w:rPr>
        <w:t xml:space="preserve"> </w:t>
      </w:r>
      <w:r>
        <w:t xml:space="preserve">на</w:t>
      </w:r>
      <w:r>
        <w:rPr>
          <w:spacing w:val="-4"/>
        </w:rPr>
        <w:t xml:space="preserve"> </w:t>
      </w:r>
      <w:r>
        <w:t xml:space="preserve">которых произошли аварийные</w:t>
      </w:r>
      <w:r>
        <w:rPr>
          <w:spacing w:val="-15"/>
        </w:rPr>
        <w:t xml:space="preserve"> </w:t>
      </w:r>
      <w:r>
        <w:t xml:space="preserve">ситуации),</w:t>
      </w:r>
      <w:r>
        <w:rPr>
          <w:spacing w:val="-15"/>
        </w:rPr>
        <w:t xml:space="preserve"> </w:t>
      </w:r>
      <w:r>
        <w:t xml:space="preserve">среднего</w:t>
      </w:r>
      <w:r>
        <w:rPr>
          <w:spacing w:val="-15"/>
        </w:rPr>
        <w:t xml:space="preserve"> </w:t>
      </w:r>
      <w:r>
        <w:t xml:space="preserve">времени</w:t>
      </w:r>
      <w:r>
        <w:rPr>
          <w:spacing w:val="-15"/>
        </w:rPr>
        <w:t xml:space="preserve"> </w:t>
      </w:r>
      <w:r>
        <w:t xml:space="preserve">восстановления</w:t>
      </w:r>
      <w:r>
        <w:rPr>
          <w:spacing w:val="-15"/>
        </w:rPr>
        <w:t xml:space="preserve"> </w:t>
      </w:r>
      <w:r>
        <w:t xml:space="preserve">отказавших</w:t>
      </w:r>
      <w:r>
        <w:rPr>
          <w:spacing w:val="-15"/>
        </w:rPr>
        <w:t xml:space="preserve"> </w:t>
      </w:r>
      <w:r>
        <w:t xml:space="preserve">участков</w:t>
      </w:r>
      <w:r>
        <w:rPr>
          <w:spacing w:val="-15"/>
        </w:rPr>
        <w:t xml:space="preserve"> </w:t>
      </w:r>
      <w:r>
        <w:t xml:space="preserve">тепловых сетей в каждой системе теплоснабжения</w:t>
      </w:r>
      <w:bookmarkEnd w:id="564"/>
      <w:r/>
      <w:bookmarkEnd w:id="565"/>
      <w:r/>
      <w:r/>
    </w:p>
    <w:p>
      <w:pPr>
        <w:pStyle w:val="1247"/>
        <w:ind w:left="142" w:right="91" w:firstLine="709"/>
        <w:jc w:val="both"/>
        <w:spacing w:before="120"/>
      </w:pPr>
      <w:r>
        <w:t xml:space="preserve">Аварийно-восстановительные ремонтные работы, как правило, проводятся в</w:t>
      </w:r>
      <w:r>
        <w:t xml:space="preserve"> сжатые сроки в пределах средней статистики затрачиваемого времени. Данные таблицы включают интервалы времени: от момента выявления дефекта после проведения работ по вскрытию, отключения участка, заполнения и проведения работ с закрытием аварийной заявки. </w:t>
      </w:r>
      <w:r>
        <w:t xml:space="preserve">Не учтены технологические операции по доставке дежурных бригад к месту возможной аварии, оперативные переключения по выявлению участка с повышенным расходом и время согласования на разработку грунта с владельцами смежных объектов инженерной инфраструктуры.</w:t>
      </w:r>
      <w:r/>
    </w:p>
    <w:p>
      <w:pPr>
        <w:pStyle w:val="1247"/>
        <w:ind w:left="142" w:right="91" w:firstLine="709"/>
        <w:jc w:val="right"/>
        <w:spacing w:before="120"/>
      </w:pPr>
      <w:r>
        <w:t xml:space="preserve">Таблица </w:t>
      </w:r>
      <w:r>
        <w:t xml:space="preserve">11.2.1</w:t>
      </w:r>
      <w:r/>
    </w:p>
    <w:p>
      <w:pPr>
        <w:pStyle w:val="1247"/>
        <w:ind w:left="142" w:right="91" w:firstLine="709"/>
        <w:jc w:val="center"/>
        <w:spacing w:before="120"/>
      </w:pPr>
      <w:r>
        <w:t xml:space="preserve">Среднее время, затрачиваемое на восстановление работоспособности тепловых сетей в отопительный период в зависимости от диаметра трубопровода</w:t>
      </w:r>
      <w:r/>
    </w:p>
    <w:tbl>
      <w:tblPr>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1682"/>
        <w:gridCol w:w="642"/>
        <w:gridCol w:w="642"/>
        <w:gridCol w:w="685"/>
        <w:gridCol w:w="685"/>
        <w:gridCol w:w="685"/>
        <w:gridCol w:w="685"/>
        <w:gridCol w:w="685"/>
        <w:gridCol w:w="685"/>
        <w:gridCol w:w="685"/>
        <w:gridCol w:w="685"/>
        <w:gridCol w:w="685"/>
        <w:gridCol w:w="729"/>
      </w:tblGrid>
      <w:tr>
        <w:tblPrEx/>
        <w:trPr>
          <w:jc w:val="center"/>
          <w:trHeight w:val="227"/>
        </w:trPr>
        <w:tc>
          <w:tcPr>
            <w:tcBorders>
              <w:top w:val="single" w:color="auto" w:sz="4" w:space="0"/>
              <w:left w:val="single" w:color="auto" w:sz="4" w:space="0"/>
              <w:bottom w:val="single" w:color="auto" w:sz="4" w:space="0"/>
              <w:right w:val="single" w:color="auto" w:sz="4" w:space="0"/>
            </w:tcBorders>
            <w:tcW w:w="1688" w:type="dxa"/>
            <w:vAlign w:val="center"/>
            <w:textDirection w:val="lrTb"/>
            <w:noWrap w:val="false"/>
          </w:tcPr>
          <w:p>
            <w:pPr>
              <w:jc w:val="center"/>
              <w:rPr>
                <w:sz w:val="20"/>
                <w:szCs w:val="20"/>
              </w:rPr>
            </w:pPr>
            <w:r/>
            <w:bookmarkStart w:id="566" w:name="_bookmark296"/>
            <w:r/>
            <w:bookmarkEnd w:id="566"/>
            <w:r>
              <w:rPr>
                <w:sz w:val="20"/>
                <w:szCs w:val="20"/>
              </w:rPr>
              <w:t xml:space="preserve">Условный диаметр, мм</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665" w:type="dxa"/>
            <w:vAlign w:val="center"/>
            <w:textDirection w:val="lrTb"/>
            <w:noWrap w:val="false"/>
          </w:tcPr>
          <w:p>
            <w:pPr>
              <w:jc w:val="center"/>
              <w:rPr>
                <w:sz w:val="20"/>
                <w:szCs w:val="20"/>
              </w:rPr>
            </w:pPr>
            <w:r>
              <w:rPr>
                <w:sz w:val="20"/>
                <w:szCs w:val="20"/>
              </w:rPr>
              <w:t xml:space="preserve">50</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665" w:type="dxa"/>
            <w:vAlign w:val="center"/>
            <w:textDirection w:val="lrTb"/>
            <w:noWrap w:val="false"/>
          </w:tcPr>
          <w:p>
            <w:pPr>
              <w:jc w:val="center"/>
              <w:rPr>
                <w:sz w:val="20"/>
                <w:szCs w:val="20"/>
              </w:rPr>
            </w:pPr>
            <w:r>
              <w:rPr>
                <w:sz w:val="20"/>
                <w:szCs w:val="20"/>
              </w:rPr>
              <w:t xml:space="preserve">80</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703" w:type="dxa"/>
            <w:vAlign w:val="center"/>
            <w:textDirection w:val="lrTb"/>
            <w:noWrap w:val="false"/>
          </w:tcPr>
          <w:p>
            <w:pPr>
              <w:jc w:val="center"/>
              <w:rPr>
                <w:sz w:val="20"/>
                <w:szCs w:val="20"/>
              </w:rPr>
            </w:pPr>
            <w:r>
              <w:rPr>
                <w:sz w:val="20"/>
                <w:szCs w:val="20"/>
              </w:rPr>
              <w:t xml:space="preserve">100</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703" w:type="dxa"/>
            <w:vAlign w:val="center"/>
            <w:textDirection w:val="lrTb"/>
            <w:noWrap w:val="false"/>
          </w:tcPr>
          <w:p>
            <w:pPr>
              <w:jc w:val="center"/>
              <w:rPr>
                <w:sz w:val="20"/>
                <w:szCs w:val="20"/>
              </w:rPr>
            </w:pPr>
            <w:r>
              <w:rPr>
                <w:sz w:val="20"/>
                <w:szCs w:val="20"/>
              </w:rPr>
              <w:t xml:space="preserve">150</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703" w:type="dxa"/>
            <w:vAlign w:val="center"/>
            <w:textDirection w:val="lrTb"/>
            <w:noWrap w:val="false"/>
          </w:tcPr>
          <w:p>
            <w:pPr>
              <w:jc w:val="center"/>
              <w:rPr>
                <w:sz w:val="20"/>
                <w:szCs w:val="20"/>
              </w:rPr>
            </w:pPr>
            <w:r>
              <w:rPr>
                <w:sz w:val="20"/>
                <w:szCs w:val="20"/>
              </w:rPr>
              <w:t xml:space="preserve">200</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703" w:type="dxa"/>
            <w:vAlign w:val="center"/>
            <w:textDirection w:val="lrTb"/>
            <w:noWrap w:val="false"/>
          </w:tcPr>
          <w:p>
            <w:pPr>
              <w:jc w:val="center"/>
              <w:rPr>
                <w:sz w:val="20"/>
                <w:szCs w:val="20"/>
              </w:rPr>
            </w:pPr>
            <w:r>
              <w:rPr>
                <w:sz w:val="20"/>
                <w:szCs w:val="20"/>
              </w:rPr>
              <w:t xml:space="preserve">300</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703" w:type="dxa"/>
            <w:vAlign w:val="center"/>
            <w:textDirection w:val="lrTb"/>
            <w:noWrap w:val="false"/>
          </w:tcPr>
          <w:p>
            <w:pPr>
              <w:jc w:val="center"/>
              <w:rPr>
                <w:sz w:val="20"/>
                <w:szCs w:val="20"/>
              </w:rPr>
            </w:pPr>
            <w:r>
              <w:rPr>
                <w:sz w:val="20"/>
                <w:szCs w:val="20"/>
              </w:rPr>
              <w:t xml:space="preserve">400</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703" w:type="dxa"/>
            <w:vAlign w:val="center"/>
            <w:textDirection w:val="lrTb"/>
            <w:noWrap w:val="false"/>
          </w:tcPr>
          <w:p>
            <w:pPr>
              <w:jc w:val="center"/>
              <w:rPr>
                <w:sz w:val="20"/>
                <w:szCs w:val="20"/>
              </w:rPr>
            </w:pPr>
            <w:r>
              <w:rPr>
                <w:sz w:val="20"/>
                <w:szCs w:val="20"/>
              </w:rPr>
              <w:t xml:space="preserve">500</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703" w:type="dxa"/>
            <w:vAlign w:val="center"/>
            <w:textDirection w:val="lrTb"/>
            <w:noWrap w:val="false"/>
          </w:tcPr>
          <w:p>
            <w:pPr>
              <w:jc w:val="center"/>
              <w:rPr>
                <w:sz w:val="20"/>
                <w:szCs w:val="20"/>
              </w:rPr>
            </w:pPr>
            <w:r>
              <w:rPr>
                <w:sz w:val="20"/>
                <w:szCs w:val="20"/>
              </w:rPr>
              <w:t xml:space="preserve">600</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703" w:type="dxa"/>
            <w:vAlign w:val="center"/>
            <w:textDirection w:val="lrTb"/>
            <w:noWrap w:val="false"/>
          </w:tcPr>
          <w:p>
            <w:pPr>
              <w:jc w:val="center"/>
              <w:rPr>
                <w:sz w:val="20"/>
                <w:szCs w:val="20"/>
              </w:rPr>
            </w:pPr>
            <w:r>
              <w:rPr>
                <w:sz w:val="20"/>
                <w:szCs w:val="20"/>
              </w:rPr>
              <w:t xml:space="preserve">700</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703" w:type="dxa"/>
            <w:vAlign w:val="center"/>
            <w:textDirection w:val="lrTb"/>
            <w:noWrap w:val="false"/>
          </w:tcPr>
          <w:p>
            <w:pPr>
              <w:jc w:val="center"/>
              <w:rPr>
                <w:sz w:val="20"/>
                <w:szCs w:val="20"/>
              </w:rPr>
            </w:pPr>
            <w:r>
              <w:rPr>
                <w:sz w:val="20"/>
                <w:szCs w:val="20"/>
              </w:rPr>
              <w:t xml:space="preserve">800</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741" w:type="dxa"/>
            <w:vAlign w:val="center"/>
            <w:textDirection w:val="lrTb"/>
            <w:noWrap w:val="false"/>
          </w:tcPr>
          <w:p>
            <w:pPr>
              <w:jc w:val="center"/>
              <w:rPr>
                <w:sz w:val="20"/>
                <w:szCs w:val="20"/>
              </w:rPr>
            </w:pPr>
            <w:r>
              <w:rPr>
                <w:sz w:val="20"/>
                <w:szCs w:val="20"/>
              </w:rPr>
              <w:t xml:space="preserve">1000</w:t>
            </w:r>
            <w:r>
              <w:rPr>
                <w:sz w:val="20"/>
                <w:szCs w:val="20"/>
              </w:rPr>
            </w:r>
            <w:r>
              <w:rPr>
                <w:sz w:val="20"/>
                <w:szCs w:val="20"/>
              </w:rPr>
            </w:r>
          </w:p>
        </w:tc>
      </w:tr>
      <w:tr>
        <w:tblPrEx/>
        <w:trPr>
          <w:jc w:val="center"/>
          <w:trHeight w:val="227"/>
        </w:trPr>
        <w:tc>
          <w:tcPr>
            <w:tcBorders>
              <w:top w:val="single" w:color="auto" w:sz="4" w:space="0"/>
              <w:left w:val="single" w:color="auto" w:sz="4" w:space="0"/>
              <w:bottom w:val="single" w:color="auto" w:sz="4" w:space="0"/>
              <w:right w:val="single" w:color="auto" w:sz="4" w:space="0"/>
            </w:tcBorders>
            <w:tcW w:w="1688" w:type="dxa"/>
            <w:vAlign w:val="center"/>
            <w:textDirection w:val="lrTb"/>
            <w:noWrap w:val="false"/>
          </w:tcPr>
          <w:p>
            <w:pPr>
              <w:jc w:val="center"/>
              <w:rPr>
                <w:sz w:val="20"/>
                <w:szCs w:val="20"/>
              </w:rPr>
            </w:pPr>
            <w:r>
              <w:rPr>
                <w:sz w:val="20"/>
                <w:szCs w:val="20"/>
              </w:rPr>
              <w:t xml:space="preserve">Время восстановления, час.</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665" w:type="dxa"/>
            <w:vAlign w:val="center"/>
            <w:textDirection w:val="lrTb"/>
            <w:noWrap w:val="false"/>
          </w:tcPr>
          <w:p>
            <w:pPr>
              <w:jc w:val="center"/>
              <w:rPr>
                <w:sz w:val="20"/>
                <w:szCs w:val="20"/>
              </w:rPr>
            </w:pPr>
            <w:r>
              <w:rPr>
                <w:sz w:val="20"/>
                <w:szCs w:val="20"/>
              </w:rPr>
              <w:t xml:space="preserve">2</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665" w:type="dxa"/>
            <w:vAlign w:val="center"/>
            <w:textDirection w:val="lrTb"/>
            <w:noWrap w:val="false"/>
          </w:tcPr>
          <w:p>
            <w:pPr>
              <w:jc w:val="center"/>
              <w:rPr>
                <w:sz w:val="20"/>
                <w:szCs w:val="20"/>
              </w:rPr>
            </w:pPr>
            <w:r>
              <w:rPr>
                <w:sz w:val="20"/>
                <w:szCs w:val="20"/>
              </w:rPr>
              <w:t xml:space="preserve">3</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703" w:type="dxa"/>
            <w:vAlign w:val="center"/>
            <w:textDirection w:val="lrTb"/>
            <w:noWrap w:val="false"/>
          </w:tcPr>
          <w:p>
            <w:pPr>
              <w:jc w:val="center"/>
              <w:rPr>
                <w:sz w:val="20"/>
                <w:szCs w:val="20"/>
              </w:rPr>
            </w:pPr>
            <w:r>
              <w:rPr>
                <w:sz w:val="20"/>
                <w:szCs w:val="20"/>
              </w:rPr>
              <w:t xml:space="preserve">4</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703" w:type="dxa"/>
            <w:vAlign w:val="center"/>
            <w:textDirection w:val="lrTb"/>
            <w:noWrap w:val="false"/>
          </w:tcPr>
          <w:p>
            <w:pPr>
              <w:jc w:val="center"/>
              <w:rPr>
                <w:sz w:val="20"/>
                <w:szCs w:val="20"/>
              </w:rPr>
            </w:pPr>
            <w:r>
              <w:rPr>
                <w:sz w:val="20"/>
                <w:szCs w:val="20"/>
              </w:rPr>
              <w:t xml:space="preserve">5</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703" w:type="dxa"/>
            <w:vAlign w:val="center"/>
            <w:textDirection w:val="lrTb"/>
            <w:noWrap w:val="false"/>
          </w:tcPr>
          <w:p>
            <w:pPr>
              <w:jc w:val="center"/>
              <w:rPr>
                <w:sz w:val="20"/>
                <w:szCs w:val="20"/>
              </w:rPr>
            </w:pPr>
            <w:r>
              <w:rPr>
                <w:sz w:val="20"/>
                <w:szCs w:val="20"/>
              </w:rPr>
              <w:t xml:space="preserve">6</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703" w:type="dxa"/>
            <w:vAlign w:val="center"/>
            <w:textDirection w:val="lrTb"/>
            <w:noWrap w:val="false"/>
          </w:tcPr>
          <w:p>
            <w:pPr>
              <w:jc w:val="center"/>
              <w:rPr>
                <w:sz w:val="20"/>
                <w:szCs w:val="20"/>
              </w:rPr>
            </w:pPr>
            <w:r>
              <w:rPr>
                <w:sz w:val="20"/>
                <w:szCs w:val="20"/>
              </w:rPr>
              <w:t xml:space="preserve">7</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703" w:type="dxa"/>
            <w:vAlign w:val="center"/>
            <w:textDirection w:val="lrTb"/>
            <w:noWrap w:val="false"/>
          </w:tcPr>
          <w:p>
            <w:pPr>
              <w:jc w:val="center"/>
              <w:rPr>
                <w:sz w:val="20"/>
                <w:szCs w:val="20"/>
              </w:rPr>
            </w:pPr>
            <w:r>
              <w:rPr>
                <w:sz w:val="20"/>
                <w:szCs w:val="20"/>
              </w:rPr>
              <w:t xml:space="preserve">8</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703" w:type="dxa"/>
            <w:vAlign w:val="center"/>
            <w:textDirection w:val="lrTb"/>
            <w:noWrap w:val="false"/>
          </w:tcPr>
          <w:p>
            <w:pPr>
              <w:jc w:val="center"/>
              <w:rPr>
                <w:sz w:val="20"/>
                <w:szCs w:val="20"/>
              </w:rPr>
            </w:pPr>
            <w:r>
              <w:rPr>
                <w:sz w:val="20"/>
                <w:szCs w:val="20"/>
              </w:rPr>
              <w:t xml:space="preserve">9</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703" w:type="dxa"/>
            <w:vAlign w:val="center"/>
            <w:textDirection w:val="lrTb"/>
            <w:noWrap w:val="false"/>
          </w:tcPr>
          <w:p>
            <w:pPr>
              <w:jc w:val="center"/>
              <w:rPr>
                <w:sz w:val="20"/>
                <w:szCs w:val="20"/>
              </w:rPr>
            </w:pPr>
            <w:r>
              <w:rPr>
                <w:sz w:val="20"/>
                <w:szCs w:val="20"/>
              </w:rPr>
              <w:t xml:space="preserve">9</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703" w:type="dxa"/>
            <w:vAlign w:val="center"/>
            <w:textDirection w:val="lrTb"/>
            <w:noWrap w:val="false"/>
          </w:tcPr>
          <w:p>
            <w:pPr>
              <w:jc w:val="center"/>
              <w:rPr>
                <w:sz w:val="20"/>
                <w:szCs w:val="20"/>
              </w:rPr>
            </w:pPr>
            <w:r>
              <w:rPr>
                <w:sz w:val="20"/>
                <w:szCs w:val="20"/>
              </w:rPr>
              <w:t xml:space="preserve">9</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703" w:type="dxa"/>
            <w:vAlign w:val="center"/>
            <w:textDirection w:val="lrTb"/>
            <w:noWrap w:val="false"/>
          </w:tcPr>
          <w:p>
            <w:pPr>
              <w:jc w:val="center"/>
              <w:rPr>
                <w:sz w:val="20"/>
                <w:szCs w:val="20"/>
              </w:rPr>
            </w:pPr>
            <w:r>
              <w:rPr>
                <w:sz w:val="20"/>
                <w:szCs w:val="20"/>
              </w:rPr>
              <w:t xml:space="preserve">10</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741" w:type="dxa"/>
            <w:vAlign w:val="center"/>
            <w:textDirection w:val="lrTb"/>
            <w:noWrap w:val="false"/>
          </w:tcPr>
          <w:p>
            <w:pPr>
              <w:jc w:val="center"/>
              <w:rPr>
                <w:sz w:val="20"/>
                <w:szCs w:val="20"/>
              </w:rPr>
            </w:pPr>
            <w:r>
              <w:rPr>
                <w:sz w:val="20"/>
                <w:szCs w:val="20"/>
              </w:rPr>
              <w:t xml:space="preserve">12</w:t>
            </w:r>
            <w:r>
              <w:rPr>
                <w:sz w:val="20"/>
                <w:szCs w:val="20"/>
              </w:rPr>
            </w:r>
            <w:r>
              <w:rPr>
                <w:sz w:val="20"/>
                <w:szCs w:val="20"/>
              </w:rPr>
            </w:r>
          </w:p>
        </w:tc>
      </w:tr>
    </w:tbl>
    <w:p>
      <w:pPr>
        <w:rPr>
          <w:sz w:val="20"/>
        </w:rPr>
      </w:pPr>
      <w:r>
        <w:rPr>
          <w:sz w:val="20"/>
        </w:rPr>
      </w:r>
      <w:r>
        <w:rPr>
          <w:sz w:val="20"/>
        </w:rPr>
      </w:r>
      <w:r>
        <w:rPr>
          <w:sz w:val="20"/>
        </w:rPr>
      </w:r>
    </w:p>
    <w:p>
      <w:pPr>
        <w:pStyle w:val="1248"/>
        <w:ind w:right="104" w:firstLine="733"/>
        <w:spacing w:before="71"/>
      </w:pPr>
      <w:r/>
      <w:bookmarkStart w:id="567" w:name="_bookmark297"/>
      <w:r/>
      <w:bookmarkStart w:id="568" w:name="_Toc130232048"/>
      <w:r/>
      <w:bookmarkStart w:id="569" w:name="_Toc165540828"/>
      <w:r/>
      <w:bookmarkEnd w:id="567"/>
      <w:r>
        <w:rPr>
          <w:lang w:eastAsia="ru-RU"/>
        </w:rPr>
        <w:t xml:space="preserve">11.3 </w:t>
      </w:r>
      <w:r>
        <w:t xml:space="preserve">Обоснование</w:t>
      </w:r>
      <w:r>
        <w:rPr>
          <w:spacing w:val="-15"/>
        </w:rPr>
        <w:t xml:space="preserve"> </w:t>
      </w:r>
      <w:r>
        <w:t xml:space="preserve">результатов</w:t>
      </w:r>
      <w:r>
        <w:rPr>
          <w:spacing w:val="-14"/>
        </w:rPr>
        <w:t xml:space="preserve"> </w:t>
      </w:r>
      <w:r>
        <w:t xml:space="preserve">оценки</w:t>
      </w:r>
      <w:r>
        <w:rPr>
          <w:spacing w:val="-13"/>
        </w:rPr>
        <w:t xml:space="preserve"> </w:t>
      </w:r>
      <w:r>
        <w:t xml:space="preserve">вероятности</w:t>
      </w:r>
      <w:r>
        <w:rPr>
          <w:spacing w:val="-13"/>
        </w:rPr>
        <w:t xml:space="preserve"> </w:t>
      </w:r>
      <w:r>
        <w:t xml:space="preserve">отказа</w:t>
      </w:r>
      <w:r>
        <w:rPr>
          <w:spacing w:val="-15"/>
        </w:rPr>
        <w:t xml:space="preserve"> </w:t>
      </w:r>
      <w:r>
        <w:t xml:space="preserve">(аварийной</w:t>
      </w:r>
      <w:r>
        <w:rPr>
          <w:spacing w:val="-15"/>
        </w:rPr>
        <w:t xml:space="preserve"> </w:t>
      </w:r>
      <w:r>
        <w:t xml:space="preserve">ситуации)</w:t>
      </w:r>
      <w:r>
        <w:rPr>
          <w:spacing w:val="-15"/>
        </w:rPr>
        <w:t xml:space="preserve"> </w:t>
      </w:r>
      <w:r>
        <w:t xml:space="preserve">и безотказной (безаварийной) работы системы теплоснабжения по отношению к потребителям, присоединённым к магистральным и распределительным </w:t>
      </w:r>
      <w:r>
        <w:rPr>
          <w:spacing w:val="-2"/>
        </w:rPr>
        <w:t xml:space="preserve">теплопроводам</w:t>
      </w:r>
      <w:bookmarkEnd w:id="568"/>
      <w:r/>
      <w:bookmarkEnd w:id="569"/>
      <w:r/>
      <w:r/>
    </w:p>
    <w:p>
      <w:pPr>
        <w:ind w:left="142" w:firstLine="709"/>
        <w:jc w:val="both"/>
        <w:spacing w:before="120"/>
        <w:rPr>
          <w:sz w:val="24"/>
          <w:szCs w:val="24"/>
          <w:lang w:eastAsia="ru-RU"/>
        </w:rPr>
      </w:pPr>
      <w:r>
        <w:rPr>
          <w:sz w:val="24"/>
          <w:szCs w:val="24"/>
          <w:lang w:eastAsia="ru-RU"/>
        </w:rPr>
        <w:t xml:space="preserve">Вероятность безотказной работы СЦТ в эксплуатации – это показатель способности СЦТ к безотказной работе при текущем техническом состоянии СЦТ.</w:t>
      </w:r>
      <w:r>
        <w:rPr>
          <w:sz w:val="24"/>
          <w:szCs w:val="24"/>
          <w:lang w:eastAsia="ru-RU"/>
        </w:rPr>
      </w:r>
      <w:r>
        <w:rPr>
          <w:sz w:val="24"/>
          <w:szCs w:val="24"/>
          <w:lang w:eastAsia="ru-RU"/>
        </w:rPr>
      </w:r>
    </w:p>
    <w:p>
      <w:pPr>
        <w:ind w:left="142" w:firstLine="709"/>
        <w:jc w:val="both"/>
        <w:rPr>
          <w:sz w:val="24"/>
          <w:szCs w:val="24"/>
          <w:lang w:eastAsia="ru-RU"/>
        </w:rPr>
      </w:pPr>
      <w:r>
        <w:rPr>
          <w:sz w:val="24"/>
          <w:szCs w:val="24"/>
          <w:lang w:eastAsia="ru-RU"/>
        </w:rPr>
        <w:t xml:space="preserve">Исходными данными для расчета вероятности безотказной работы [Р] являются длины и диаметры участков, год их ввода в эксплуатацию, продолжительность отопительного периода.</w:t>
      </w:r>
      <w:r>
        <w:rPr>
          <w:sz w:val="24"/>
          <w:szCs w:val="24"/>
          <w:lang w:eastAsia="ru-RU"/>
        </w:rPr>
      </w:r>
      <w:r>
        <w:rPr>
          <w:sz w:val="24"/>
          <w:szCs w:val="24"/>
          <w:lang w:eastAsia="ru-RU"/>
        </w:rPr>
      </w:r>
    </w:p>
    <w:p>
      <w:pPr>
        <w:ind w:left="142" w:firstLine="709"/>
        <w:jc w:val="both"/>
        <w:rPr>
          <w:sz w:val="24"/>
          <w:szCs w:val="24"/>
          <w:lang w:eastAsia="ru-RU"/>
        </w:rPr>
      </w:pPr>
      <w:r>
        <w:rPr>
          <w:sz w:val="24"/>
          <w:szCs w:val="24"/>
          <w:lang w:eastAsia="ru-RU"/>
        </w:rPr>
        <w:t xml:space="preserve">Вероятность безотказной работы участка тепловой сети относительно абонента определяется по формуле:</w:t>
      </w:r>
      <w:r>
        <w:rPr>
          <w:sz w:val="24"/>
          <w:szCs w:val="24"/>
          <w:lang w:eastAsia="ru-RU"/>
        </w:rPr>
      </w:r>
      <w:r>
        <w:rPr>
          <w:sz w:val="24"/>
          <w:szCs w:val="24"/>
          <w:lang w:eastAsia="ru-RU"/>
        </w:rPr>
      </w:r>
    </w:p>
    <w:p>
      <w:pPr>
        <w:ind w:left="142" w:firstLine="709"/>
        <w:jc w:val="both"/>
        <w:rPr>
          <w:sz w:val="24"/>
          <w:szCs w:val="24"/>
          <w:lang w:eastAsia="ru-RU"/>
        </w:rPr>
      </w:pPr>
      <w:r>
        <w:rPr>
          <w:sz w:val="24"/>
          <w:szCs w:val="24"/>
          <w:lang w:eastAsia="ru-RU"/>
        </w:rPr>
      </w:r>
      <w:r>
        <w:rPr>
          <w:sz w:val="24"/>
          <w:szCs w:val="24"/>
          <w:lang w:eastAsia="ru-RU"/>
        </w:rPr>
      </w:r>
      <w:r>
        <w:rPr>
          <w:sz w:val="24"/>
          <w:szCs w:val="24"/>
          <w:lang w:eastAsia="ru-RU"/>
        </w:rPr>
      </w:r>
    </w:p>
    <w:p>
      <w:pPr>
        <w:ind w:left="142" w:firstLine="709"/>
        <w:jc w:val="both"/>
        <w:spacing w:line="360" w:lineRule="auto"/>
        <w:widowControl/>
        <w:tabs>
          <w:tab w:val="left" w:pos="0" w:leader="none"/>
        </w:tabs>
        <w:rPr>
          <w:rFonts w:eastAsia="Calibri"/>
          <w:sz w:val="24"/>
          <w:szCs w:val="24"/>
          <w:lang w:eastAsia="ru-RU"/>
        </w:rPr>
      </w:pPr>
      <w:r>
        <w:rPr>
          <w:rFonts w:eastAsia="Calibri"/>
          <w:position w:val="-10"/>
          <w:sz w:val="24"/>
          <w:szCs w:val="24"/>
          <w:lang w:eastAsia="ru-RU"/>
        </w:rPr>
        <mc:AlternateContent>
          <mc:Choice Requires="wpg">
            <w:drawing>
              <wp:inline xmlns:wp="http://schemas.openxmlformats.org/drawingml/2006/wordprocessingDrawing" distT="0" distB="0" distL="0" distR="0">
                <wp:extent cx="603250" cy="243205"/>
                <wp:effectExtent l="0" t="0" r="0" b="0"/>
                <wp:docPr id="11" name="_x0000_i156"/>
                <wp:cNvGraphicFramePr/>
                <a:graphic xmlns:a="http://schemas.openxmlformats.org/drawingml/2006/main">
                  <a:graphicData uri="http://schemas.openxmlformats.org/drawingml/2006/picture">
                    <pic:pic xmlns:pic="http://schemas.openxmlformats.org/drawingml/2006/picture">
                      <pic:nvPicPr>
                        <pic:cNvPr id="0" name=""/>
                        <pic:cNvPicPr/>
                        <pic:nvPr/>
                      </pic:nvPicPr>
                      <pic:blipFill>
                        <a:blip r:embed="rId34">
                          <a:extLst>
                            <a:ext uri="{96DAC541-7B7A-43D3-8B79-37D633B846F1}">
                              <asvg:svgBlip xmlns:asvg="http://schemas.microsoft.com/office/drawing/2016/SVG/main" r:embed="rId35"/>
                            </a:ext>
                          </a:extLst>
                        </a:blip>
                        <a:stretch/>
                      </pic:blipFill>
                      <pic:spPr bwMode="auto">
                        <a:xfrm>
                          <a:off x="0" y="0"/>
                          <a:ext cx="603250" cy="243204"/>
                        </a:xfrm>
                        <a:prstGeom prst="rect">
                          <a:avLst/>
                        </a:prstGeom>
                        <a:noFill/>
                        <a:ln>
                          <a:noFil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56" o:spid="_x0000_s156" type="#_x0000_t75" style="width:47.50pt;height:19.15pt;mso-wrap-distance-left:0.00pt;mso-wrap-distance-top:0.00pt;mso-wrap-distance-right:0.00pt;mso-wrap-distance-bottom:0.00pt;" stroked="f">
                <v:path textboxrect="0,0,0,0"/>
                <v:imagedata r:id="rId34" o:title=""/>
              </v:shape>
            </w:pict>
          </mc:Fallback>
        </mc:AlternateContent>
      </w:r>
      <w:r>
        <w:rPr>
          <w:rFonts w:eastAsia="Calibri"/>
          <w:position w:val="-8"/>
          <w:sz w:val="24"/>
          <w:szCs w:val="24"/>
          <w:lang w:eastAsia="ru-RU"/>
        </w:rPr>
        <w:t xml:space="preserve"> </w:t>
      </w:r>
      <w:r>
        <w:rPr>
          <w:rFonts w:eastAsia="Calibri"/>
          <w:sz w:val="24"/>
          <w:szCs w:val="24"/>
          <w:lang w:eastAsia="ru-RU"/>
        </w:rPr>
        <w:t xml:space="preserve">где:</w:t>
      </w:r>
      <w:r>
        <w:rPr>
          <w:rFonts w:eastAsia="Calibri"/>
          <w:sz w:val="24"/>
          <w:szCs w:val="24"/>
          <w:lang w:eastAsia="ru-RU"/>
        </w:rPr>
      </w:r>
      <w:r>
        <w:rPr>
          <w:rFonts w:eastAsia="Calibri"/>
          <w:sz w:val="24"/>
          <w:szCs w:val="24"/>
          <w:lang w:eastAsia="ru-RU"/>
        </w:rPr>
      </w:r>
    </w:p>
    <w:p>
      <w:pPr>
        <w:ind w:left="142" w:firstLine="709"/>
        <w:jc w:val="both"/>
        <w:spacing w:line="360" w:lineRule="auto"/>
        <w:widowControl/>
        <w:tabs>
          <w:tab w:val="left" w:pos="0" w:leader="none"/>
        </w:tabs>
        <w:rPr>
          <w:rFonts w:eastAsia="Calibri"/>
          <w:position w:val="-16"/>
          <w:sz w:val="24"/>
          <w:szCs w:val="24"/>
          <w:lang w:eastAsia="ru-RU"/>
        </w:rPr>
      </w:pPr>
      <w:r>
        <w:rPr>
          <w:rFonts w:eastAsia="Calibri"/>
          <w:position w:val="-16"/>
          <w:sz w:val="24"/>
          <w:szCs w:val="24"/>
          <w:lang w:eastAsia="ru-RU"/>
        </w:rPr>
      </w:r>
      <w:r>
        <w:rPr>
          <w:rFonts w:eastAsia="Calibri"/>
          <w:position w:val="-16"/>
          <w:sz w:val="24"/>
          <w:szCs w:val="24"/>
          <w:lang w:eastAsia="ru-RU"/>
        </w:rPr>
      </w:r>
      <w:r>
        <w:rPr>
          <w:rFonts w:eastAsia="Calibri"/>
          <w:position w:val="-16"/>
          <w:sz w:val="24"/>
          <w:szCs w:val="24"/>
          <w:lang w:eastAsia="ru-RU"/>
        </w:rPr>
      </w:r>
    </w:p>
    <w:p>
      <w:pPr>
        <w:ind w:left="142" w:firstLine="709"/>
        <w:jc w:val="both"/>
        <w:rPr>
          <w:sz w:val="24"/>
          <w:szCs w:val="24"/>
          <w:lang w:eastAsia="ru-RU"/>
        </w:rPr>
      </w:pPr>
      <w:r>
        <w:rPr>
          <w:sz w:val="24"/>
          <w:szCs w:val="24"/>
          <w:lang w:val="en-US" w:eastAsia="ru-RU"/>
        </w:rPr>
        <w:t xml:space="preserve">ω</w:t>
      </w:r>
      <w:r>
        <w:rPr>
          <w:sz w:val="24"/>
          <w:szCs w:val="24"/>
          <w:vertAlign w:val="subscript"/>
          <w:lang w:val="en-US" w:eastAsia="ru-RU"/>
        </w:rPr>
        <w:t xml:space="preserve">p</w:t>
      </w:r>
      <w:r>
        <w:rPr>
          <w:sz w:val="24"/>
          <w:szCs w:val="24"/>
          <w:lang w:eastAsia="ru-RU"/>
        </w:rPr>
        <w:t xml:space="preserve"> – поток отказов участка тепловой сети относительно абонента, используемый для </w:t>
      </w:r>
      <w:r>
        <w:rPr>
          <w:sz w:val="24"/>
          <w:szCs w:val="24"/>
          <w:lang w:eastAsia="ru-RU"/>
        </w:rPr>
        <w:t xml:space="preserve">вычисления вероятности безотказной работы.</w:t>
      </w:r>
      <w:r>
        <w:rPr>
          <w:sz w:val="24"/>
          <w:szCs w:val="24"/>
          <w:lang w:eastAsia="ru-RU"/>
        </w:rPr>
      </w:r>
      <w:r>
        <w:rPr>
          <w:sz w:val="24"/>
          <w:szCs w:val="24"/>
          <w:lang w:eastAsia="ru-RU"/>
        </w:rPr>
      </w:r>
    </w:p>
    <w:p>
      <w:pPr>
        <w:ind w:left="142" w:firstLine="709"/>
        <w:jc w:val="both"/>
        <w:rPr>
          <w:sz w:val="24"/>
          <w:szCs w:val="24"/>
          <w:lang w:eastAsia="ru-RU"/>
        </w:rPr>
      </w:pPr>
      <w:r>
        <w:rPr>
          <w:sz w:val="24"/>
          <w:szCs w:val="24"/>
          <w:lang w:eastAsia="ru-RU"/>
        </w:rPr>
      </w:r>
      <w:r>
        <w:rPr>
          <w:sz w:val="24"/>
          <w:szCs w:val="24"/>
          <w:lang w:eastAsia="ru-RU"/>
        </w:rPr>
      </w:r>
      <w:r>
        <w:rPr>
          <w:sz w:val="24"/>
          <w:szCs w:val="24"/>
          <w:lang w:eastAsia="ru-RU"/>
        </w:rPr>
      </w:r>
    </w:p>
    <w:p>
      <w:pPr>
        <w:ind w:left="142" w:firstLine="709"/>
        <w:jc w:val="both"/>
        <w:spacing w:line="360" w:lineRule="auto"/>
        <w:widowControl/>
        <w:tabs>
          <w:tab w:val="left" w:pos="0" w:leader="none"/>
        </w:tabs>
        <w:rPr>
          <w:rFonts w:eastAsia="Calibri"/>
          <w:sz w:val="24"/>
          <w:szCs w:val="24"/>
          <w:lang w:eastAsia="ru-RU"/>
        </w:rPr>
      </w:pPr>
      <w:r>
        <w:rPr>
          <w:rFonts w:eastAsia="Calibri"/>
          <w:position w:val="-30"/>
          <w:sz w:val="24"/>
          <w:szCs w:val="24"/>
          <w:lang w:eastAsia="ru-RU"/>
        </w:rPr>
        <mc:AlternateContent>
          <mc:Choice Requires="wpg">
            <w:drawing>
              <wp:inline xmlns:wp="http://schemas.openxmlformats.org/drawingml/2006/wordprocessingDrawing" distT="0" distB="0" distL="0" distR="0">
                <wp:extent cx="855980" cy="447675"/>
                <wp:effectExtent l="0" t="0" r="0" b="0"/>
                <wp:docPr id="12" name="_x0000_i157"/>
                <wp:cNvGraphicFramePr/>
                <a:graphic xmlns:a="http://schemas.openxmlformats.org/drawingml/2006/main">
                  <a:graphicData uri="http://schemas.openxmlformats.org/drawingml/2006/picture">
                    <pic:pic xmlns:pic="http://schemas.openxmlformats.org/drawingml/2006/picture">
                      <pic:nvPicPr>
                        <pic:cNvPr id="0" name=""/>
                        <pic:cNvPicPr/>
                        <pic:nvPr/>
                      </pic:nvPicPr>
                      <pic:blipFill>
                        <a:blip r:embed="rId36">
                          <a:extLst>
                            <a:ext uri="{96DAC541-7B7A-43D3-8B79-37D633B846F1}">
                              <asvg:svgBlip xmlns:asvg="http://schemas.microsoft.com/office/drawing/2016/SVG/main" r:embed="rId37"/>
                            </a:ext>
                          </a:extLst>
                        </a:blip>
                        <a:stretch/>
                      </pic:blipFill>
                      <pic:spPr bwMode="auto">
                        <a:xfrm>
                          <a:off x="0" y="0"/>
                          <a:ext cx="855980" cy="447675"/>
                        </a:xfrm>
                        <a:prstGeom prst="rect">
                          <a:avLst/>
                        </a:prstGeom>
                        <a:noFill/>
                        <a:ln>
                          <a:noFil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57" o:spid="_x0000_s157" type="#_x0000_t75" style="width:67.40pt;height:35.25pt;mso-wrap-distance-left:0.00pt;mso-wrap-distance-top:0.00pt;mso-wrap-distance-right:0.00pt;mso-wrap-distance-bottom:0.00pt;" stroked="f">
                <v:path textboxrect="0,0,0,0"/>
                <v:imagedata r:id="rId36" o:title=""/>
              </v:shape>
            </w:pict>
          </mc:Fallback>
        </mc:AlternateContent>
      </w:r>
      <w:r>
        <w:rPr>
          <w:rFonts w:eastAsia="Calibri"/>
          <w:sz w:val="24"/>
          <w:szCs w:val="24"/>
          <w:lang w:eastAsia="ru-RU"/>
        </w:rPr>
        <w:t xml:space="preserve"> где:</w:t>
      </w:r>
      <w:r>
        <w:rPr>
          <w:rFonts w:eastAsia="Calibri"/>
          <w:sz w:val="24"/>
          <w:szCs w:val="24"/>
          <w:lang w:eastAsia="ru-RU"/>
        </w:rPr>
      </w:r>
      <w:r>
        <w:rPr>
          <w:rFonts w:eastAsia="Calibri"/>
          <w:sz w:val="24"/>
          <w:szCs w:val="24"/>
          <w:lang w:eastAsia="ru-RU"/>
        </w:rPr>
      </w:r>
    </w:p>
    <w:p>
      <w:pPr>
        <w:ind w:left="142" w:firstLine="709"/>
        <w:jc w:val="both"/>
        <w:spacing w:line="360" w:lineRule="auto"/>
        <w:widowControl/>
        <w:tabs>
          <w:tab w:val="left" w:pos="0" w:leader="none"/>
        </w:tabs>
        <w:rPr>
          <w:rFonts w:eastAsia="Calibri"/>
          <w:sz w:val="24"/>
          <w:szCs w:val="24"/>
          <w:lang w:eastAsia="ru-RU"/>
        </w:rPr>
      </w:pPr>
      <w:r>
        <w:rPr>
          <w:rFonts w:eastAsia="Calibri"/>
          <w:sz w:val="24"/>
          <w:szCs w:val="24"/>
          <w:lang w:eastAsia="ru-RU"/>
        </w:rPr>
      </w:r>
      <w:r>
        <w:rPr>
          <w:rFonts w:eastAsia="Calibri"/>
          <w:sz w:val="24"/>
          <w:szCs w:val="24"/>
          <w:lang w:eastAsia="ru-RU"/>
        </w:rPr>
      </w:r>
      <w:r>
        <w:rPr>
          <w:rFonts w:eastAsia="Calibri"/>
          <w:sz w:val="24"/>
          <w:szCs w:val="24"/>
          <w:lang w:eastAsia="ru-RU"/>
        </w:rPr>
      </w:r>
    </w:p>
    <w:p>
      <w:pPr>
        <w:ind w:left="142" w:firstLine="709"/>
        <w:jc w:val="both"/>
        <w:rPr>
          <w:sz w:val="24"/>
          <w:szCs w:val="24"/>
          <w:lang w:eastAsia="ru-RU"/>
        </w:rPr>
      </w:pPr>
      <w:r>
        <w:rPr>
          <w:sz w:val="24"/>
          <w:szCs w:val="24"/>
          <w:lang w:val="en-US" w:eastAsia="ru-RU"/>
        </w:rPr>
        <w:t xml:space="preserve">ω</w:t>
      </w:r>
      <w:r>
        <w:rPr>
          <w:sz w:val="24"/>
          <w:szCs w:val="24"/>
          <w:vertAlign w:val="subscript"/>
          <w:lang w:val="en-US" w:eastAsia="ru-RU"/>
        </w:rPr>
        <w:t xml:space="preserve">p</w:t>
      </w:r>
      <w:r>
        <w:rPr>
          <w:sz w:val="24"/>
          <w:szCs w:val="24"/>
          <w:vertAlign w:val="subscript"/>
          <w:lang w:eastAsia="ru-RU"/>
        </w:rPr>
        <w:t xml:space="preserve">,</w:t>
      </w:r>
      <w:r>
        <w:rPr>
          <w:sz w:val="24"/>
          <w:szCs w:val="24"/>
          <w:vertAlign w:val="subscript"/>
          <w:lang w:val="en-US" w:eastAsia="ru-RU"/>
        </w:rPr>
        <w:t xml:space="preserve">j</w:t>
      </w:r>
      <w:r>
        <w:rPr>
          <w:sz w:val="24"/>
          <w:szCs w:val="24"/>
          <w:lang w:eastAsia="ru-RU"/>
        </w:rPr>
        <w:t xml:space="preserve"> – поток отказов </w:t>
      </w:r>
      <w:r>
        <w:rPr>
          <w:sz w:val="24"/>
          <w:szCs w:val="24"/>
          <w:lang w:val="en-US" w:eastAsia="ru-RU"/>
        </w:rPr>
        <w:t xml:space="preserve">j</w:t>
      </w:r>
      <w:r>
        <w:rPr>
          <w:sz w:val="24"/>
          <w:szCs w:val="24"/>
          <w:lang w:eastAsia="ru-RU"/>
        </w:rPr>
        <w:t xml:space="preserve">-го участка, используемый для вычисления вероятности безотказной работы.</w:t>
      </w:r>
      <w:r>
        <w:rPr>
          <w:sz w:val="24"/>
          <w:szCs w:val="24"/>
          <w:lang w:eastAsia="ru-RU"/>
        </w:rPr>
      </w:r>
      <w:r>
        <w:rPr>
          <w:sz w:val="24"/>
          <w:szCs w:val="24"/>
          <w:lang w:eastAsia="ru-RU"/>
        </w:rPr>
      </w:r>
    </w:p>
    <w:p>
      <w:pPr>
        <w:ind w:left="142" w:firstLine="709"/>
        <w:jc w:val="both"/>
        <w:rPr>
          <w:sz w:val="24"/>
          <w:szCs w:val="24"/>
          <w:lang w:eastAsia="ru-RU"/>
        </w:rPr>
      </w:pPr>
      <w:r>
        <w:rPr>
          <w:sz w:val="24"/>
          <w:szCs w:val="24"/>
          <w:lang w:eastAsia="ru-RU"/>
        </w:rPr>
      </w:r>
      <w:r>
        <w:rPr>
          <w:sz w:val="24"/>
          <w:szCs w:val="24"/>
          <w:lang w:eastAsia="ru-RU"/>
        </w:rPr>
      </w:r>
      <w:r>
        <w:rPr>
          <w:sz w:val="24"/>
          <w:szCs w:val="24"/>
          <w:lang w:eastAsia="ru-RU"/>
        </w:rPr>
      </w:r>
    </w:p>
    <w:p>
      <w:pPr>
        <w:ind w:left="142" w:firstLine="709"/>
        <w:jc w:val="both"/>
        <w:spacing w:line="360" w:lineRule="auto"/>
        <w:widowControl/>
        <w:tabs>
          <w:tab w:val="left" w:pos="0" w:leader="none"/>
        </w:tabs>
        <w:rPr>
          <w:rFonts w:eastAsia="Calibri"/>
          <w:sz w:val="24"/>
          <w:szCs w:val="24"/>
          <w:lang w:eastAsia="ru-RU"/>
        </w:rPr>
      </w:pPr>
      <w:r>
        <w:rPr>
          <w:rFonts w:eastAsia="Calibri"/>
          <w:position w:val="-14"/>
          <w:sz w:val="24"/>
          <w:szCs w:val="24"/>
          <w:lang w:eastAsia="ru-RU"/>
        </w:rPr>
        <mc:AlternateContent>
          <mc:Choice Requires="wpg">
            <w:drawing>
              <wp:inline xmlns:wp="http://schemas.openxmlformats.org/drawingml/2006/wordprocessingDrawing" distT="0" distB="0" distL="0" distR="0">
                <wp:extent cx="1313180" cy="252730"/>
                <wp:effectExtent l="0" t="0" r="0" b="0"/>
                <wp:docPr id="13" name="_x0000_i158"/>
                <wp:cNvGraphicFramePr/>
                <a:graphic xmlns:a="http://schemas.openxmlformats.org/drawingml/2006/main">
                  <a:graphicData uri="http://schemas.openxmlformats.org/drawingml/2006/picture">
                    <pic:pic xmlns:pic="http://schemas.openxmlformats.org/drawingml/2006/picture">
                      <pic:nvPicPr>
                        <pic:cNvPr id="0" name=""/>
                        <pic:cNvPicPr/>
                        <pic:nvPr/>
                      </pic:nvPicPr>
                      <pic:blipFill>
                        <a:blip r:embed="rId38">
                          <a:extLst>
                            <a:ext uri="{96DAC541-7B7A-43D3-8B79-37D633B846F1}">
                              <asvg:svgBlip xmlns:asvg="http://schemas.microsoft.com/office/drawing/2016/SVG/main" r:embed="rId39"/>
                            </a:ext>
                          </a:extLst>
                        </a:blip>
                        <a:stretch/>
                      </pic:blipFill>
                      <pic:spPr bwMode="auto">
                        <a:xfrm>
                          <a:off x="0" y="0"/>
                          <a:ext cx="1313180" cy="252730"/>
                        </a:xfrm>
                        <a:prstGeom prst="rect">
                          <a:avLst/>
                        </a:prstGeom>
                        <a:noFill/>
                        <a:ln>
                          <a:noFil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58" o:spid="_x0000_s158" type="#_x0000_t75" style="width:103.40pt;height:19.90pt;mso-wrap-distance-left:0.00pt;mso-wrap-distance-top:0.00pt;mso-wrap-distance-right:0.00pt;mso-wrap-distance-bottom:0.00pt;" stroked="f">
                <v:path textboxrect="0,0,0,0"/>
                <v:imagedata r:id="rId38" o:title=""/>
              </v:shape>
            </w:pict>
          </mc:Fallback>
        </mc:AlternateContent>
      </w:r>
      <w:r>
        <w:rPr>
          <w:rFonts w:eastAsia="Calibri"/>
          <w:position w:val="-18"/>
          <w:sz w:val="24"/>
          <w:szCs w:val="24"/>
          <w:lang w:eastAsia="ru-RU"/>
        </w:rPr>
        <w:t xml:space="preserve"> </w:t>
      </w:r>
      <w:r>
        <w:rPr>
          <w:rFonts w:eastAsia="Calibri"/>
          <w:sz w:val="24"/>
          <w:szCs w:val="24"/>
          <w:lang w:eastAsia="ru-RU"/>
        </w:rPr>
        <w:t xml:space="preserve">где:</w:t>
      </w:r>
      <w:r>
        <w:rPr>
          <w:rFonts w:eastAsia="Calibri"/>
          <w:sz w:val="24"/>
          <w:szCs w:val="24"/>
          <w:lang w:eastAsia="ru-RU"/>
        </w:rPr>
      </w:r>
      <w:r>
        <w:rPr>
          <w:rFonts w:eastAsia="Calibri"/>
          <w:sz w:val="24"/>
          <w:szCs w:val="24"/>
          <w:lang w:eastAsia="ru-RU"/>
        </w:rPr>
      </w:r>
    </w:p>
    <w:p>
      <w:pPr>
        <w:ind w:left="142" w:firstLine="709"/>
        <w:jc w:val="both"/>
        <w:spacing w:line="360" w:lineRule="auto"/>
        <w:widowControl/>
        <w:tabs>
          <w:tab w:val="left" w:pos="0" w:leader="none"/>
        </w:tabs>
        <w:rPr>
          <w:rFonts w:eastAsia="Calibri"/>
          <w:position w:val="-18"/>
          <w:sz w:val="24"/>
          <w:szCs w:val="24"/>
          <w:lang w:eastAsia="ru-RU"/>
        </w:rPr>
      </w:pPr>
      <w:r>
        <w:rPr>
          <w:rFonts w:eastAsia="Calibri"/>
          <w:position w:val="-18"/>
          <w:sz w:val="24"/>
          <w:szCs w:val="24"/>
          <w:lang w:eastAsia="ru-RU"/>
        </w:rPr>
      </w:r>
      <w:r>
        <w:rPr>
          <w:rFonts w:eastAsia="Calibri"/>
          <w:position w:val="-18"/>
          <w:sz w:val="24"/>
          <w:szCs w:val="24"/>
          <w:lang w:eastAsia="ru-RU"/>
        </w:rPr>
      </w:r>
      <w:r>
        <w:rPr>
          <w:rFonts w:eastAsia="Calibri"/>
          <w:position w:val="-18"/>
          <w:sz w:val="24"/>
          <w:szCs w:val="24"/>
          <w:lang w:eastAsia="ru-RU"/>
        </w:rPr>
      </w:r>
    </w:p>
    <w:p>
      <w:pPr>
        <w:ind w:left="142" w:firstLine="709"/>
        <w:jc w:val="both"/>
        <w:rPr>
          <w:sz w:val="24"/>
          <w:szCs w:val="24"/>
          <w:lang w:eastAsia="ru-RU"/>
        </w:rPr>
      </w:pPr>
      <w:r>
        <w:rPr>
          <w:position w:val="-14"/>
          <w:sz w:val="24"/>
          <w:szCs w:val="24"/>
          <w:lang w:eastAsia="ru-RU"/>
        </w:rPr>
        <mc:AlternateContent>
          <mc:Choice Requires="wpg">
            <w:drawing>
              <wp:inline xmlns:wp="http://schemas.openxmlformats.org/drawingml/2006/wordprocessingDrawing" distT="0" distB="0" distL="0" distR="0">
                <wp:extent cx="398780" cy="252730"/>
                <wp:effectExtent l="0" t="0" r="0" b="0"/>
                <wp:docPr id="14" name="_x0000_i159"/>
                <wp:cNvGraphicFramePr/>
                <a:graphic xmlns:a="http://schemas.openxmlformats.org/drawingml/2006/main">
                  <a:graphicData uri="http://schemas.openxmlformats.org/drawingml/2006/picture">
                    <pic:pic xmlns:pic="http://schemas.openxmlformats.org/drawingml/2006/picture">
                      <pic:nvPicPr>
                        <pic:cNvPr id="0" name=""/>
                        <pic:cNvPicPr/>
                        <pic:nvPr/>
                      </pic:nvPicPr>
                      <pic:blipFill>
                        <a:blip r:embed="rId40">
                          <a:extLst>
                            <a:ext uri="{96DAC541-7B7A-43D3-8B79-37D633B846F1}">
                              <asvg:svgBlip xmlns:asvg="http://schemas.microsoft.com/office/drawing/2016/SVG/main" r:embed="rId41"/>
                            </a:ext>
                          </a:extLst>
                        </a:blip>
                        <a:stretch/>
                      </pic:blipFill>
                      <pic:spPr bwMode="auto">
                        <a:xfrm>
                          <a:off x="0" y="0"/>
                          <a:ext cx="398780" cy="252730"/>
                        </a:xfrm>
                        <a:prstGeom prst="rect">
                          <a:avLst/>
                        </a:prstGeom>
                        <a:noFill/>
                        <a:ln>
                          <a:noFil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59" o:spid="_x0000_s159" type="#_x0000_t75" style="width:31.40pt;height:19.90pt;mso-wrap-distance-left:0.00pt;mso-wrap-distance-top:0.00pt;mso-wrap-distance-right:0.00pt;mso-wrap-distance-bottom:0.00pt;" stroked="f">
                <v:path textboxrect="0,0,0,0"/>
                <v:imagedata r:id="rId40" o:title=""/>
              </v:shape>
            </w:pict>
          </mc:Fallback>
        </mc:AlternateContent>
      </w:r>
      <w:r>
        <w:rPr>
          <w:sz w:val="24"/>
          <w:szCs w:val="24"/>
          <w:lang w:eastAsia="ru-RU"/>
        </w:rPr>
        <w:t xml:space="preserve">– удельный поток отказов </w:t>
      </w:r>
      <w:r>
        <w:rPr>
          <w:sz w:val="24"/>
          <w:szCs w:val="24"/>
          <w:lang w:val="en-US" w:eastAsia="ru-RU"/>
        </w:rPr>
        <w:t xml:space="preserve">j</w:t>
      </w:r>
      <w:r>
        <w:rPr>
          <w:sz w:val="24"/>
          <w:szCs w:val="24"/>
          <w:lang w:eastAsia="ru-RU"/>
        </w:rPr>
        <w:t xml:space="preserve">-го участка, используемый для вычисления вероятности безотказной работы,</w:t>
      </w:r>
      <w:r>
        <w:rPr>
          <w:position w:val="-30"/>
          <w:sz w:val="24"/>
          <w:szCs w:val="24"/>
          <w:lang w:eastAsia="ru-RU"/>
        </w:rPr>
        <w:t xml:space="preserve"> </w:t>
      </w:r>
      <w:r>
        <w:rPr>
          <w:position w:val="-24"/>
          <w:sz w:val="24"/>
          <w:szCs w:val="24"/>
          <w:lang w:eastAsia="ru-RU"/>
        </w:rPr>
        <mc:AlternateContent>
          <mc:Choice Requires="wpg">
            <w:drawing>
              <wp:inline xmlns:wp="http://schemas.openxmlformats.org/drawingml/2006/wordprocessingDrawing" distT="0" distB="0" distL="0" distR="0">
                <wp:extent cx="535305" cy="379095"/>
                <wp:effectExtent l="0" t="0" r="0" b="0"/>
                <wp:docPr id="15" name="_x0000_i160"/>
                <wp:cNvGraphicFramePr/>
                <a:graphic xmlns:a="http://schemas.openxmlformats.org/drawingml/2006/main">
                  <a:graphicData uri="http://schemas.openxmlformats.org/drawingml/2006/picture">
                    <pic:pic xmlns:pic="http://schemas.openxmlformats.org/drawingml/2006/picture">
                      <pic:nvPicPr>
                        <pic:cNvPr id="0" name=""/>
                        <pic:cNvPicPr/>
                        <pic:nvPr/>
                      </pic:nvPicPr>
                      <pic:blipFill>
                        <a:blip r:embed="rId42">
                          <a:extLst>
                            <a:ext uri="{96DAC541-7B7A-43D3-8B79-37D633B846F1}">
                              <asvg:svgBlip xmlns:asvg="http://schemas.microsoft.com/office/drawing/2016/SVG/main" r:embed="rId43"/>
                            </a:ext>
                          </a:extLst>
                        </a:blip>
                        <a:stretch/>
                      </pic:blipFill>
                      <pic:spPr bwMode="auto">
                        <a:xfrm>
                          <a:off x="0" y="0"/>
                          <a:ext cx="535305" cy="379095"/>
                        </a:xfrm>
                        <a:prstGeom prst="rect">
                          <a:avLst/>
                        </a:prstGeom>
                        <a:noFill/>
                        <a:ln>
                          <a:noFil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60" o:spid="_x0000_s160" type="#_x0000_t75" style="width:42.15pt;height:29.85pt;mso-wrap-distance-left:0.00pt;mso-wrap-distance-top:0.00pt;mso-wrap-distance-right:0.00pt;mso-wrap-distance-bottom:0.00pt;" stroked="f">
                <v:path textboxrect="0,0,0,0"/>
                <v:imagedata r:id="rId42" o:title=""/>
              </v:shape>
            </w:pict>
          </mc:Fallback>
        </mc:AlternateContent>
      </w:r>
      <w:r>
        <w:rPr>
          <w:sz w:val="24"/>
          <w:szCs w:val="24"/>
          <w:lang w:eastAsia="ru-RU"/>
        </w:rPr>
        <w:t xml:space="preserve">;</w:t>
      </w:r>
      <w:r>
        <w:rPr>
          <w:sz w:val="24"/>
          <w:szCs w:val="24"/>
          <w:lang w:eastAsia="ru-RU"/>
        </w:rPr>
      </w:r>
      <w:r>
        <w:rPr>
          <w:sz w:val="24"/>
          <w:szCs w:val="24"/>
          <w:lang w:eastAsia="ru-RU"/>
        </w:rPr>
      </w:r>
    </w:p>
    <w:p>
      <w:pPr>
        <w:ind w:left="142" w:firstLine="709"/>
        <w:jc w:val="both"/>
        <w:rPr>
          <w:sz w:val="24"/>
          <w:szCs w:val="24"/>
          <w:lang w:eastAsia="ru-RU"/>
        </w:rPr>
      </w:pPr>
      <w:r>
        <w:rPr>
          <w:sz w:val="24"/>
          <w:szCs w:val="24"/>
          <w:lang w:val="en-US" w:eastAsia="ru-RU"/>
        </w:rPr>
        <w:t xml:space="preserve">l</w:t>
      </w:r>
      <w:r>
        <w:rPr>
          <w:sz w:val="24"/>
          <w:szCs w:val="24"/>
          <w:vertAlign w:val="subscript"/>
          <w:lang w:val="en-US" w:eastAsia="ru-RU"/>
        </w:rPr>
        <w:t xml:space="preserve">j</w:t>
      </w:r>
      <w:r>
        <w:rPr>
          <w:sz w:val="24"/>
          <w:szCs w:val="24"/>
          <w:lang w:eastAsia="ru-RU"/>
        </w:rPr>
        <w:t xml:space="preserve"> – длина </w:t>
      </w:r>
      <w:r>
        <w:rPr>
          <w:sz w:val="24"/>
          <w:szCs w:val="24"/>
          <w:lang w:val="en-US" w:eastAsia="ru-RU"/>
        </w:rPr>
        <w:t xml:space="preserve">j</w:t>
      </w:r>
      <w:r>
        <w:rPr>
          <w:sz w:val="24"/>
          <w:szCs w:val="24"/>
          <w:lang w:eastAsia="ru-RU"/>
        </w:rPr>
        <w:t xml:space="preserve">-го участка, км;</w:t>
      </w:r>
      <w:r>
        <w:rPr>
          <w:sz w:val="24"/>
          <w:szCs w:val="24"/>
          <w:lang w:eastAsia="ru-RU"/>
        </w:rPr>
      </w:r>
      <w:r>
        <w:rPr>
          <w:sz w:val="24"/>
          <w:szCs w:val="24"/>
          <w:lang w:eastAsia="ru-RU"/>
        </w:rPr>
      </w:r>
    </w:p>
    <w:p>
      <w:pPr>
        <w:ind w:left="142" w:firstLine="709"/>
        <w:jc w:val="both"/>
        <w:rPr>
          <w:sz w:val="24"/>
          <w:szCs w:val="24"/>
          <w:lang w:eastAsia="ru-RU"/>
        </w:rPr>
      </w:pPr>
      <w:r>
        <w:rPr>
          <w:sz w:val="24"/>
          <w:szCs w:val="24"/>
          <w:lang w:eastAsia="ru-RU"/>
        </w:rPr>
        <w:t xml:space="preserve">τ</w:t>
      </w:r>
      <w:r>
        <w:rPr>
          <w:sz w:val="24"/>
          <w:szCs w:val="24"/>
          <w:vertAlign w:val="subscript"/>
          <w:lang w:eastAsia="ru-RU"/>
        </w:rPr>
        <w:t xml:space="preserve">оп</w:t>
      </w:r>
      <w:r>
        <w:rPr>
          <w:sz w:val="24"/>
          <w:szCs w:val="24"/>
          <w:lang w:eastAsia="ru-RU"/>
        </w:rPr>
        <w:t xml:space="preserve"> – продолжительность отопительного сезона, ч.</w:t>
      </w:r>
      <w:r>
        <w:rPr>
          <w:sz w:val="24"/>
          <w:szCs w:val="24"/>
          <w:lang w:eastAsia="ru-RU"/>
        </w:rPr>
      </w:r>
      <w:r>
        <w:rPr>
          <w:sz w:val="24"/>
          <w:szCs w:val="24"/>
          <w:lang w:eastAsia="ru-RU"/>
        </w:rPr>
      </w:r>
    </w:p>
    <w:p>
      <w:pPr>
        <w:ind w:left="142" w:firstLine="709"/>
        <w:jc w:val="both"/>
        <w:rPr>
          <w:sz w:val="24"/>
          <w:szCs w:val="24"/>
          <w:lang w:eastAsia="ru-RU"/>
        </w:rPr>
      </w:pPr>
      <w:r>
        <w:rPr>
          <w:sz w:val="24"/>
          <w:szCs w:val="24"/>
          <w:lang w:eastAsia="ru-RU"/>
        </w:rPr>
      </w:r>
      <w:r>
        <w:rPr>
          <w:sz w:val="24"/>
          <w:szCs w:val="24"/>
          <w:lang w:eastAsia="ru-RU"/>
        </w:rPr>
      </w:r>
      <w:r>
        <w:rPr>
          <w:sz w:val="24"/>
          <w:szCs w:val="24"/>
          <w:lang w:eastAsia="ru-RU"/>
        </w:rPr>
      </w:r>
    </w:p>
    <w:p>
      <w:pPr>
        <w:ind w:left="142" w:firstLine="709"/>
        <w:jc w:val="both"/>
        <w:spacing w:line="360" w:lineRule="auto"/>
        <w:widowControl/>
        <w:tabs>
          <w:tab w:val="left" w:pos="0" w:leader="none"/>
        </w:tabs>
        <w:rPr>
          <w:rFonts w:eastAsia="Calibri"/>
          <w:sz w:val="24"/>
          <w:szCs w:val="24"/>
          <w:lang w:eastAsia="ru-RU"/>
        </w:rPr>
      </w:pPr>
      <w:r>
        <w:rPr>
          <w:rFonts w:eastAsia="Calibri"/>
          <w:position w:val="-24"/>
          <w:sz w:val="24"/>
          <w:szCs w:val="24"/>
          <w:lang w:eastAsia="ru-RU"/>
        </w:rPr>
        <mc:AlternateContent>
          <mc:Choice Requires="wpg">
            <w:drawing>
              <wp:inline xmlns:wp="http://schemas.openxmlformats.org/drawingml/2006/wordprocessingDrawing" distT="0" distB="0" distL="0" distR="0">
                <wp:extent cx="2344420" cy="379095"/>
                <wp:effectExtent l="0" t="0" r="0" b="0"/>
                <wp:docPr id="16" name="_x0000_i161"/>
                <wp:cNvGraphicFramePr/>
                <a:graphic xmlns:a="http://schemas.openxmlformats.org/drawingml/2006/main">
                  <a:graphicData uri="http://schemas.openxmlformats.org/drawingml/2006/picture">
                    <pic:pic xmlns:pic="http://schemas.openxmlformats.org/drawingml/2006/picture">
                      <pic:nvPicPr>
                        <pic:cNvPr id="0" name=""/>
                        <pic:cNvPicPr/>
                        <pic:nvPr/>
                      </pic:nvPicPr>
                      <pic:blipFill>
                        <a:blip r:embed="rId44">
                          <a:extLst>
                            <a:ext uri="{96DAC541-7B7A-43D3-8B79-37D633B846F1}">
                              <asvg:svgBlip xmlns:asvg="http://schemas.microsoft.com/office/drawing/2016/SVG/main" r:embed="rId45"/>
                            </a:ext>
                          </a:extLst>
                        </a:blip>
                        <a:stretch/>
                      </pic:blipFill>
                      <pic:spPr bwMode="auto">
                        <a:xfrm>
                          <a:off x="0" y="0"/>
                          <a:ext cx="2344420" cy="379095"/>
                        </a:xfrm>
                        <a:prstGeom prst="rect">
                          <a:avLst/>
                        </a:prstGeom>
                        <a:noFill/>
                        <a:ln>
                          <a:noFil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61" o:spid="_x0000_s161" type="#_x0000_t75" style="width:184.60pt;height:29.85pt;mso-wrap-distance-left:0.00pt;mso-wrap-distance-top:0.00pt;mso-wrap-distance-right:0.00pt;mso-wrap-distance-bottom:0.00pt;" stroked="f">
                <v:path textboxrect="0,0,0,0"/>
                <v:imagedata r:id="rId44" o:title=""/>
              </v:shape>
            </w:pict>
          </mc:Fallback>
        </mc:AlternateContent>
      </w:r>
      <w:r>
        <w:rPr>
          <w:rFonts w:eastAsia="Calibri"/>
          <w:sz w:val="24"/>
          <w:szCs w:val="24"/>
          <w:lang w:eastAsia="ru-RU"/>
        </w:rPr>
        <w:t xml:space="preserve"> где:</w:t>
      </w:r>
      <w:r>
        <w:rPr>
          <w:rFonts w:eastAsia="Calibri"/>
          <w:sz w:val="24"/>
          <w:szCs w:val="24"/>
          <w:lang w:eastAsia="ru-RU"/>
        </w:rPr>
      </w:r>
      <w:r>
        <w:rPr>
          <w:rFonts w:eastAsia="Calibri"/>
          <w:sz w:val="24"/>
          <w:szCs w:val="24"/>
          <w:lang w:eastAsia="ru-RU"/>
        </w:rPr>
      </w:r>
    </w:p>
    <w:p>
      <w:pPr>
        <w:ind w:left="142" w:firstLine="709"/>
        <w:jc w:val="both"/>
        <w:spacing w:line="360" w:lineRule="auto"/>
        <w:widowControl/>
        <w:tabs>
          <w:tab w:val="left" w:pos="0" w:leader="none"/>
        </w:tabs>
        <w:rPr>
          <w:rFonts w:eastAsia="Calibri"/>
          <w:sz w:val="24"/>
          <w:szCs w:val="24"/>
          <w:lang w:eastAsia="ru-RU"/>
        </w:rPr>
      </w:pPr>
      <w:r>
        <w:rPr>
          <w:rFonts w:eastAsia="Calibri"/>
          <w:sz w:val="24"/>
          <w:szCs w:val="24"/>
          <w:lang w:eastAsia="ru-RU"/>
        </w:rPr>
      </w:r>
      <w:r>
        <w:rPr>
          <w:rFonts w:eastAsia="Calibri"/>
          <w:sz w:val="24"/>
          <w:szCs w:val="24"/>
          <w:lang w:eastAsia="ru-RU"/>
        </w:rPr>
      </w:r>
      <w:r>
        <w:rPr>
          <w:rFonts w:eastAsia="Calibri"/>
          <w:sz w:val="24"/>
          <w:szCs w:val="24"/>
          <w:lang w:eastAsia="ru-RU"/>
        </w:rPr>
      </w:r>
    </w:p>
    <w:p>
      <w:pPr>
        <w:ind w:left="142" w:firstLine="709"/>
        <w:jc w:val="both"/>
        <w:rPr>
          <w:sz w:val="24"/>
          <w:szCs w:val="24"/>
          <w:lang w:eastAsia="ru-RU"/>
        </w:rPr>
      </w:pPr>
      <w:r>
        <w:rPr>
          <w:sz w:val="24"/>
          <w:szCs w:val="24"/>
          <w:lang w:val="en-US" w:eastAsia="ru-RU"/>
        </w:rPr>
        <w:t xml:space="preserve">a</w:t>
      </w:r>
      <w:r>
        <w:rPr>
          <w:sz w:val="24"/>
          <w:szCs w:val="24"/>
          <w:lang w:eastAsia="ru-RU"/>
        </w:rPr>
        <w:t xml:space="preserve"> – эмпирический коэффициент. При нормативном уровне безотказности </w:t>
      </w:r>
      <w:r>
        <w:rPr>
          <w:sz w:val="24"/>
          <w:szCs w:val="24"/>
          <w:lang w:val="en-US" w:eastAsia="ru-RU"/>
        </w:rPr>
        <w:t xml:space="preserve">a</w:t>
      </w:r>
      <w:r>
        <w:rPr>
          <w:sz w:val="24"/>
          <w:szCs w:val="24"/>
          <w:lang w:eastAsia="ru-RU"/>
        </w:rPr>
        <w:t xml:space="preserve"> = 0,00003;</w:t>
      </w:r>
      <w:r>
        <w:rPr>
          <w:sz w:val="24"/>
          <w:szCs w:val="24"/>
          <w:lang w:eastAsia="ru-RU"/>
        </w:rPr>
      </w:r>
      <w:r>
        <w:rPr>
          <w:sz w:val="24"/>
          <w:szCs w:val="24"/>
          <w:lang w:eastAsia="ru-RU"/>
        </w:rPr>
      </w:r>
    </w:p>
    <w:p>
      <w:pPr>
        <w:ind w:left="142" w:firstLine="709"/>
        <w:jc w:val="both"/>
        <w:rPr>
          <w:sz w:val="24"/>
          <w:szCs w:val="24"/>
          <w:lang w:eastAsia="ru-RU"/>
        </w:rPr>
      </w:pPr>
      <w:r>
        <w:rPr>
          <w:sz w:val="24"/>
          <w:szCs w:val="24"/>
          <w:lang w:val="en-US" w:eastAsia="ru-RU"/>
        </w:rPr>
        <w:t xml:space="preserve">m</w:t>
      </w:r>
      <w:r>
        <w:rPr>
          <w:sz w:val="24"/>
          <w:szCs w:val="24"/>
          <w:vertAlign w:val="subscript"/>
          <w:lang w:val="en-US" w:eastAsia="ru-RU"/>
        </w:rPr>
        <w:t xml:space="preserve">p</w:t>
      </w:r>
      <w:r>
        <w:rPr>
          <w:sz w:val="24"/>
          <w:szCs w:val="24"/>
          <w:lang w:eastAsia="ru-RU"/>
        </w:rPr>
        <w:t xml:space="preserve"> – эмпирический коэффициент потока отказов, полученный на основе обработки статистических данных. Принимается равным 0,5 при расчете вероятности безотказной работы;</w:t>
      </w:r>
      <w:r>
        <w:rPr>
          <w:sz w:val="24"/>
          <w:szCs w:val="24"/>
          <w:lang w:eastAsia="ru-RU"/>
        </w:rPr>
      </w:r>
      <w:r>
        <w:rPr>
          <w:sz w:val="24"/>
          <w:szCs w:val="24"/>
          <w:lang w:eastAsia="ru-RU"/>
        </w:rPr>
      </w:r>
    </w:p>
    <w:p>
      <w:pPr>
        <w:ind w:left="142" w:firstLine="709"/>
        <w:jc w:val="both"/>
        <w:rPr>
          <w:sz w:val="24"/>
          <w:szCs w:val="24"/>
          <w:lang w:eastAsia="ru-RU"/>
        </w:rPr>
      </w:pPr>
      <w:r>
        <w:rPr>
          <w:sz w:val="24"/>
          <w:szCs w:val="24"/>
          <w:lang w:val="en-US" w:eastAsia="ru-RU"/>
        </w:rPr>
        <w:t xml:space="preserve">K</w:t>
      </w:r>
      <w:r>
        <w:rPr>
          <w:sz w:val="24"/>
          <w:szCs w:val="24"/>
          <w:vertAlign w:val="subscript"/>
          <w:lang w:val="en-US" w:eastAsia="ru-RU"/>
        </w:rPr>
        <w:t xml:space="preserve">c</w:t>
      </w:r>
      <w:r>
        <w:rPr>
          <w:sz w:val="24"/>
          <w:szCs w:val="24"/>
          <w:vertAlign w:val="subscript"/>
          <w:lang w:eastAsia="ru-RU"/>
        </w:rPr>
        <w:t xml:space="preserve">,</w:t>
      </w:r>
      <w:r>
        <w:rPr>
          <w:sz w:val="24"/>
          <w:szCs w:val="24"/>
          <w:vertAlign w:val="subscript"/>
          <w:lang w:val="en-US" w:eastAsia="ru-RU"/>
        </w:rPr>
        <w:t xml:space="preserve">j</w:t>
      </w:r>
      <w:r>
        <w:rPr>
          <w:sz w:val="24"/>
          <w:szCs w:val="24"/>
          <w:lang w:eastAsia="ru-RU"/>
        </w:rPr>
        <w:t xml:space="preserve"> – коэффициент, учитывающий старение (утрату ресурса) </w:t>
      </w:r>
      <w:r>
        <w:rPr>
          <w:sz w:val="24"/>
          <w:szCs w:val="24"/>
          <w:lang w:val="en-US" w:eastAsia="ru-RU"/>
        </w:rPr>
        <w:t xml:space="preserve">j</w:t>
      </w:r>
      <w:r>
        <w:rPr>
          <w:sz w:val="24"/>
          <w:szCs w:val="24"/>
          <w:lang w:eastAsia="ru-RU"/>
        </w:rPr>
        <w:t xml:space="preserve">-го участка.</w:t>
      </w:r>
      <w:r>
        <w:rPr>
          <w:sz w:val="24"/>
          <w:szCs w:val="24"/>
          <w:lang w:eastAsia="ru-RU"/>
        </w:rPr>
      </w:r>
      <w:r>
        <w:rPr>
          <w:sz w:val="24"/>
          <w:szCs w:val="24"/>
          <w:lang w:eastAsia="ru-RU"/>
        </w:rPr>
      </w:r>
    </w:p>
    <w:p>
      <w:pPr>
        <w:ind w:left="142" w:firstLine="709"/>
        <w:jc w:val="both"/>
        <w:rPr>
          <w:sz w:val="24"/>
          <w:szCs w:val="24"/>
          <w:lang w:eastAsia="ru-RU"/>
        </w:rPr>
      </w:pPr>
      <w:r>
        <w:rPr>
          <w:sz w:val="24"/>
          <w:szCs w:val="24"/>
          <w:lang w:val="en-US" w:eastAsia="ru-RU"/>
        </w:rPr>
        <w:t xml:space="preserve">d</w:t>
      </w:r>
      <w:r>
        <w:rPr>
          <w:sz w:val="24"/>
          <w:szCs w:val="24"/>
          <w:vertAlign w:val="subscript"/>
          <w:lang w:val="en-US" w:eastAsia="ru-RU"/>
        </w:rPr>
        <w:t xml:space="preserve">j</w:t>
      </w:r>
      <w:r>
        <w:rPr>
          <w:sz w:val="24"/>
          <w:szCs w:val="24"/>
          <w:lang w:eastAsia="ru-RU"/>
        </w:rPr>
        <w:t xml:space="preserve"> – диаметр </w:t>
      </w:r>
      <w:r>
        <w:rPr>
          <w:sz w:val="24"/>
          <w:szCs w:val="24"/>
          <w:lang w:val="en-US" w:eastAsia="ru-RU"/>
        </w:rPr>
        <w:t xml:space="preserve">j</w:t>
      </w:r>
      <w:r>
        <w:rPr>
          <w:sz w:val="24"/>
          <w:szCs w:val="24"/>
          <w:lang w:eastAsia="ru-RU"/>
        </w:rPr>
        <w:t xml:space="preserve">-го участка, м.</w:t>
      </w:r>
      <w:r>
        <w:rPr>
          <w:sz w:val="24"/>
          <w:szCs w:val="24"/>
          <w:lang w:eastAsia="ru-RU"/>
        </w:rPr>
      </w:r>
      <w:r>
        <w:rPr>
          <w:sz w:val="24"/>
          <w:szCs w:val="24"/>
          <w:lang w:eastAsia="ru-RU"/>
        </w:rPr>
      </w:r>
    </w:p>
    <w:p>
      <w:pPr>
        <w:ind w:left="142" w:firstLine="709"/>
        <w:jc w:val="both"/>
        <w:rPr>
          <w:sz w:val="24"/>
          <w:szCs w:val="24"/>
          <w:lang w:eastAsia="ru-RU"/>
        </w:rPr>
      </w:pPr>
      <w:r>
        <w:rPr>
          <w:sz w:val="24"/>
          <w:szCs w:val="24"/>
          <w:lang w:eastAsia="ru-RU"/>
        </w:rPr>
      </w:r>
      <w:r>
        <w:rPr>
          <w:sz w:val="24"/>
          <w:szCs w:val="24"/>
          <w:lang w:eastAsia="ru-RU"/>
        </w:rPr>
      </w:r>
      <w:r>
        <w:rPr>
          <w:sz w:val="24"/>
          <w:szCs w:val="24"/>
          <w:lang w:eastAsia="ru-RU"/>
        </w:rPr>
      </w:r>
    </w:p>
    <w:p>
      <w:pPr>
        <w:ind w:left="142" w:firstLine="709"/>
        <w:jc w:val="both"/>
        <w:spacing w:line="360" w:lineRule="auto"/>
        <w:widowControl/>
        <w:tabs>
          <w:tab w:val="left" w:pos="0" w:leader="none"/>
        </w:tabs>
        <w:rPr>
          <w:rFonts w:eastAsia="Calibri"/>
          <w:sz w:val="24"/>
          <w:szCs w:val="24"/>
          <w:lang w:eastAsia="ru-RU"/>
        </w:rPr>
      </w:pPr>
      <w:r>
        <w:rPr>
          <w:rFonts w:eastAsia="Calibri"/>
          <w:position w:val="-24"/>
          <w:sz w:val="24"/>
          <w:szCs w:val="24"/>
          <w:lang w:eastAsia="ru-RU"/>
        </w:rPr>
        <mc:AlternateContent>
          <mc:Choice Requires="wpg">
            <w:drawing>
              <wp:inline xmlns:wp="http://schemas.openxmlformats.org/drawingml/2006/wordprocessingDrawing" distT="0" distB="0" distL="0" distR="0">
                <wp:extent cx="1079500" cy="398780"/>
                <wp:effectExtent l="0" t="0" r="0" b="0"/>
                <wp:docPr id="17" name="_x0000_i162"/>
                <wp:cNvGraphicFramePr/>
                <a:graphic xmlns:a="http://schemas.openxmlformats.org/drawingml/2006/main">
                  <a:graphicData uri="http://schemas.openxmlformats.org/drawingml/2006/picture">
                    <pic:pic xmlns:pic="http://schemas.openxmlformats.org/drawingml/2006/picture">
                      <pic:nvPicPr>
                        <pic:cNvPr id="0" name=""/>
                        <pic:cNvPicPr/>
                        <pic:nvPr/>
                      </pic:nvPicPr>
                      <pic:blipFill>
                        <a:blip r:embed="rId46">
                          <a:extLst>
                            <a:ext uri="{96DAC541-7B7A-43D3-8B79-37D633B846F1}">
                              <asvg:svgBlip xmlns:asvg="http://schemas.microsoft.com/office/drawing/2016/SVG/main" r:embed="rId47"/>
                            </a:ext>
                          </a:extLst>
                        </a:blip>
                        <a:stretch/>
                      </pic:blipFill>
                      <pic:spPr bwMode="auto">
                        <a:xfrm>
                          <a:off x="0" y="0"/>
                          <a:ext cx="1079500" cy="398780"/>
                        </a:xfrm>
                        <a:prstGeom prst="rect">
                          <a:avLst/>
                        </a:prstGeom>
                        <a:noFill/>
                        <a:ln>
                          <a:noFil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62" o:spid="_x0000_s162" type="#_x0000_t75" style="width:85.00pt;height:31.40pt;mso-wrap-distance-left:0.00pt;mso-wrap-distance-top:0.00pt;mso-wrap-distance-right:0.00pt;mso-wrap-distance-bottom:0.00pt;" stroked="f">
                <v:path textboxrect="0,0,0,0"/>
                <v:imagedata r:id="rId46" o:title=""/>
              </v:shape>
            </w:pict>
          </mc:Fallback>
        </mc:AlternateContent>
      </w:r>
      <w:r>
        <w:rPr>
          <w:rFonts w:eastAsia="Calibri"/>
          <w:sz w:val="24"/>
          <w:szCs w:val="24"/>
          <w:lang w:eastAsia="ru-RU"/>
        </w:rPr>
        <w:t xml:space="preserve"> где:</w:t>
      </w:r>
      <w:r>
        <w:rPr>
          <w:rFonts w:eastAsia="Calibri"/>
          <w:sz w:val="24"/>
          <w:szCs w:val="24"/>
          <w:lang w:eastAsia="ru-RU"/>
        </w:rPr>
      </w:r>
      <w:r>
        <w:rPr>
          <w:rFonts w:eastAsia="Calibri"/>
          <w:sz w:val="24"/>
          <w:szCs w:val="24"/>
          <w:lang w:eastAsia="ru-RU"/>
        </w:rPr>
      </w:r>
    </w:p>
    <w:p>
      <w:pPr>
        <w:ind w:left="142" w:firstLine="709"/>
        <w:jc w:val="both"/>
        <w:spacing w:line="360" w:lineRule="auto"/>
        <w:widowControl/>
        <w:tabs>
          <w:tab w:val="left" w:pos="0" w:leader="none"/>
        </w:tabs>
        <w:rPr>
          <w:rFonts w:eastAsia="Calibri"/>
          <w:sz w:val="24"/>
          <w:szCs w:val="24"/>
          <w:lang w:eastAsia="ru-RU"/>
        </w:rPr>
      </w:pPr>
      <w:r>
        <w:rPr>
          <w:rFonts w:eastAsia="Calibri"/>
          <w:sz w:val="24"/>
          <w:szCs w:val="24"/>
          <w:lang w:eastAsia="ru-RU"/>
        </w:rPr>
      </w:r>
      <w:r>
        <w:rPr>
          <w:rFonts w:eastAsia="Calibri"/>
          <w:sz w:val="24"/>
          <w:szCs w:val="24"/>
          <w:lang w:eastAsia="ru-RU"/>
        </w:rPr>
      </w:r>
      <w:r>
        <w:rPr>
          <w:rFonts w:eastAsia="Calibri"/>
          <w:sz w:val="24"/>
          <w:szCs w:val="24"/>
          <w:lang w:eastAsia="ru-RU"/>
        </w:rPr>
      </w:r>
    </w:p>
    <w:p>
      <w:pPr>
        <w:ind w:left="142" w:firstLine="709"/>
        <w:jc w:val="both"/>
        <w:rPr>
          <w:sz w:val="24"/>
          <w:szCs w:val="24"/>
          <w:lang w:eastAsia="ru-RU"/>
        </w:rPr>
      </w:pPr>
      <w:r>
        <w:rPr>
          <w:sz w:val="24"/>
          <w:szCs w:val="24"/>
          <w:lang w:val="en-US" w:eastAsia="ru-RU"/>
        </w:rPr>
        <w:t xml:space="preserve">n</w:t>
      </w:r>
      <w:r>
        <w:rPr>
          <w:sz w:val="24"/>
          <w:szCs w:val="24"/>
          <w:vertAlign w:val="subscript"/>
          <w:lang w:val="en-US" w:eastAsia="ru-RU"/>
        </w:rPr>
        <w:t xml:space="preserve">j</w:t>
      </w:r>
      <w:r>
        <w:rPr>
          <w:sz w:val="24"/>
          <w:szCs w:val="24"/>
          <w:lang w:eastAsia="ru-RU"/>
        </w:rPr>
        <w:t xml:space="preserve"> – срок службы теплопровода </w:t>
      </w:r>
      <w:r>
        <w:rPr>
          <w:sz w:val="24"/>
          <w:szCs w:val="24"/>
          <w:lang w:val="en-US" w:eastAsia="ru-RU"/>
        </w:rPr>
        <w:t xml:space="preserve">j</w:t>
      </w:r>
      <w:r>
        <w:rPr>
          <w:sz w:val="24"/>
          <w:szCs w:val="24"/>
          <w:lang w:eastAsia="ru-RU"/>
        </w:rPr>
        <w:t xml:space="preserve">-го участка с момента ввода в эксплуатацию (в годах).</w:t>
      </w:r>
      <w:r>
        <w:rPr>
          <w:sz w:val="24"/>
          <w:szCs w:val="24"/>
          <w:lang w:eastAsia="ru-RU"/>
        </w:rPr>
      </w:r>
      <w:r>
        <w:rPr>
          <w:sz w:val="24"/>
          <w:szCs w:val="24"/>
          <w:lang w:eastAsia="ru-RU"/>
        </w:rPr>
      </w:r>
    </w:p>
    <w:p>
      <w:pPr>
        <w:ind w:left="142" w:firstLine="709"/>
        <w:jc w:val="both"/>
        <w:rPr>
          <w:sz w:val="24"/>
          <w:szCs w:val="24"/>
          <w:lang w:eastAsia="ru-RU"/>
        </w:rPr>
      </w:pPr>
      <w:r>
        <w:rPr>
          <w:sz w:val="24"/>
          <w:szCs w:val="24"/>
          <w:lang w:eastAsia="ru-RU"/>
        </w:rPr>
        <w:t xml:space="preserve">Минимально допустимый показатель вероятности безотказной работы для тепловых сетей равен Р</w:t>
      </w:r>
      <w:r>
        <w:rPr>
          <w:sz w:val="24"/>
          <w:szCs w:val="24"/>
          <w:vertAlign w:val="subscript"/>
          <w:lang w:eastAsia="ru-RU"/>
        </w:rPr>
        <w:t xml:space="preserve">тс</w:t>
      </w:r>
      <w:r>
        <w:rPr>
          <w:sz w:val="24"/>
          <w:szCs w:val="24"/>
          <w:lang w:eastAsia="ru-RU"/>
        </w:rPr>
        <w:t xml:space="preserve"> = 0,9.</w:t>
      </w:r>
      <w:r>
        <w:rPr>
          <w:sz w:val="24"/>
          <w:szCs w:val="24"/>
          <w:lang w:eastAsia="ru-RU"/>
        </w:rPr>
      </w:r>
      <w:r>
        <w:rPr>
          <w:sz w:val="24"/>
          <w:szCs w:val="24"/>
          <w:lang w:eastAsia="ru-RU"/>
        </w:rPr>
      </w:r>
    </w:p>
    <w:p>
      <w:pPr>
        <w:ind w:left="142" w:firstLine="709"/>
        <w:jc w:val="both"/>
        <w:rPr>
          <w:sz w:val="24"/>
          <w:szCs w:val="24"/>
          <w:lang w:eastAsia="ru-RU"/>
        </w:rPr>
      </w:pPr>
      <w:r>
        <w:rPr>
          <w:sz w:val="24"/>
          <w:szCs w:val="24"/>
          <w:lang w:eastAsia="ru-RU"/>
        </w:rPr>
        <w:t xml:space="preserve">Расчет вероятности безотказной работы был проведен для незарезервированных тупиковых участков тепловой сети, потому что вероятность одновременного отказа двух элементов тепловой сети пренебрежительно мала.</w:t>
      </w:r>
      <w:r>
        <w:rPr>
          <w:sz w:val="24"/>
          <w:szCs w:val="24"/>
          <w:lang w:eastAsia="ru-RU"/>
        </w:rPr>
      </w:r>
      <w:r>
        <w:rPr>
          <w:sz w:val="24"/>
          <w:szCs w:val="24"/>
          <w:lang w:eastAsia="ru-RU"/>
        </w:rPr>
      </w:r>
    </w:p>
    <w:p>
      <w:pPr>
        <w:ind w:left="142" w:firstLine="709"/>
        <w:jc w:val="both"/>
        <w:rPr>
          <w:sz w:val="24"/>
          <w:szCs w:val="24"/>
          <w:lang w:eastAsia="ru-RU"/>
        </w:rPr>
      </w:pPr>
      <w:r>
        <w:rPr>
          <w:sz w:val="24"/>
          <w:szCs w:val="24"/>
          <w:lang w:eastAsia="ru-RU"/>
        </w:rPr>
        <w:t xml:space="preserve">Оценка недоотпуска тепловой энергии потребителям осуществляется по формуле:</w:t>
      </w:r>
      <w:r>
        <w:rPr>
          <w:sz w:val="24"/>
          <w:szCs w:val="24"/>
          <w:lang w:eastAsia="ru-RU"/>
        </w:rPr>
      </w:r>
      <w:r>
        <w:rPr>
          <w:sz w:val="24"/>
          <w:szCs w:val="24"/>
          <w:lang w:eastAsia="ru-RU"/>
        </w:rPr>
      </w:r>
    </w:p>
    <w:p>
      <w:pPr>
        <w:ind w:left="142" w:firstLine="709"/>
        <w:jc w:val="both"/>
        <w:rPr>
          <w:sz w:val="24"/>
          <w:szCs w:val="24"/>
          <w:lang w:eastAsia="ru-RU"/>
        </w:rPr>
      </w:pPr>
      <w:r>
        <w:rPr>
          <w:sz w:val="24"/>
          <w:szCs w:val="24"/>
          <w:lang w:eastAsia="ru-RU"/>
        </w:rPr>
      </w:r>
      <w:r>
        <w:rPr>
          <w:sz w:val="24"/>
          <w:szCs w:val="24"/>
          <w:lang w:eastAsia="ru-RU"/>
        </w:rPr>
      </w:r>
      <w:r>
        <w:rPr>
          <w:sz w:val="24"/>
          <w:szCs w:val="24"/>
          <w:lang w:eastAsia="ru-RU"/>
        </w:rPr>
      </w:r>
    </w:p>
    <w:p>
      <w:pPr>
        <w:ind w:left="142" w:firstLine="709"/>
        <w:jc w:val="both"/>
        <w:spacing w:line="360" w:lineRule="auto"/>
        <w:widowControl/>
        <w:tabs>
          <w:tab w:val="left" w:pos="0" w:leader="none"/>
        </w:tabs>
        <w:rPr>
          <w:rFonts w:eastAsia="Calibri"/>
          <w:position w:val="-24"/>
          <w:sz w:val="24"/>
          <w:szCs w:val="24"/>
          <w:lang w:eastAsia="ru-RU"/>
        </w:rPr>
      </w:pPr>
      <w:r>
        <w:rPr>
          <w:rFonts w:eastAsia="Calibri"/>
          <w:position w:val="-14"/>
          <w:sz w:val="24"/>
          <w:szCs w:val="24"/>
          <w:lang w:eastAsia="ru-RU"/>
        </w:rPr>
        <mc:AlternateContent>
          <mc:Choice Requires="wpg">
            <w:drawing>
              <wp:inline xmlns:wp="http://schemas.openxmlformats.org/drawingml/2006/wordprocessingDrawing" distT="0" distB="0" distL="0" distR="0">
                <wp:extent cx="1673225" cy="252730"/>
                <wp:effectExtent l="0" t="0" r="0" b="0"/>
                <wp:docPr id="18" name="_x0000_i163"/>
                <wp:cNvGraphicFramePr/>
                <a:graphic xmlns:a="http://schemas.openxmlformats.org/drawingml/2006/main">
                  <a:graphicData uri="http://schemas.openxmlformats.org/drawingml/2006/picture">
                    <pic:pic xmlns:pic="http://schemas.openxmlformats.org/drawingml/2006/picture">
                      <pic:nvPicPr>
                        <pic:cNvPr id="0" name=""/>
                        <pic:cNvPicPr/>
                        <pic:nvPr/>
                      </pic:nvPicPr>
                      <pic:blipFill>
                        <a:blip r:embed="rId48">
                          <a:extLst>
                            <a:ext uri="{96DAC541-7B7A-43D3-8B79-37D633B846F1}">
                              <asvg:svgBlip xmlns:asvg="http://schemas.microsoft.com/office/drawing/2016/SVG/main" r:embed="rId49"/>
                            </a:ext>
                          </a:extLst>
                        </a:blip>
                        <a:stretch/>
                      </pic:blipFill>
                      <pic:spPr bwMode="auto">
                        <a:xfrm>
                          <a:off x="0" y="0"/>
                          <a:ext cx="1673225" cy="252730"/>
                        </a:xfrm>
                        <a:prstGeom prst="rect">
                          <a:avLst/>
                        </a:prstGeom>
                        <a:noFill/>
                        <a:ln>
                          <a:noFil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63" o:spid="_x0000_s163" type="#_x0000_t75" style="width:131.75pt;height:19.90pt;mso-wrap-distance-left:0.00pt;mso-wrap-distance-top:0.00pt;mso-wrap-distance-right:0.00pt;mso-wrap-distance-bottom:0.00pt;" stroked="f">
                <v:path textboxrect="0,0,0,0"/>
                <v:imagedata r:id="rId48" o:title=""/>
              </v:shape>
            </w:pict>
          </mc:Fallback>
        </mc:AlternateContent>
      </w:r>
      <w:r>
        <w:rPr>
          <w:rFonts w:eastAsia="Calibri"/>
          <w:position w:val="-24"/>
          <w:sz w:val="24"/>
          <w:szCs w:val="24"/>
          <w:lang w:eastAsia="ru-RU"/>
        </w:rPr>
        <w:t xml:space="preserve"> где:</w:t>
      </w:r>
      <w:r>
        <w:rPr>
          <w:rFonts w:eastAsia="Calibri"/>
          <w:position w:val="-24"/>
          <w:sz w:val="24"/>
          <w:szCs w:val="24"/>
          <w:lang w:eastAsia="ru-RU"/>
        </w:rPr>
      </w:r>
      <w:r>
        <w:rPr>
          <w:rFonts w:eastAsia="Calibri"/>
          <w:position w:val="-24"/>
          <w:sz w:val="24"/>
          <w:szCs w:val="24"/>
          <w:lang w:eastAsia="ru-RU"/>
        </w:rPr>
      </w:r>
    </w:p>
    <w:p>
      <w:pPr>
        <w:ind w:left="142" w:firstLine="709"/>
        <w:jc w:val="both"/>
        <w:spacing w:line="360" w:lineRule="auto"/>
        <w:widowControl/>
        <w:tabs>
          <w:tab w:val="left" w:pos="0" w:leader="none"/>
        </w:tabs>
        <w:rPr>
          <w:rFonts w:eastAsia="Calibri"/>
          <w:position w:val="-24"/>
          <w:sz w:val="24"/>
          <w:szCs w:val="24"/>
          <w:lang w:eastAsia="ru-RU"/>
        </w:rPr>
      </w:pPr>
      <w:r>
        <w:rPr>
          <w:rFonts w:eastAsia="Calibri"/>
          <w:position w:val="-24"/>
          <w:sz w:val="24"/>
          <w:szCs w:val="24"/>
          <w:lang w:eastAsia="ru-RU"/>
        </w:rPr>
      </w:r>
      <w:r>
        <w:rPr>
          <w:rFonts w:eastAsia="Calibri"/>
          <w:position w:val="-24"/>
          <w:sz w:val="24"/>
          <w:szCs w:val="24"/>
          <w:lang w:eastAsia="ru-RU"/>
        </w:rPr>
      </w:r>
      <w:r>
        <w:rPr>
          <w:rFonts w:eastAsia="Calibri"/>
          <w:position w:val="-24"/>
          <w:sz w:val="24"/>
          <w:szCs w:val="24"/>
          <w:lang w:eastAsia="ru-RU"/>
        </w:rPr>
      </w:r>
    </w:p>
    <w:p>
      <w:pPr>
        <w:ind w:left="142" w:firstLine="709"/>
        <w:jc w:val="both"/>
        <w:rPr>
          <w:sz w:val="24"/>
          <w:szCs w:val="24"/>
          <w:lang w:eastAsia="ru-RU"/>
        </w:rPr>
      </w:pPr>
      <w:r>
        <w:rPr>
          <w:position w:val="-14"/>
          <w:sz w:val="24"/>
          <w:szCs w:val="24"/>
          <w:lang w:eastAsia="ru-RU"/>
        </w:rPr>
        <mc:AlternateContent>
          <mc:Choice Requires="wpg">
            <w:drawing>
              <wp:inline xmlns:wp="http://schemas.openxmlformats.org/drawingml/2006/wordprocessingDrawing" distT="0" distB="0" distL="0" distR="0">
                <wp:extent cx="276225" cy="266065"/>
                <wp:effectExtent l="0" t="0" r="0" b="0"/>
                <wp:docPr id="19"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pic:cNvPicPr>
                        <pic:nvPr/>
                      </pic:nvPicPr>
                      <pic:blipFill>
                        <a:blip r:embed="rId50">
                          <a:extLst>
                            <a:ext uri="{96DAC541-7B7A-43D3-8B79-37D633B846F1}">
                              <asvg:svgBlip xmlns:asvg="http://schemas.microsoft.com/office/drawing/2016/SVG/main" r:embed="rId51"/>
                            </a:ext>
                          </a:extLst>
                        </a:blip>
                        <a:stretch/>
                      </pic:blipFill>
                      <pic:spPr bwMode="auto">
                        <a:xfrm>
                          <a:off x="0" y="0"/>
                          <a:ext cx="276225" cy="266065"/>
                        </a:xfrm>
                        <a:prstGeom prst="rect">
                          <a:avLst/>
                        </a:prstGeom>
                        <a:solidFill>
                          <a:srgbClr val="FFFFFF"/>
                        </a:solidFill>
                        <a:ln>
                          <a:noFill/>
                          <a:miter/>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64" o:spid="_x0000_s164" type="#_x0000_t75" style="width:21.75pt;height:20.95pt;mso-wrap-distance-left:0.00pt;mso-wrap-distance-top:0.00pt;mso-wrap-distance-right:0.00pt;mso-wrap-distance-bottom:0.00pt;" stroked="f">
                <v:path textboxrect="0,0,0,0"/>
                <v:imagedata r:id="rId50" o:title=""/>
              </v:shape>
            </w:pict>
          </mc:Fallback>
        </mc:AlternateContent>
      </w:r>
      <w:r>
        <w:rPr>
          <w:sz w:val="24"/>
          <w:szCs w:val="24"/>
          <w:lang w:eastAsia="ru-RU"/>
        </w:rPr>
        <w:t xml:space="preserve">– среднегодовая тепловая мощность теплопотребляющих установок потребителя (тепловая нагрузка потребителя), Гкал/ч;</w:t>
      </w:r>
      <w:r>
        <w:rPr>
          <w:sz w:val="24"/>
          <w:szCs w:val="24"/>
          <w:lang w:eastAsia="ru-RU"/>
        </w:rPr>
      </w:r>
      <w:r>
        <w:rPr>
          <w:sz w:val="24"/>
          <w:szCs w:val="24"/>
          <w:lang w:eastAsia="ru-RU"/>
        </w:rPr>
      </w:r>
    </w:p>
    <w:p>
      <w:pPr>
        <w:ind w:left="142" w:firstLine="709"/>
        <w:jc w:val="both"/>
        <w:rPr>
          <w:sz w:val="24"/>
          <w:szCs w:val="24"/>
          <w:lang w:eastAsia="ru-RU"/>
        </w:rPr>
      </w:pPr>
      <w:r>
        <w:rPr>
          <w:sz w:val="24"/>
          <w:szCs w:val="24"/>
          <w:lang w:eastAsia="ru-RU"/>
        </w:rPr>
        <w:t xml:space="preserve">τ</w:t>
      </w:r>
      <w:r>
        <w:rPr>
          <w:sz w:val="24"/>
          <w:szCs w:val="24"/>
          <w:vertAlign w:val="subscript"/>
          <w:lang w:eastAsia="ru-RU"/>
        </w:rPr>
        <w:t xml:space="preserve">оп</w:t>
      </w:r>
      <w:r>
        <w:rPr>
          <w:sz w:val="24"/>
          <w:szCs w:val="24"/>
          <w:lang w:eastAsia="ru-RU"/>
        </w:rPr>
        <w:t xml:space="preserve"> – продолжительность отопительного сезона, ч;</w:t>
      </w:r>
      <w:r>
        <w:rPr>
          <w:sz w:val="24"/>
          <w:szCs w:val="24"/>
          <w:lang w:eastAsia="ru-RU"/>
        </w:rPr>
      </w:r>
      <w:r>
        <w:rPr>
          <w:sz w:val="24"/>
          <w:szCs w:val="24"/>
          <w:lang w:eastAsia="ru-RU"/>
        </w:rPr>
      </w:r>
    </w:p>
    <w:p>
      <w:pPr>
        <w:ind w:left="142" w:firstLine="709"/>
        <w:jc w:val="both"/>
        <w:rPr>
          <w:sz w:val="24"/>
          <w:szCs w:val="24"/>
          <w:lang w:eastAsia="ru-RU"/>
        </w:rPr>
      </w:pPr>
      <w:r>
        <w:rPr>
          <w:sz w:val="24"/>
          <w:szCs w:val="24"/>
          <w:lang w:val="en-US" w:eastAsia="ru-RU"/>
        </w:rPr>
        <w:t xml:space="preserve">q</w:t>
      </w:r>
      <w:r>
        <w:rPr>
          <w:sz w:val="24"/>
          <w:szCs w:val="24"/>
          <w:vertAlign w:val="subscript"/>
          <w:lang w:val="en-US" w:eastAsia="ru-RU"/>
        </w:rPr>
        <w:t xml:space="preserve">mn</w:t>
      </w:r>
      <w:r>
        <w:rPr>
          <w:sz w:val="24"/>
          <w:szCs w:val="24"/>
          <w:lang w:eastAsia="ru-RU"/>
        </w:rPr>
        <w:t xml:space="preserve"> – вероятность отказа теплопровода.</w:t>
      </w:r>
      <w:r>
        <w:rPr>
          <w:sz w:val="24"/>
          <w:szCs w:val="24"/>
          <w:lang w:eastAsia="ru-RU"/>
        </w:rPr>
      </w:r>
      <w:r>
        <w:rPr>
          <w:sz w:val="24"/>
          <w:szCs w:val="24"/>
          <w:lang w:eastAsia="ru-RU"/>
        </w:rPr>
      </w:r>
    </w:p>
    <w:p>
      <w:pPr>
        <w:ind w:left="142" w:firstLine="709"/>
        <w:jc w:val="both"/>
        <w:rPr>
          <w:sz w:val="24"/>
          <w:szCs w:val="24"/>
          <w:lang w:eastAsia="ru-RU"/>
        </w:rPr>
      </w:pPr>
      <w:r>
        <w:rPr>
          <w:sz w:val="24"/>
          <w:szCs w:val="24"/>
          <w:lang w:eastAsia="ru-RU"/>
        </w:rPr>
      </w:r>
      <w:r>
        <w:rPr>
          <w:sz w:val="24"/>
          <w:szCs w:val="24"/>
          <w:lang w:eastAsia="ru-RU"/>
        </w:rPr>
      </w:r>
      <w:r>
        <w:rPr>
          <w:sz w:val="24"/>
          <w:szCs w:val="24"/>
          <w:lang w:eastAsia="ru-RU"/>
        </w:rPr>
      </w:r>
    </w:p>
    <w:p>
      <w:pPr>
        <w:ind w:left="142" w:firstLine="709"/>
        <w:jc w:val="both"/>
        <w:spacing w:line="360" w:lineRule="auto"/>
        <w:widowControl/>
        <w:tabs>
          <w:tab w:val="left" w:pos="0" w:leader="none"/>
        </w:tabs>
        <w:rPr>
          <w:rFonts w:eastAsia="Calibri"/>
          <w:position w:val="-24"/>
          <w:sz w:val="24"/>
          <w:szCs w:val="24"/>
          <w:lang w:eastAsia="ru-RU"/>
        </w:rPr>
      </w:pPr>
      <w:r>
        <w:rPr>
          <w:rFonts w:eastAsia="Calibri"/>
          <w:position w:val="-34"/>
          <w:sz w:val="24"/>
          <w:szCs w:val="24"/>
          <w:lang w:eastAsia="ru-RU"/>
        </w:rPr>
        <mc:AlternateContent>
          <mc:Choice Requires="wpg">
            <w:drawing>
              <wp:inline xmlns:wp="http://schemas.openxmlformats.org/drawingml/2006/wordprocessingDrawing" distT="0" distB="0" distL="0" distR="0">
                <wp:extent cx="3706495" cy="515620"/>
                <wp:effectExtent l="0" t="0" r="0" b="0"/>
                <wp:docPr id="20" name="_x0000_i165"/>
                <wp:cNvGraphicFramePr/>
                <a:graphic xmlns:a="http://schemas.openxmlformats.org/drawingml/2006/main">
                  <a:graphicData uri="http://schemas.openxmlformats.org/drawingml/2006/picture">
                    <pic:pic xmlns:pic="http://schemas.openxmlformats.org/drawingml/2006/picture">
                      <pic:nvPicPr>
                        <pic:cNvPr id="0" name=""/>
                        <pic:cNvPicPr/>
                        <pic:nvPr/>
                      </pic:nvPicPr>
                      <pic:blipFill>
                        <a:blip r:embed="rId52">
                          <a:extLst>
                            <a:ext uri="{96DAC541-7B7A-43D3-8B79-37D633B846F1}">
                              <asvg:svgBlip xmlns:asvg="http://schemas.microsoft.com/office/drawing/2016/SVG/main" r:embed="rId53"/>
                            </a:ext>
                          </a:extLst>
                        </a:blip>
                        <a:stretch/>
                      </pic:blipFill>
                      <pic:spPr bwMode="auto">
                        <a:xfrm>
                          <a:off x="0" y="0"/>
                          <a:ext cx="3706495" cy="515620"/>
                        </a:xfrm>
                        <a:prstGeom prst="rect">
                          <a:avLst/>
                        </a:prstGeom>
                        <a:noFill/>
                        <a:ln>
                          <a:noFil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65" o:spid="_x0000_s165" type="#_x0000_t75" style="width:291.85pt;height:40.60pt;mso-wrap-distance-left:0.00pt;mso-wrap-distance-top:0.00pt;mso-wrap-distance-right:0.00pt;mso-wrap-distance-bottom:0.00pt;" stroked="f">
                <v:path textboxrect="0,0,0,0"/>
                <v:imagedata r:id="rId52" o:title=""/>
              </v:shape>
            </w:pict>
          </mc:Fallback>
        </mc:AlternateContent>
      </w:r>
      <w:r>
        <w:rPr>
          <w:rFonts w:eastAsia="Calibri"/>
          <w:position w:val="-24"/>
          <w:sz w:val="24"/>
          <w:szCs w:val="24"/>
          <w:lang w:eastAsia="ru-RU"/>
        </w:rPr>
        <w:t xml:space="preserve"> где:</w:t>
      </w:r>
      <w:r>
        <w:rPr>
          <w:rFonts w:eastAsia="Calibri"/>
          <w:position w:val="-24"/>
          <w:sz w:val="24"/>
          <w:szCs w:val="24"/>
          <w:lang w:eastAsia="ru-RU"/>
        </w:rPr>
      </w:r>
      <w:r>
        <w:rPr>
          <w:rFonts w:eastAsia="Calibri"/>
          <w:position w:val="-24"/>
          <w:sz w:val="24"/>
          <w:szCs w:val="24"/>
          <w:lang w:eastAsia="ru-RU"/>
        </w:rPr>
      </w:r>
    </w:p>
    <w:p>
      <w:pPr>
        <w:ind w:left="142" w:firstLine="709"/>
        <w:jc w:val="both"/>
        <w:spacing w:line="360" w:lineRule="auto"/>
        <w:widowControl/>
        <w:tabs>
          <w:tab w:val="left" w:pos="0" w:leader="none"/>
        </w:tabs>
        <w:rPr>
          <w:rFonts w:eastAsia="Calibri"/>
          <w:position w:val="-24"/>
          <w:sz w:val="24"/>
          <w:szCs w:val="24"/>
          <w:lang w:eastAsia="ru-RU"/>
        </w:rPr>
      </w:pPr>
      <w:r>
        <w:rPr>
          <w:rFonts w:eastAsia="Calibri"/>
          <w:position w:val="-24"/>
          <w:sz w:val="24"/>
          <w:szCs w:val="24"/>
          <w:lang w:eastAsia="ru-RU"/>
        </w:rPr>
      </w:r>
      <w:r>
        <w:rPr>
          <w:rFonts w:eastAsia="Calibri"/>
          <w:position w:val="-24"/>
          <w:sz w:val="24"/>
          <w:szCs w:val="24"/>
          <w:lang w:eastAsia="ru-RU"/>
        </w:rPr>
      </w:r>
      <w:r>
        <w:rPr>
          <w:rFonts w:eastAsia="Calibri"/>
          <w:position w:val="-24"/>
          <w:sz w:val="24"/>
          <w:szCs w:val="24"/>
          <w:lang w:eastAsia="ru-RU"/>
        </w:rPr>
      </w:r>
    </w:p>
    <w:p>
      <w:pPr>
        <w:ind w:left="142" w:firstLine="709"/>
        <w:jc w:val="both"/>
        <w:rPr>
          <w:sz w:val="24"/>
          <w:szCs w:val="24"/>
          <w:lang w:eastAsia="ru-RU"/>
        </w:rPr>
      </w:pPr>
      <w:r>
        <w:rPr>
          <w:position w:val="-10"/>
          <w:sz w:val="24"/>
          <w:szCs w:val="24"/>
          <w:lang w:eastAsia="ru-RU"/>
        </w:rPr>
        <mc:AlternateContent>
          <mc:Choice Requires="wpg">
            <w:drawing>
              <wp:inline xmlns:wp="http://schemas.openxmlformats.org/drawingml/2006/wordprocessingDrawing" distT="0" distB="0" distL="0" distR="0">
                <wp:extent cx="414655" cy="266065"/>
                <wp:effectExtent l="0" t="0" r="0" b="0"/>
                <wp:docPr id="21"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pic:cNvPicPr>
                        <pic:nvPr/>
                      </pic:nvPicPr>
                      <pic:blipFill>
                        <a:blip r:embed="rId54">
                          <a:extLst>
                            <a:ext uri="{96DAC541-7B7A-43D3-8B79-37D633B846F1}">
                              <asvg:svgBlip xmlns:asvg="http://schemas.microsoft.com/office/drawing/2016/SVG/main" r:embed="rId55"/>
                            </a:ext>
                          </a:extLst>
                        </a:blip>
                        <a:stretch/>
                      </pic:blipFill>
                      <pic:spPr bwMode="auto">
                        <a:xfrm>
                          <a:off x="0" y="0"/>
                          <a:ext cx="414655" cy="266065"/>
                        </a:xfrm>
                        <a:prstGeom prst="rect">
                          <a:avLst/>
                        </a:prstGeom>
                        <a:solidFill>
                          <a:srgbClr val="FFFFFF"/>
                        </a:solidFill>
                        <a:ln>
                          <a:noFil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66" o:spid="_x0000_s166" type="#_x0000_t75" style="width:32.65pt;height:20.95pt;mso-wrap-distance-left:0.00pt;mso-wrap-distance-top:0.00pt;mso-wrap-distance-right:0.00pt;mso-wrap-distance-bottom:0.00pt;" stroked="f">
                <v:path textboxrect="0,0,0,0"/>
                <v:imagedata r:id="rId54" o:title=""/>
              </v:shape>
            </w:pict>
          </mc:Fallback>
        </mc:AlternateContent>
      </w:r>
      <w:r>
        <w:rPr>
          <w:sz w:val="24"/>
          <w:szCs w:val="24"/>
          <w:lang w:eastAsia="ru-RU"/>
        </w:rPr>
        <w:t xml:space="preserve">– расчетная тепловая нагрузка потребителя на систему отопления, Гкал/ч;</w:t>
      </w:r>
      <w:r>
        <w:rPr>
          <w:sz w:val="24"/>
          <w:szCs w:val="24"/>
          <w:lang w:eastAsia="ru-RU"/>
        </w:rPr>
      </w:r>
      <w:r>
        <w:rPr>
          <w:sz w:val="24"/>
          <w:szCs w:val="24"/>
          <w:lang w:eastAsia="ru-RU"/>
        </w:rPr>
      </w:r>
    </w:p>
    <w:p>
      <w:pPr>
        <w:ind w:left="142" w:firstLine="709"/>
        <w:jc w:val="both"/>
        <w:rPr>
          <w:sz w:val="24"/>
          <w:szCs w:val="24"/>
          <w:vertAlign w:val="superscript"/>
          <w:lang w:eastAsia="ru-RU"/>
        </w:rPr>
      </w:pPr>
      <w:r>
        <w:rPr>
          <w:position w:val="-10"/>
          <w:sz w:val="24"/>
          <w:szCs w:val="24"/>
          <w:lang w:eastAsia="ru-RU"/>
        </w:rPr>
        <mc:AlternateContent>
          <mc:Choice Requires="wpg">
            <w:drawing>
              <wp:inline xmlns:wp="http://schemas.openxmlformats.org/drawingml/2006/wordprocessingDrawing" distT="0" distB="0" distL="0" distR="0">
                <wp:extent cx="233680" cy="201930"/>
                <wp:effectExtent l="0" t="0" r="0" b="0"/>
                <wp:docPr id="2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pic:cNvPicPr>
                        <pic:nvPr/>
                      </pic:nvPicPr>
                      <pic:blipFill>
                        <a:blip r:embed="rId56">
                          <a:extLst>
                            <a:ext uri="{96DAC541-7B7A-43D3-8B79-37D633B846F1}">
                              <asvg:svgBlip xmlns:asvg="http://schemas.microsoft.com/office/drawing/2016/SVG/main" r:embed="rId57"/>
                            </a:ext>
                          </a:extLst>
                        </a:blip>
                        <a:stretch/>
                      </pic:blipFill>
                      <pic:spPr bwMode="auto">
                        <a:xfrm>
                          <a:off x="0" y="0"/>
                          <a:ext cx="233680" cy="201930"/>
                        </a:xfrm>
                        <a:prstGeom prst="rect">
                          <a:avLst/>
                        </a:prstGeom>
                        <a:solidFill>
                          <a:srgbClr val="FFFFFF"/>
                        </a:solidFill>
                        <a:ln>
                          <a:noFil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67" o:spid="_x0000_s167" type="#_x0000_t75" style="width:18.40pt;height:15.90pt;mso-wrap-distance-left:0.00pt;mso-wrap-distance-top:0.00pt;mso-wrap-distance-right:0.00pt;mso-wrap-distance-bottom:0.00pt;" stroked="f">
                <v:path textboxrect="0,0,0,0"/>
                <v:imagedata r:id="rId56" o:title=""/>
              </v:shape>
            </w:pict>
          </mc:Fallback>
        </mc:AlternateContent>
      </w:r>
      <w:r>
        <w:rPr>
          <w:sz w:val="24"/>
          <w:szCs w:val="24"/>
          <w:lang w:eastAsia="ru-RU"/>
        </w:rPr>
        <w:t xml:space="preserve">– температура внутреннего воздуха, </w:t>
      </w:r>
      <w:r>
        <w:rPr>
          <w:sz w:val="24"/>
          <w:szCs w:val="24"/>
          <w:vertAlign w:val="superscript"/>
          <w:lang w:eastAsia="ru-RU"/>
        </w:rPr>
        <w:t xml:space="preserve">о</w:t>
      </w:r>
      <w:r>
        <w:rPr>
          <w:sz w:val="24"/>
          <w:szCs w:val="24"/>
          <w:lang w:eastAsia="ru-RU"/>
        </w:rPr>
        <w:t xml:space="preserve">С;</w:t>
      </w:r>
      <w:r>
        <w:rPr>
          <w:sz w:val="24"/>
          <w:szCs w:val="24"/>
          <w:vertAlign w:val="superscript"/>
          <w:lang w:eastAsia="ru-RU"/>
        </w:rPr>
      </w:r>
      <w:r>
        <w:rPr>
          <w:sz w:val="24"/>
          <w:szCs w:val="24"/>
          <w:vertAlign w:val="superscript"/>
          <w:lang w:eastAsia="ru-RU"/>
        </w:rPr>
      </w:r>
    </w:p>
    <w:p>
      <w:pPr>
        <w:ind w:left="142" w:firstLine="709"/>
        <w:jc w:val="both"/>
        <w:rPr>
          <w:sz w:val="24"/>
          <w:szCs w:val="24"/>
          <w:lang w:eastAsia="ru-RU"/>
        </w:rPr>
      </w:pPr>
      <w:r>
        <w:rPr>
          <w:position w:val="-14"/>
          <w:sz w:val="24"/>
          <w:szCs w:val="24"/>
          <w:lang w:eastAsia="ru-RU"/>
        </w:rPr>
        <mc:AlternateContent>
          <mc:Choice Requires="wpg">
            <w:drawing>
              <wp:inline xmlns:wp="http://schemas.openxmlformats.org/drawingml/2006/wordprocessingDrawing" distT="0" distB="0" distL="0" distR="0">
                <wp:extent cx="414655" cy="276225"/>
                <wp:effectExtent l="0" t="0" r="0" b="0"/>
                <wp:docPr id="23"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pic:cNvPicPr>
                        <pic:nvPr/>
                      </pic:nvPicPr>
                      <pic:blipFill>
                        <a:blip r:embed="rId58">
                          <a:extLst>
                            <a:ext uri="{96DAC541-7B7A-43D3-8B79-37D633B846F1}">
                              <asvg:svgBlip xmlns:asvg="http://schemas.microsoft.com/office/drawing/2016/SVG/main" r:embed="rId59"/>
                            </a:ext>
                          </a:extLst>
                        </a:blip>
                        <a:stretch/>
                      </pic:blipFill>
                      <pic:spPr bwMode="auto">
                        <a:xfrm>
                          <a:off x="0" y="0"/>
                          <a:ext cx="414655" cy="276225"/>
                        </a:xfrm>
                        <a:prstGeom prst="rect">
                          <a:avLst/>
                        </a:prstGeom>
                        <a:solidFill>
                          <a:srgbClr val="FFFFFF"/>
                        </a:solidFill>
                        <a:ln>
                          <a:noFil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68" o:spid="_x0000_s168" type="#_x0000_t75" style="width:32.65pt;height:21.75pt;mso-wrap-distance-left:0.00pt;mso-wrap-distance-top:0.00pt;mso-wrap-distance-right:0.00pt;mso-wrap-distance-bottom:0.00pt;" stroked="f">
                <v:path textboxrect="0,0,0,0"/>
                <v:imagedata r:id="rId58" o:title=""/>
              </v:shape>
            </w:pict>
          </mc:Fallback>
        </mc:AlternateContent>
      </w:r>
      <w:r>
        <w:rPr>
          <w:sz w:val="24"/>
          <w:szCs w:val="24"/>
          <w:lang w:eastAsia="ru-RU"/>
        </w:rPr>
        <w:t xml:space="preserve">– средняя температура наружного воздуха за отопительный</w:t>
      </w:r>
      <w:r>
        <w:rPr>
          <w:sz w:val="24"/>
          <w:szCs w:val="24"/>
          <w:lang w:eastAsia="ru-RU"/>
        </w:rPr>
        <w:tab/>
        <w:t xml:space="preserve"> период, </w:t>
      </w:r>
      <w:r>
        <w:rPr>
          <w:sz w:val="24"/>
          <w:szCs w:val="24"/>
          <w:vertAlign w:val="superscript"/>
          <w:lang w:eastAsia="ru-RU"/>
        </w:rPr>
        <w:t xml:space="preserve">о</w:t>
      </w:r>
      <w:r>
        <w:rPr>
          <w:sz w:val="24"/>
          <w:szCs w:val="24"/>
          <w:lang w:eastAsia="ru-RU"/>
        </w:rPr>
        <w:t xml:space="preserve">С;</w:t>
      </w:r>
      <w:r>
        <w:rPr>
          <w:sz w:val="24"/>
          <w:szCs w:val="24"/>
          <w:lang w:eastAsia="ru-RU"/>
        </w:rPr>
      </w:r>
      <w:r>
        <w:rPr>
          <w:sz w:val="24"/>
          <w:szCs w:val="24"/>
          <w:lang w:eastAsia="ru-RU"/>
        </w:rPr>
      </w:r>
    </w:p>
    <w:p>
      <w:pPr>
        <w:ind w:left="142" w:firstLine="709"/>
        <w:jc w:val="both"/>
        <w:rPr>
          <w:sz w:val="24"/>
          <w:szCs w:val="24"/>
          <w:lang w:eastAsia="ru-RU"/>
        </w:rPr>
      </w:pPr>
      <w:r>
        <w:rPr>
          <w:position w:val="-14"/>
          <w:sz w:val="24"/>
          <w:szCs w:val="24"/>
          <w:lang w:eastAsia="ru-RU"/>
        </w:rPr>
        <mc:AlternateContent>
          <mc:Choice Requires="wpg">
            <w:drawing>
              <wp:inline xmlns:wp="http://schemas.openxmlformats.org/drawingml/2006/wordprocessingDrawing" distT="0" distB="0" distL="0" distR="0">
                <wp:extent cx="329565" cy="276225"/>
                <wp:effectExtent l="0" t="0" r="0" b="0"/>
                <wp:docPr id="24"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pic:cNvPicPr>
                        <pic:nvPr/>
                      </pic:nvPicPr>
                      <pic:blipFill>
                        <a:blip r:embed="rId60">
                          <a:extLst>
                            <a:ext uri="{96DAC541-7B7A-43D3-8B79-37D633B846F1}">
                              <asvg:svgBlip xmlns:asvg="http://schemas.microsoft.com/office/drawing/2016/SVG/main" r:embed="rId61"/>
                            </a:ext>
                          </a:extLst>
                        </a:blip>
                        <a:stretch/>
                      </pic:blipFill>
                      <pic:spPr bwMode="auto">
                        <a:xfrm>
                          <a:off x="0" y="0"/>
                          <a:ext cx="329565" cy="276225"/>
                        </a:xfrm>
                        <a:prstGeom prst="rect">
                          <a:avLst/>
                        </a:prstGeom>
                        <a:solidFill>
                          <a:srgbClr val="FFFFFF"/>
                        </a:solidFill>
                        <a:ln>
                          <a:noFil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69" o:spid="_x0000_s169" type="#_x0000_t75" style="width:25.95pt;height:21.75pt;mso-wrap-distance-left:0.00pt;mso-wrap-distance-top:0.00pt;mso-wrap-distance-right:0.00pt;mso-wrap-distance-bottom:0.00pt;" stroked="f">
                <v:path textboxrect="0,0,0,0"/>
                <v:imagedata r:id="rId60" o:title=""/>
              </v:shape>
            </w:pict>
          </mc:Fallback>
        </mc:AlternateContent>
      </w:r>
      <w:r>
        <w:rPr>
          <w:sz w:val="24"/>
          <w:szCs w:val="24"/>
          <w:lang w:eastAsia="ru-RU"/>
        </w:rPr>
        <w:t xml:space="preserve">– расчетная температура наружного воздуха, </w:t>
      </w:r>
      <w:r>
        <w:rPr>
          <w:sz w:val="24"/>
          <w:szCs w:val="24"/>
          <w:vertAlign w:val="superscript"/>
          <w:lang w:eastAsia="ru-RU"/>
        </w:rPr>
        <w:t xml:space="preserve">о</w:t>
      </w:r>
      <w:r>
        <w:rPr>
          <w:sz w:val="24"/>
          <w:szCs w:val="24"/>
          <w:lang w:eastAsia="ru-RU"/>
        </w:rPr>
        <w:t xml:space="preserve">С;</w:t>
      </w:r>
      <w:r>
        <w:rPr>
          <w:sz w:val="24"/>
          <w:szCs w:val="24"/>
          <w:lang w:eastAsia="ru-RU"/>
        </w:rPr>
      </w:r>
      <w:r>
        <w:rPr>
          <w:sz w:val="24"/>
          <w:szCs w:val="24"/>
          <w:lang w:eastAsia="ru-RU"/>
        </w:rPr>
      </w:r>
    </w:p>
    <w:p>
      <w:pPr>
        <w:ind w:left="142" w:firstLine="709"/>
        <w:jc w:val="both"/>
        <w:rPr>
          <w:sz w:val="24"/>
          <w:szCs w:val="24"/>
          <w:lang w:eastAsia="ru-RU"/>
        </w:rPr>
      </w:pPr>
      <w:r>
        <w:rPr>
          <w:position w:val="-10"/>
          <w:sz w:val="24"/>
          <w:szCs w:val="24"/>
          <w:lang w:eastAsia="ru-RU"/>
        </w:rPr>
        <mc:AlternateContent>
          <mc:Choice Requires="wpg">
            <w:drawing>
              <wp:inline xmlns:wp="http://schemas.openxmlformats.org/drawingml/2006/wordprocessingDrawing" distT="0" distB="0" distL="0" distR="0">
                <wp:extent cx="414655" cy="266065"/>
                <wp:effectExtent l="0" t="0" r="0" b="0"/>
                <wp:docPr id="25"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pic:cNvPicPr>
                        <pic:nvPr/>
                      </pic:nvPicPr>
                      <pic:blipFill>
                        <a:blip r:embed="rId62">
                          <a:extLst>
                            <a:ext uri="{96DAC541-7B7A-43D3-8B79-37D633B846F1}">
                              <asvg:svgBlip xmlns:asvg="http://schemas.microsoft.com/office/drawing/2016/SVG/main" r:embed="rId63"/>
                            </a:ext>
                          </a:extLst>
                        </a:blip>
                        <a:stretch/>
                      </pic:blipFill>
                      <pic:spPr bwMode="auto">
                        <a:xfrm>
                          <a:off x="0" y="0"/>
                          <a:ext cx="414655" cy="266065"/>
                        </a:xfrm>
                        <a:prstGeom prst="rect">
                          <a:avLst/>
                        </a:prstGeom>
                        <a:solidFill>
                          <a:srgbClr val="FFFFFF"/>
                        </a:solidFill>
                        <a:ln>
                          <a:noFil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70" o:spid="_x0000_s170" type="#_x0000_t75" style="width:32.65pt;height:20.95pt;mso-wrap-distance-left:0.00pt;mso-wrap-distance-top:0.00pt;mso-wrap-distance-right:0.00pt;mso-wrap-distance-bottom:0.00pt;" stroked="f">
                <v:path textboxrect="0,0,0,0"/>
                <v:imagedata r:id="rId62" o:title=""/>
              </v:shape>
            </w:pict>
          </mc:Fallback>
        </mc:AlternateContent>
      </w:r>
      <w:r>
        <w:rPr>
          <w:sz w:val="24"/>
          <w:szCs w:val="24"/>
          <w:lang w:eastAsia="ru-RU"/>
        </w:rPr>
        <w:t xml:space="preserve">– расчетная тепловая нагрузка потребителя на систему вентиляции, Гкал/ч;</w:t>
      </w:r>
      <w:r>
        <w:rPr>
          <w:sz w:val="24"/>
          <w:szCs w:val="24"/>
          <w:lang w:eastAsia="ru-RU"/>
        </w:rPr>
      </w:r>
      <w:r>
        <w:rPr>
          <w:sz w:val="24"/>
          <w:szCs w:val="24"/>
          <w:lang w:eastAsia="ru-RU"/>
        </w:rPr>
      </w:r>
    </w:p>
    <w:p>
      <w:pPr>
        <w:ind w:left="142" w:firstLine="709"/>
        <w:jc w:val="both"/>
        <w:rPr>
          <w:sz w:val="24"/>
          <w:szCs w:val="24"/>
          <w:lang w:eastAsia="ru-RU"/>
        </w:rPr>
      </w:pPr>
      <w:r>
        <w:rPr>
          <w:position w:val="-10"/>
          <w:sz w:val="24"/>
          <w:szCs w:val="24"/>
          <w:lang w:eastAsia="ru-RU"/>
        </w:rPr>
        <mc:AlternateContent>
          <mc:Choice Requires="wpg">
            <w:drawing>
              <wp:inline xmlns:wp="http://schemas.openxmlformats.org/drawingml/2006/wordprocessingDrawing" distT="0" distB="0" distL="0" distR="0">
                <wp:extent cx="308610" cy="266065"/>
                <wp:effectExtent l="0" t="0" r="0" b="0"/>
                <wp:docPr id="26"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pic:cNvPicPr>
                        <pic:nvPr/>
                      </pic:nvPicPr>
                      <pic:blipFill>
                        <a:blip r:embed="rId64">
                          <a:extLst>
                            <a:ext uri="{96DAC541-7B7A-43D3-8B79-37D633B846F1}">
                              <asvg:svgBlip xmlns:asvg="http://schemas.microsoft.com/office/drawing/2016/SVG/main" r:embed="rId65"/>
                            </a:ext>
                          </a:extLst>
                        </a:blip>
                        <a:stretch/>
                      </pic:blipFill>
                      <pic:spPr bwMode="auto">
                        <a:xfrm>
                          <a:off x="0" y="0"/>
                          <a:ext cx="308610" cy="266065"/>
                        </a:xfrm>
                        <a:prstGeom prst="rect">
                          <a:avLst/>
                        </a:prstGeom>
                        <a:solidFill>
                          <a:srgbClr val="FFFFFF"/>
                        </a:solidFill>
                        <a:ln>
                          <a:noFil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71" o:spid="_x0000_s171" type="#_x0000_t75" style="width:24.30pt;height:20.95pt;mso-wrap-distance-left:0.00pt;mso-wrap-distance-top:0.00pt;mso-wrap-distance-right:0.00pt;mso-wrap-distance-bottom:0.00pt;" stroked="f">
                <v:path textboxrect="0,0,0,0"/>
                <v:imagedata r:id="rId64" o:title=""/>
              </v:shape>
            </w:pict>
          </mc:Fallback>
        </mc:AlternateContent>
      </w:r>
      <w:r>
        <w:rPr>
          <w:sz w:val="24"/>
          <w:szCs w:val="24"/>
          <w:lang w:eastAsia="ru-RU"/>
        </w:rPr>
        <w:t xml:space="preserve">– средняя тепловая нагрузка потребителя на систему горячего водоснабжения за отопительный период, Гкал/ч.</w:t>
      </w:r>
      <w:r>
        <w:rPr>
          <w:sz w:val="24"/>
          <w:szCs w:val="24"/>
          <w:lang w:eastAsia="ru-RU"/>
        </w:rPr>
      </w:r>
      <w:r>
        <w:rPr>
          <w:sz w:val="24"/>
          <w:szCs w:val="24"/>
          <w:lang w:eastAsia="ru-RU"/>
        </w:rPr>
      </w:r>
    </w:p>
    <w:p>
      <w:pPr>
        <w:ind w:left="142" w:firstLine="709"/>
        <w:jc w:val="both"/>
        <w:rPr>
          <w:sz w:val="24"/>
          <w:szCs w:val="24"/>
          <w:lang w:eastAsia="ru-RU"/>
        </w:rPr>
      </w:pPr>
      <w:r>
        <w:rPr>
          <w:sz w:val="24"/>
          <w:szCs w:val="24"/>
          <w:lang w:eastAsia="ru-RU"/>
        </w:rPr>
      </w:r>
      <w:r>
        <w:rPr>
          <w:sz w:val="24"/>
          <w:szCs w:val="24"/>
          <w:lang w:eastAsia="ru-RU"/>
        </w:rPr>
      </w:r>
      <w:r>
        <w:rPr>
          <w:sz w:val="24"/>
          <w:szCs w:val="24"/>
          <w:lang w:eastAsia="ru-RU"/>
        </w:rPr>
      </w:r>
    </w:p>
    <w:p>
      <w:pPr>
        <w:ind w:left="142" w:firstLine="709"/>
        <w:jc w:val="both"/>
        <w:spacing w:line="360" w:lineRule="auto"/>
        <w:widowControl/>
        <w:tabs>
          <w:tab w:val="left" w:pos="0" w:leader="none"/>
        </w:tabs>
        <w:rPr>
          <w:rFonts w:eastAsia="Calibri"/>
          <w:position w:val="-24"/>
          <w:sz w:val="24"/>
          <w:szCs w:val="24"/>
          <w:lang w:eastAsia="ru-RU"/>
        </w:rPr>
      </w:pPr>
      <w:r>
        <w:rPr>
          <w:rFonts w:eastAsia="Calibri"/>
          <w:position w:val="-12"/>
          <w:sz w:val="24"/>
          <w:szCs w:val="24"/>
          <w:lang w:eastAsia="ru-RU"/>
        </w:rPr>
        <mc:AlternateContent>
          <mc:Choice Requires="wpg">
            <w:drawing>
              <wp:inline xmlns:wp="http://schemas.openxmlformats.org/drawingml/2006/wordprocessingDrawing" distT="0" distB="0" distL="0" distR="0">
                <wp:extent cx="749300" cy="233680"/>
                <wp:effectExtent l="0" t="0" r="0" b="0"/>
                <wp:docPr id="27" name="_x0000_i172"/>
                <wp:cNvGraphicFramePr/>
                <a:graphic xmlns:a="http://schemas.openxmlformats.org/drawingml/2006/main">
                  <a:graphicData uri="http://schemas.openxmlformats.org/drawingml/2006/picture">
                    <pic:pic xmlns:pic="http://schemas.openxmlformats.org/drawingml/2006/picture">
                      <pic:nvPicPr>
                        <pic:cNvPr id="0" name=""/>
                        <pic:cNvPicPr/>
                        <pic:nvPr/>
                      </pic:nvPicPr>
                      <pic:blipFill>
                        <a:blip r:embed="rId66">
                          <a:extLst>
                            <a:ext uri="{96DAC541-7B7A-43D3-8B79-37D633B846F1}">
                              <asvg:svgBlip xmlns:asvg="http://schemas.microsoft.com/office/drawing/2016/SVG/main" r:embed="rId67"/>
                            </a:ext>
                          </a:extLst>
                        </a:blip>
                        <a:stretch/>
                      </pic:blipFill>
                      <pic:spPr bwMode="auto">
                        <a:xfrm>
                          <a:off x="0" y="0"/>
                          <a:ext cx="749300" cy="233680"/>
                        </a:xfrm>
                        <a:prstGeom prst="rect">
                          <a:avLst/>
                        </a:prstGeom>
                        <a:noFill/>
                        <a:ln>
                          <a:noFil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72" o:spid="_x0000_s172" type="#_x0000_t75" style="width:59.00pt;height:18.40pt;mso-wrap-distance-left:0.00pt;mso-wrap-distance-top:0.00pt;mso-wrap-distance-right:0.00pt;mso-wrap-distance-bottom:0.00pt;" stroked="f">
                <v:path textboxrect="0,0,0,0"/>
                <v:imagedata r:id="rId66" o:title=""/>
              </v:shape>
            </w:pict>
          </mc:Fallback>
        </mc:AlternateContent>
      </w:r>
      <w:r>
        <w:rPr>
          <w:rFonts w:eastAsia="Calibri"/>
          <w:sz w:val="24"/>
          <w:szCs w:val="24"/>
          <w:lang w:eastAsia="ru-RU"/>
        </w:rPr>
        <w:t xml:space="preserve"> </w:t>
      </w:r>
      <w:r>
        <w:rPr>
          <w:rFonts w:eastAsia="Calibri"/>
          <w:position w:val="-24"/>
          <w:sz w:val="24"/>
          <w:szCs w:val="24"/>
          <w:lang w:eastAsia="ru-RU"/>
        </w:rPr>
        <w:t xml:space="preserve">где:</w:t>
      </w:r>
      <w:r>
        <w:rPr>
          <w:rFonts w:eastAsia="Calibri"/>
          <w:position w:val="-24"/>
          <w:sz w:val="24"/>
          <w:szCs w:val="24"/>
          <w:lang w:eastAsia="ru-RU"/>
        </w:rPr>
      </w:r>
      <w:r>
        <w:rPr>
          <w:rFonts w:eastAsia="Calibri"/>
          <w:position w:val="-24"/>
          <w:sz w:val="24"/>
          <w:szCs w:val="24"/>
          <w:lang w:eastAsia="ru-RU"/>
        </w:rPr>
      </w:r>
    </w:p>
    <w:p>
      <w:pPr>
        <w:ind w:left="142" w:firstLine="709"/>
        <w:jc w:val="both"/>
        <w:spacing w:line="360" w:lineRule="auto"/>
        <w:widowControl/>
        <w:tabs>
          <w:tab w:val="left" w:pos="0" w:leader="none"/>
        </w:tabs>
        <w:rPr>
          <w:rFonts w:eastAsia="Calibri"/>
          <w:sz w:val="24"/>
          <w:szCs w:val="24"/>
          <w:lang w:eastAsia="ru-RU"/>
        </w:rPr>
      </w:pPr>
      <w:r>
        <w:rPr>
          <w:rFonts w:eastAsia="Calibri"/>
          <w:sz w:val="24"/>
          <w:szCs w:val="24"/>
          <w:lang w:eastAsia="ru-RU"/>
        </w:rPr>
      </w:r>
      <w:r>
        <w:rPr>
          <w:rFonts w:eastAsia="Calibri"/>
          <w:sz w:val="24"/>
          <w:szCs w:val="24"/>
          <w:lang w:eastAsia="ru-RU"/>
        </w:rPr>
      </w:r>
      <w:r>
        <w:rPr>
          <w:rFonts w:eastAsia="Calibri"/>
          <w:sz w:val="24"/>
          <w:szCs w:val="24"/>
          <w:lang w:eastAsia="ru-RU"/>
        </w:rPr>
      </w:r>
    </w:p>
    <w:p>
      <w:pPr>
        <w:ind w:left="142" w:firstLine="709"/>
        <w:jc w:val="both"/>
        <w:rPr>
          <w:sz w:val="24"/>
          <w:szCs w:val="24"/>
        </w:rPr>
      </w:pPr>
      <w:r>
        <w:rPr>
          <w:sz w:val="24"/>
          <w:szCs w:val="24"/>
          <w:lang w:val="en-US" w:eastAsia="ru-RU"/>
        </w:rPr>
        <w:t xml:space="preserve">P</w:t>
      </w:r>
      <w:r>
        <w:rPr>
          <w:sz w:val="24"/>
          <w:szCs w:val="24"/>
          <w:lang w:eastAsia="ru-RU"/>
        </w:rPr>
        <w:t xml:space="preserve"> – вероятность безотказной работы участка тепловой сети относительно абонента.</w:t>
      </w:r>
      <w:r>
        <w:rPr>
          <w:sz w:val="24"/>
          <w:szCs w:val="24"/>
        </w:rPr>
      </w:r>
      <w:r>
        <w:rPr>
          <w:sz w:val="24"/>
          <w:szCs w:val="24"/>
        </w:rPr>
      </w:r>
    </w:p>
    <w:p>
      <w:pPr>
        <w:pStyle w:val="1247"/>
        <w:rPr>
          <w:b/>
          <w:sz w:val="26"/>
        </w:rPr>
      </w:pPr>
      <w:r>
        <w:rPr>
          <w:b/>
          <w:sz w:val="26"/>
        </w:rPr>
      </w:r>
      <w:r>
        <w:rPr>
          <w:b/>
          <w:sz w:val="26"/>
        </w:rPr>
      </w:r>
      <w:r>
        <w:rPr>
          <w:b/>
          <w:sz w:val="26"/>
        </w:rPr>
      </w:r>
    </w:p>
    <w:p>
      <w:pPr>
        <w:pStyle w:val="1247"/>
        <w:rPr>
          <w:b/>
        </w:rPr>
      </w:pPr>
      <w:r/>
      <w:bookmarkStart w:id="570" w:name="_bookmark298"/>
      <w:r/>
      <w:bookmarkEnd w:id="570"/>
      <w:r>
        <w:rPr>
          <w:b/>
        </w:rPr>
      </w:r>
      <w:r>
        <w:rPr>
          <w:b/>
        </w:rPr>
      </w:r>
    </w:p>
    <w:p>
      <w:pPr>
        <w:pStyle w:val="1248"/>
        <w:ind w:right="110" w:firstLine="733"/>
        <w:jc w:val="left"/>
        <w:spacing w:before="0"/>
      </w:pPr>
      <w:r/>
      <w:bookmarkStart w:id="571" w:name="_bookmark299"/>
      <w:r/>
      <w:bookmarkStart w:id="572" w:name="_Toc130232049"/>
      <w:r/>
      <w:bookmarkStart w:id="573" w:name="_Toc165540829"/>
      <w:r/>
      <w:bookmarkEnd w:id="571"/>
      <w:r>
        <w:rPr>
          <w:lang w:eastAsia="ru-RU"/>
        </w:rPr>
        <w:t xml:space="preserve">11.4 </w:t>
      </w:r>
      <w:r>
        <w:t xml:space="preserve">Обоснование результатов оценки коэффициентов готовности теплопроводов к несению тепловой нагрузки</w:t>
      </w:r>
      <w:bookmarkEnd w:id="572"/>
      <w:r/>
      <w:bookmarkEnd w:id="573"/>
      <w:r/>
      <w:r/>
    </w:p>
    <w:p>
      <w:pPr>
        <w:ind w:left="142" w:firstLine="709"/>
        <w:spacing w:before="120"/>
        <w:rPr>
          <w:sz w:val="24"/>
          <w:szCs w:val="24"/>
          <w:lang w:eastAsia="ru-RU"/>
        </w:rPr>
      </w:pPr>
      <w:r>
        <w:rPr>
          <w:sz w:val="24"/>
          <w:szCs w:val="24"/>
          <w:lang w:eastAsia="ru-RU"/>
        </w:rPr>
        <w:t xml:space="preserve">Коэффициент готовности в эксплуатации – это показатель фактического состояния и готовности СЦТ к исправной работе.</w:t>
      </w:r>
      <w:r>
        <w:rPr>
          <w:sz w:val="24"/>
          <w:szCs w:val="24"/>
          <w:lang w:eastAsia="ru-RU"/>
        </w:rPr>
      </w:r>
      <w:r>
        <w:rPr>
          <w:sz w:val="24"/>
          <w:szCs w:val="24"/>
          <w:lang w:eastAsia="ru-RU"/>
        </w:rPr>
      </w:r>
    </w:p>
    <w:p>
      <w:pPr>
        <w:ind w:left="142" w:firstLine="709"/>
        <w:rPr>
          <w:sz w:val="24"/>
          <w:szCs w:val="24"/>
          <w:lang w:eastAsia="ru-RU"/>
        </w:rPr>
      </w:pPr>
      <w:r>
        <w:rPr>
          <w:sz w:val="24"/>
          <w:szCs w:val="24"/>
          <w:lang w:eastAsia="ru-RU"/>
        </w:rPr>
      </w:r>
      <w:r>
        <w:rPr>
          <w:sz w:val="24"/>
          <w:szCs w:val="24"/>
          <w:lang w:eastAsia="ru-RU"/>
        </w:rPr>
      </w:r>
      <w:r>
        <w:rPr>
          <w:sz w:val="24"/>
          <w:szCs w:val="24"/>
          <w:lang w:eastAsia="ru-RU"/>
        </w:rPr>
      </w:r>
    </w:p>
    <w:p>
      <w:pPr>
        <w:ind w:left="142" w:firstLine="709"/>
        <w:jc w:val="center"/>
        <w:spacing w:line="360" w:lineRule="auto"/>
        <w:widowControl/>
        <w:tabs>
          <w:tab w:val="left" w:pos="0" w:leader="none"/>
        </w:tabs>
        <w:rPr>
          <w:rFonts w:eastAsia="Calibri"/>
          <w:sz w:val="24"/>
          <w:szCs w:val="24"/>
          <w:lang w:eastAsia="ru-RU"/>
        </w:rPr>
      </w:pPr>
      <w:r>
        <w:rPr>
          <w:rFonts w:eastAsia="Calibri"/>
          <w:position w:val="-24"/>
          <w:sz w:val="24"/>
          <w:szCs w:val="24"/>
          <w:lang w:eastAsia="ru-RU"/>
        </w:rPr>
        <mc:AlternateContent>
          <mc:Choice Requires="wpg">
            <w:drawing>
              <wp:inline xmlns:wp="http://schemas.openxmlformats.org/drawingml/2006/wordprocessingDrawing" distT="0" distB="0" distL="0" distR="0">
                <wp:extent cx="1779905" cy="379095"/>
                <wp:effectExtent l="0" t="0" r="0" b="0"/>
                <wp:docPr id="28" name="_x0000_i173"/>
                <wp:cNvGraphicFramePr/>
                <a:graphic xmlns:a="http://schemas.openxmlformats.org/drawingml/2006/main">
                  <a:graphicData uri="http://schemas.openxmlformats.org/drawingml/2006/picture">
                    <pic:pic xmlns:pic="http://schemas.openxmlformats.org/drawingml/2006/picture">
                      <pic:nvPicPr>
                        <pic:cNvPr id="0" name=""/>
                        <pic:cNvPicPr/>
                        <pic:nvPr/>
                      </pic:nvPicPr>
                      <pic:blipFill>
                        <a:blip r:embed="rId68">
                          <a:extLst>
                            <a:ext uri="{96DAC541-7B7A-43D3-8B79-37D633B846F1}">
                              <asvg:svgBlip xmlns:asvg="http://schemas.microsoft.com/office/drawing/2016/SVG/main" r:embed="rId69"/>
                            </a:ext>
                          </a:extLst>
                        </a:blip>
                        <a:stretch/>
                      </pic:blipFill>
                      <pic:spPr bwMode="auto">
                        <a:xfrm>
                          <a:off x="0" y="0"/>
                          <a:ext cx="1779905" cy="379095"/>
                        </a:xfrm>
                        <a:prstGeom prst="rect">
                          <a:avLst/>
                        </a:prstGeom>
                        <a:noFill/>
                        <a:ln>
                          <a:noFil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73" o:spid="_x0000_s173" type="#_x0000_t75" style="width:140.15pt;height:29.85pt;mso-wrap-distance-left:0.00pt;mso-wrap-distance-top:0.00pt;mso-wrap-distance-right:0.00pt;mso-wrap-distance-bottom:0.00pt;" stroked="f">
                <v:path textboxrect="0,0,0,0"/>
                <v:imagedata r:id="rId68" o:title=""/>
              </v:shape>
            </w:pict>
          </mc:Fallback>
        </mc:AlternateContent>
      </w:r>
      <w:r>
        <w:rPr>
          <w:rFonts w:eastAsia="Calibri"/>
          <w:sz w:val="24"/>
          <w:szCs w:val="24"/>
          <w:lang w:eastAsia="ru-RU"/>
        </w:rPr>
        <w:t xml:space="preserve"> где:</w:t>
      </w:r>
      <w:r>
        <w:rPr>
          <w:rFonts w:eastAsia="Calibri"/>
          <w:sz w:val="24"/>
          <w:szCs w:val="24"/>
          <w:lang w:eastAsia="ru-RU"/>
        </w:rPr>
      </w:r>
      <w:r>
        <w:rPr>
          <w:rFonts w:eastAsia="Calibri"/>
          <w:sz w:val="24"/>
          <w:szCs w:val="24"/>
          <w:lang w:eastAsia="ru-RU"/>
        </w:rPr>
      </w:r>
    </w:p>
    <w:p>
      <w:pPr>
        <w:ind w:left="142" w:firstLine="709"/>
        <w:rPr>
          <w:sz w:val="24"/>
          <w:szCs w:val="24"/>
          <w:lang w:eastAsia="ru-RU"/>
        </w:rPr>
      </w:pPr>
      <w:r>
        <w:rPr>
          <w:sz w:val="24"/>
          <w:szCs w:val="24"/>
          <w:lang w:eastAsia="ru-RU"/>
        </w:rPr>
      </w:r>
      <w:r>
        <w:rPr>
          <w:sz w:val="24"/>
          <w:szCs w:val="24"/>
          <w:lang w:eastAsia="ru-RU"/>
        </w:rPr>
      </w:r>
      <w:r>
        <w:rPr>
          <w:sz w:val="24"/>
          <w:szCs w:val="24"/>
          <w:lang w:eastAsia="ru-RU"/>
        </w:rPr>
      </w:r>
    </w:p>
    <w:p>
      <w:pPr>
        <w:ind w:left="142" w:firstLine="709"/>
        <w:rPr>
          <w:sz w:val="24"/>
          <w:szCs w:val="24"/>
          <w:lang w:eastAsia="ru-RU"/>
        </w:rPr>
      </w:pPr>
      <w:r>
        <w:rPr>
          <w:sz w:val="24"/>
          <w:szCs w:val="24"/>
          <w:lang w:val="en-US" w:eastAsia="ru-RU"/>
        </w:rPr>
        <w:t xml:space="preserve">z</w:t>
      </w:r>
      <w:r>
        <w:rPr>
          <w:sz w:val="24"/>
          <w:szCs w:val="24"/>
          <w:vertAlign w:val="subscript"/>
          <w:lang w:eastAsia="ru-RU"/>
        </w:rPr>
        <w:t xml:space="preserve">1</w:t>
      </w:r>
      <w:r>
        <w:rPr>
          <w:sz w:val="24"/>
          <w:szCs w:val="24"/>
          <w:lang w:eastAsia="ru-RU"/>
        </w:rPr>
        <w:t xml:space="preserve"> – число часов ожидания неготовности СЦТ в период стояния нерасчетных температур наружного воздуха в данной местности;</w:t>
      </w:r>
      <w:r>
        <w:rPr>
          <w:sz w:val="24"/>
          <w:szCs w:val="24"/>
          <w:lang w:eastAsia="ru-RU"/>
        </w:rPr>
      </w:r>
      <w:r>
        <w:rPr>
          <w:sz w:val="24"/>
          <w:szCs w:val="24"/>
          <w:lang w:eastAsia="ru-RU"/>
        </w:rPr>
      </w:r>
    </w:p>
    <w:p>
      <w:pPr>
        <w:ind w:left="142" w:firstLine="709"/>
        <w:rPr>
          <w:sz w:val="24"/>
          <w:szCs w:val="24"/>
          <w:lang w:eastAsia="ru-RU"/>
        </w:rPr>
      </w:pPr>
      <w:r>
        <w:rPr>
          <w:sz w:val="24"/>
          <w:szCs w:val="24"/>
          <w:lang w:val="en-US" w:eastAsia="ru-RU"/>
        </w:rPr>
        <w:t xml:space="preserve">z</w:t>
      </w:r>
      <w:r>
        <w:rPr>
          <w:sz w:val="24"/>
          <w:szCs w:val="24"/>
          <w:vertAlign w:val="subscript"/>
          <w:lang w:eastAsia="ru-RU"/>
        </w:rPr>
        <w:t xml:space="preserve">2</w:t>
      </w:r>
      <w:r>
        <w:rPr>
          <w:sz w:val="24"/>
          <w:szCs w:val="24"/>
          <w:lang w:eastAsia="ru-RU"/>
        </w:rPr>
        <w:t xml:space="preserve"> – число часов ожидания неготовности источника тепла, принимается по среднестатистическим данным, </w:t>
      </w:r>
      <w:r>
        <w:rPr>
          <w:sz w:val="24"/>
          <w:szCs w:val="24"/>
          <w:lang w:val="en-US" w:eastAsia="ru-RU"/>
        </w:rPr>
        <w:t xml:space="preserve">z</w:t>
      </w:r>
      <w:r>
        <w:rPr>
          <w:sz w:val="24"/>
          <w:szCs w:val="24"/>
          <w:vertAlign w:val="subscript"/>
          <w:lang w:eastAsia="ru-RU"/>
        </w:rPr>
        <w:t xml:space="preserve">2 </w:t>
      </w:r>
      <w:r>
        <w:rPr>
          <w:sz w:val="24"/>
          <w:szCs w:val="24"/>
          <w:u w:val="single"/>
          <w:lang w:eastAsia="ru-RU"/>
        </w:rPr>
        <w:t xml:space="preserve">&lt;</w:t>
      </w:r>
      <w:r>
        <w:rPr>
          <w:sz w:val="24"/>
          <w:szCs w:val="24"/>
          <w:lang w:eastAsia="ru-RU"/>
        </w:rPr>
        <w:t xml:space="preserve"> 50 часов;</w:t>
      </w:r>
      <w:r>
        <w:rPr>
          <w:sz w:val="24"/>
          <w:szCs w:val="24"/>
          <w:lang w:eastAsia="ru-RU"/>
        </w:rPr>
      </w:r>
      <w:r>
        <w:rPr>
          <w:sz w:val="24"/>
          <w:szCs w:val="24"/>
          <w:lang w:eastAsia="ru-RU"/>
        </w:rPr>
      </w:r>
    </w:p>
    <w:p>
      <w:pPr>
        <w:ind w:left="142" w:firstLine="709"/>
        <w:rPr>
          <w:sz w:val="24"/>
          <w:szCs w:val="24"/>
          <w:lang w:eastAsia="ru-RU"/>
        </w:rPr>
      </w:pPr>
      <w:r>
        <w:rPr>
          <w:sz w:val="24"/>
          <w:szCs w:val="24"/>
          <w:lang w:val="en-US" w:eastAsia="ru-RU"/>
        </w:rPr>
        <w:t xml:space="preserve">z</w:t>
      </w:r>
      <w:r>
        <w:rPr>
          <w:sz w:val="24"/>
          <w:szCs w:val="24"/>
          <w:vertAlign w:val="subscript"/>
          <w:lang w:eastAsia="ru-RU"/>
        </w:rPr>
        <w:t xml:space="preserve">3</w:t>
      </w:r>
      <w:r>
        <w:rPr>
          <w:sz w:val="24"/>
          <w:szCs w:val="24"/>
          <w:lang w:eastAsia="ru-RU"/>
        </w:rPr>
        <w:t xml:space="preserve"> – число часов ожидания неготовности тепловых сетей;</w:t>
      </w:r>
      <w:r>
        <w:rPr>
          <w:sz w:val="24"/>
          <w:szCs w:val="24"/>
          <w:lang w:eastAsia="ru-RU"/>
        </w:rPr>
      </w:r>
      <w:r>
        <w:rPr>
          <w:sz w:val="24"/>
          <w:szCs w:val="24"/>
          <w:lang w:eastAsia="ru-RU"/>
        </w:rPr>
      </w:r>
    </w:p>
    <w:p>
      <w:pPr>
        <w:ind w:left="142" w:firstLine="709"/>
        <w:rPr>
          <w:sz w:val="24"/>
          <w:szCs w:val="24"/>
          <w:lang w:eastAsia="ru-RU"/>
        </w:rPr>
      </w:pPr>
      <w:r>
        <w:rPr>
          <w:sz w:val="24"/>
          <w:szCs w:val="24"/>
          <w:lang w:val="en-US" w:eastAsia="ru-RU"/>
        </w:rPr>
        <w:t xml:space="preserve">z</w:t>
      </w:r>
      <w:r>
        <w:rPr>
          <w:sz w:val="24"/>
          <w:szCs w:val="24"/>
          <w:vertAlign w:val="subscript"/>
          <w:lang w:eastAsia="ru-RU"/>
        </w:rPr>
        <w:t xml:space="preserve">4</w:t>
      </w:r>
      <w:r>
        <w:rPr>
          <w:sz w:val="24"/>
          <w:szCs w:val="24"/>
          <w:lang w:eastAsia="ru-RU"/>
        </w:rPr>
        <w:t xml:space="preserve"> – число часов ожидания неготовности абонента, принимается по среднестатистическим данным, </w:t>
      </w:r>
      <w:r>
        <w:rPr>
          <w:sz w:val="24"/>
          <w:szCs w:val="24"/>
          <w:lang w:val="en-US" w:eastAsia="ru-RU"/>
        </w:rPr>
        <w:t xml:space="preserve">z</w:t>
      </w:r>
      <w:r>
        <w:rPr>
          <w:sz w:val="24"/>
          <w:szCs w:val="24"/>
          <w:vertAlign w:val="subscript"/>
          <w:lang w:eastAsia="ru-RU"/>
        </w:rPr>
        <w:t xml:space="preserve">4 </w:t>
      </w:r>
      <w:r>
        <w:rPr>
          <w:sz w:val="24"/>
          <w:szCs w:val="24"/>
          <w:u w:val="single"/>
          <w:lang w:eastAsia="ru-RU"/>
        </w:rPr>
        <w:t xml:space="preserve">&lt;</w:t>
      </w:r>
      <w:r>
        <w:rPr>
          <w:sz w:val="24"/>
          <w:szCs w:val="24"/>
          <w:lang w:eastAsia="ru-RU"/>
        </w:rPr>
        <w:t xml:space="preserve"> 10 часов.</w:t>
      </w:r>
      <w:r>
        <w:rPr>
          <w:sz w:val="24"/>
          <w:szCs w:val="24"/>
          <w:lang w:eastAsia="ru-RU"/>
        </w:rPr>
      </w:r>
      <w:r>
        <w:rPr>
          <w:sz w:val="24"/>
          <w:szCs w:val="24"/>
          <w:lang w:eastAsia="ru-RU"/>
        </w:rPr>
      </w:r>
    </w:p>
    <w:p>
      <w:pPr>
        <w:ind w:left="142" w:firstLine="709"/>
        <w:rPr>
          <w:sz w:val="24"/>
          <w:szCs w:val="24"/>
          <w:lang w:eastAsia="ru-RU"/>
        </w:rPr>
      </w:pPr>
      <w:r>
        <w:rPr>
          <w:sz w:val="24"/>
          <w:szCs w:val="24"/>
          <w:lang w:eastAsia="ru-RU"/>
        </w:rPr>
      </w:r>
      <w:r>
        <w:rPr>
          <w:sz w:val="24"/>
          <w:szCs w:val="24"/>
          <w:lang w:eastAsia="ru-RU"/>
        </w:rPr>
      </w:r>
      <w:r>
        <w:rPr>
          <w:sz w:val="24"/>
          <w:szCs w:val="24"/>
          <w:lang w:eastAsia="ru-RU"/>
        </w:rPr>
      </w:r>
    </w:p>
    <w:p>
      <w:pPr>
        <w:ind w:left="142" w:firstLine="709"/>
        <w:jc w:val="center"/>
        <w:spacing w:line="360" w:lineRule="auto"/>
        <w:widowControl/>
        <w:tabs>
          <w:tab w:val="left" w:pos="0" w:leader="none"/>
        </w:tabs>
        <w:rPr>
          <w:rFonts w:eastAsia="Calibri"/>
          <w:sz w:val="24"/>
          <w:szCs w:val="24"/>
          <w:lang w:eastAsia="ru-RU"/>
        </w:rPr>
      </w:pPr>
      <w:r>
        <w:rPr>
          <w:rFonts w:eastAsia="Calibri"/>
          <w:sz w:val="24"/>
          <w:szCs w:val="24"/>
          <w:lang w:val="en-US" w:eastAsia="ru-RU"/>
        </w:rPr>
        <w:t xml:space="preserve">z</w:t>
      </w:r>
      <w:r>
        <w:rPr>
          <w:rFonts w:eastAsia="Calibri"/>
          <w:sz w:val="24"/>
          <w:szCs w:val="24"/>
          <w:vertAlign w:val="subscript"/>
          <w:lang w:eastAsia="ru-RU"/>
        </w:rPr>
        <w:t xml:space="preserve">3</w:t>
      </w:r>
      <w:r>
        <w:rPr>
          <w:rFonts w:eastAsia="Calibri"/>
          <w:sz w:val="24"/>
          <w:szCs w:val="24"/>
          <w:lang w:eastAsia="ru-RU"/>
        </w:rPr>
        <w:t xml:space="preserve"> = </w:t>
      </w:r>
      <w:r>
        <w:rPr>
          <w:rFonts w:eastAsia="Calibri"/>
          <w:sz w:val="24"/>
          <w:szCs w:val="24"/>
          <w:lang w:val="en-US" w:eastAsia="ru-RU"/>
        </w:rPr>
        <w:t xml:space="preserve">t</w:t>
      </w:r>
      <w:r>
        <w:rPr>
          <w:rFonts w:eastAsia="Calibri"/>
          <w:sz w:val="24"/>
          <w:szCs w:val="24"/>
          <w:vertAlign w:val="subscript"/>
          <w:lang w:eastAsia="ru-RU"/>
        </w:rPr>
        <w:t xml:space="preserve">в</w:t>
      </w:r>
      <w:r>
        <w:rPr>
          <w:rFonts w:eastAsia="Calibri"/>
          <w:sz w:val="24"/>
          <w:szCs w:val="24"/>
          <w:lang w:eastAsia="ru-RU"/>
        </w:rPr>
        <w:t xml:space="preserve"> </w:t>
      </w:r>
      <w:r>
        <w:rPr>
          <w:rFonts w:eastAsia="Calibri"/>
          <w:sz w:val="24"/>
          <w:szCs w:val="24"/>
          <w:lang w:val="en-US" w:eastAsia="ru-RU"/>
        </w:rPr>
        <w:t xml:space="preserve">ω</w:t>
      </w:r>
      <w:r>
        <w:rPr>
          <w:rFonts w:eastAsia="Calibri"/>
          <w:sz w:val="24"/>
          <w:szCs w:val="24"/>
          <w:vertAlign w:val="subscript"/>
          <w:lang w:val="en-US" w:eastAsia="ru-RU"/>
        </w:rPr>
        <w:t xml:space="preserve">E</w:t>
      </w:r>
      <w:r>
        <w:rPr>
          <w:rFonts w:eastAsia="Calibri"/>
          <w:sz w:val="24"/>
          <w:szCs w:val="24"/>
          <w:vertAlign w:val="subscript"/>
          <w:lang w:eastAsia="ru-RU"/>
        </w:rPr>
        <w:t xml:space="preserve">,</w:t>
      </w:r>
      <w:r>
        <w:rPr>
          <w:rFonts w:eastAsia="Calibri"/>
          <w:sz w:val="24"/>
          <w:szCs w:val="24"/>
          <w:vertAlign w:val="subscript"/>
          <w:lang w:val="en-US" w:eastAsia="ru-RU"/>
        </w:rPr>
        <w:t xml:space="preserve">j</w:t>
      </w:r>
      <w:r>
        <w:rPr>
          <w:rFonts w:eastAsia="Calibri"/>
          <w:sz w:val="24"/>
          <w:szCs w:val="24"/>
          <w:lang w:eastAsia="ru-RU"/>
        </w:rPr>
        <w:t xml:space="preserve">, ч, где:</w:t>
      </w:r>
      <w:r>
        <w:rPr>
          <w:rFonts w:eastAsia="Calibri"/>
          <w:sz w:val="24"/>
          <w:szCs w:val="24"/>
          <w:lang w:eastAsia="ru-RU"/>
        </w:rPr>
      </w:r>
      <w:r>
        <w:rPr>
          <w:rFonts w:eastAsia="Calibri"/>
          <w:sz w:val="24"/>
          <w:szCs w:val="24"/>
          <w:lang w:eastAsia="ru-RU"/>
        </w:rPr>
      </w:r>
    </w:p>
    <w:p>
      <w:pPr>
        <w:ind w:left="142" w:firstLine="709"/>
        <w:rPr>
          <w:sz w:val="24"/>
          <w:szCs w:val="24"/>
          <w:lang w:eastAsia="ru-RU"/>
        </w:rPr>
      </w:pPr>
      <w:r>
        <w:rPr>
          <w:sz w:val="24"/>
          <w:szCs w:val="24"/>
          <w:lang w:eastAsia="ru-RU"/>
        </w:rPr>
      </w:r>
      <w:r>
        <w:rPr>
          <w:sz w:val="24"/>
          <w:szCs w:val="24"/>
          <w:lang w:eastAsia="ru-RU"/>
        </w:rPr>
      </w:r>
      <w:r>
        <w:rPr>
          <w:sz w:val="24"/>
          <w:szCs w:val="24"/>
          <w:lang w:eastAsia="ru-RU"/>
        </w:rPr>
      </w:r>
    </w:p>
    <w:p>
      <w:pPr>
        <w:ind w:left="142" w:firstLine="709"/>
        <w:rPr>
          <w:sz w:val="24"/>
          <w:szCs w:val="24"/>
          <w:lang w:eastAsia="ru-RU"/>
        </w:rPr>
      </w:pPr>
      <w:r>
        <w:rPr>
          <w:sz w:val="24"/>
          <w:szCs w:val="24"/>
          <w:lang w:val="en-US" w:eastAsia="ru-RU"/>
        </w:rPr>
        <w:t xml:space="preserve">t</w:t>
      </w:r>
      <w:r>
        <w:rPr>
          <w:sz w:val="24"/>
          <w:szCs w:val="24"/>
          <w:vertAlign w:val="subscript"/>
          <w:lang w:eastAsia="ru-RU"/>
        </w:rPr>
        <w:t xml:space="preserve">в</w:t>
      </w:r>
      <w:r>
        <w:rPr>
          <w:sz w:val="24"/>
          <w:szCs w:val="24"/>
          <w:lang w:eastAsia="ru-RU"/>
        </w:rPr>
        <w:t xml:space="preserve"> – среднее время восстановления теплоснабжения, ч</w:t>
      </w:r>
      <w:r>
        <w:rPr>
          <w:sz w:val="24"/>
          <w:szCs w:val="24"/>
          <w:vertAlign w:val="superscript"/>
          <w:lang w:eastAsia="ru-RU"/>
        </w:rPr>
        <w:footnoteReference w:id="2"/>
      </w:r>
      <w:r>
        <w:rPr>
          <w:sz w:val="24"/>
          <w:szCs w:val="24"/>
          <w:lang w:eastAsia="ru-RU"/>
        </w:rPr>
        <w:t xml:space="preserve">;</w:t>
      </w:r>
      <w:r>
        <w:rPr>
          <w:sz w:val="24"/>
          <w:szCs w:val="24"/>
          <w:lang w:eastAsia="ru-RU"/>
        </w:rPr>
      </w:r>
      <w:r>
        <w:rPr>
          <w:sz w:val="24"/>
          <w:szCs w:val="24"/>
          <w:lang w:eastAsia="ru-RU"/>
        </w:rPr>
      </w:r>
    </w:p>
    <w:p>
      <w:pPr>
        <w:ind w:left="142" w:firstLine="709"/>
        <w:rPr>
          <w:sz w:val="24"/>
          <w:szCs w:val="24"/>
          <w:lang w:eastAsia="ru-RU"/>
        </w:rPr>
      </w:pPr>
      <w:r>
        <w:rPr>
          <w:sz w:val="24"/>
          <w:szCs w:val="24"/>
          <w:lang w:val="en-US" w:eastAsia="ru-RU"/>
        </w:rPr>
        <w:t xml:space="preserve">ω</w:t>
      </w:r>
      <w:r>
        <w:rPr>
          <w:sz w:val="24"/>
          <w:szCs w:val="24"/>
          <w:vertAlign w:val="subscript"/>
          <w:lang w:val="en-US" w:eastAsia="ru-RU"/>
        </w:rPr>
        <w:t xml:space="preserve">E</w:t>
      </w:r>
      <w:r>
        <w:rPr>
          <w:sz w:val="24"/>
          <w:szCs w:val="24"/>
          <w:vertAlign w:val="subscript"/>
          <w:lang w:eastAsia="ru-RU"/>
        </w:rPr>
        <w:t xml:space="preserve">,</w:t>
      </w:r>
      <w:r>
        <w:rPr>
          <w:sz w:val="24"/>
          <w:szCs w:val="24"/>
          <w:vertAlign w:val="subscript"/>
          <w:lang w:val="en-US" w:eastAsia="ru-RU"/>
        </w:rPr>
        <w:t xml:space="preserve">j</w:t>
      </w:r>
      <w:r>
        <w:rPr>
          <w:sz w:val="24"/>
          <w:szCs w:val="24"/>
          <w:lang w:eastAsia="ru-RU"/>
        </w:rPr>
        <w:t xml:space="preserve"> – поток отказов </w:t>
      </w:r>
      <w:r>
        <w:rPr>
          <w:sz w:val="24"/>
          <w:szCs w:val="24"/>
          <w:lang w:val="en-US" w:eastAsia="ru-RU"/>
        </w:rPr>
        <w:t xml:space="preserve">j</w:t>
      </w:r>
      <w:r>
        <w:rPr>
          <w:sz w:val="24"/>
          <w:szCs w:val="24"/>
          <w:lang w:eastAsia="ru-RU"/>
        </w:rPr>
        <w:t xml:space="preserve">-го участка, используемый для вычисления коэффициента готовности.</w:t>
      </w:r>
      <w:r>
        <w:rPr>
          <w:sz w:val="24"/>
          <w:szCs w:val="24"/>
          <w:lang w:eastAsia="ru-RU"/>
        </w:rPr>
      </w:r>
      <w:r>
        <w:rPr>
          <w:sz w:val="24"/>
          <w:szCs w:val="24"/>
          <w:lang w:eastAsia="ru-RU"/>
        </w:rPr>
      </w:r>
    </w:p>
    <w:p>
      <w:pPr>
        <w:ind w:left="142" w:firstLine="709"/>
        <w:rPr>
          <w:sz w:val="24"/>
          <w:szCs w:val="24"/>
          <w:lang w:eastAsia="ru-RU"/>
        </w:rPr>
      </w:pPr>
      <w:r>
        <w:rPr>
          <w:sz w:val="24"/>
          <w:szCs w:val="24"/>
          <w:lang w:eastAsia="ru-RU"/>
        </w:rPr>
        <w:t xml:space="preserve">Среднее время восстановления теплоснабжения, </w:t>
      </w:r>
      <w:r>
        <w:rPr>
          <w:sz w:val="24"/>
          <w:szCs w:val="24"/>
          <w:lang w:val="en-US" w:eastAsia="ru-RU"/>
        </w:rPr>
        <w:t xml:space="preserve">t</w:t>
      </w:r>
      <w:r>
        <w:rPr>
          <w:sz w:val="24"/>
          <w:szCs w:val="24"/>
          <w:vertAlign w:val="subscript"/>
          <w:lang w:eastAsia="ru-RU"/>
        </w:rPr>
        <w:t xml:space="preserve">в</w:t>
      </w:r>
      <w:r>
        <w:rPr>
          <w:sz w:val="24"/>
          <w:szCs w:val="24"/>
          <w:lang w:eastAsia="ru-RU"/>
        </w:rPr>
        <w:t xml:space="preserve">, было принято по СНиП 41-02-2003, табл. 2. Для трубопроводов малых диаметров (меньше 300 мм) среднее время восстановления теплоснабжения было рассчитано по эмпирической формуле, полученной МИСИ в результате исследований</w:t>
      </w:r>
      <w:r>
        <w:rPr>
          <w:sz w:val="24"/>
          <w:szCs w:val="24"/>
          <w:vertAlign w:val="superscript"/>
          <w:lang w:eastAsia="ru-RU"/>
        </w:rPr>
        <w:footnoteReference w:id="3"/>
      </w:r>
      <w:r>
        <w:rPr>
          <w:sz w:val="24"/>
          <w:szCs w:val="24"/>
          <w:lang w:eastAsia="ru-RU"/>
        </w:rPr>
        <w:t xml:space="preserve">.</w:t>
      </w:r>
      <w:r>
        <w:rPr>
          <w:sz w:val="24"/>
          <w:szCs w:val="24"/>
          <w:lang w:eastAsia="ru-RU"/>
        </w:rPr>
      </w:r>
      <w:r>
        <w:rPr>
          <w:sz w:val="24"/>
          <w:szCs w:val="24"/>
          <w:lang w:eastAsia="ru-RU"/>
        </w:rPr>
      </w:r>
    </w:p>
    <w:p>
      <w:pPr>
        <w:ind w:left="142" w:firstLine="709"/>
        <w:rPr>
          <w:sz w:val="24"/>
          <w:szCs w:val="24"/>
          <w:lang w:eastAsia="ru-RU"/>
        </w:rPr>
      </w:pPr>
      <w:r>
        <w:rPr>
          <w:sz w:val="24"/>
          <w:szCs w:val="24"/>
          <w:lang w:eastAsia="ru-RU"/>
        </w:rPr>
      </w:r>
      <w:r>
        <w:rPr>
          <w:sz w:val="24"/>
          <w:szCs w:val="24"/>
          <w:lang w:eastAsia="ru-RU"/>
        </w:rPr>
      </w:r>
      <w:r>
        <w:rPr>
          <w:sz w:val="24"/>
          <w:szCs w:val="24"/>
          <w:lang w:eastAsia="ru-RU"/>
        </w:rPr>
      </w:r>
    </w:p>
    <w:p>
      <w:pPr>
        <w:ind w:left="142" w:firstLine="709"/>
        <w:jc w:val="center"/>
        <w:spacing w:line="360" w:lineRule="auto"/>
        <w:widowControl/>
        <w:tabs>
          <w:tab w:val="left" w:pos="0" w:leader="none"/>
        </w:tabs>
        <w:rPr>
          <w:rFonts w:eastAsia="Calibri"/>
          <w:sz w:val="24"/>
          <w:szCs w:val="24"/>
          <w:lang w:eastAsia="ru-RU"/>
        </w:rPr>
      </w:pPr>
      <w:r>
        <w:rPr>
          <w:rFonts w:eastAsia="Calibri"/>
          <w:sz w:val="24"/>
          <w:szCs w:val="24"/>
          <w:lang w:val="en-US" w:eastAsia="ru-RU"/>
        </w:rPr>
        <w:t xml:space="preserve">t</w:t>
      </w:r>
      <w:r>
        <w:rPr>
          <w:rFonts w:eastAsia="Calibri"/>
          <w:sz w:val="24"/>
          <w:szCs w:val="24"/>
          <w:vertAlign w:val="subscript"/>
          <w:lang w:eastAsia="ru-RU"/>
        </w:rPr>
        <w:t xml:space="preserve">в,</w:t>
      </w:r>
      <w:r>
        <w:rPr>
          <w:rFonts w:eastAsia="Calibri"/>
          <w:sz w:val="24"/>
          <w:szCs w:val="24"/>
          <w:vertAlign w:val="subscript"/>
          <w:lang w:val="en-US" w:eastAsia="ru-RU"/>
        </w:rPr>
        <w:t xml:space="preserve">j</w:t>
      </w:r>
      <w:r>
        <w:rPr>
          <w:rFonts w:eastAsia="Calibri"/>
          <w:sz w:val="24"/>
          <w:szCs w:val="24"/>
          <w:lang w:eastAsia="ru-RU"/>
        </w:rPr>
        <w:t xml:space="preserve"> = 5,06 + 14,93 </w:t>
      </w:r>
      <w:r>
        <w:rPr>
          <w:rFonts w:eastAsia="Calibri"/>
          <w:sz w:val="24"/>
          <w:szCs w:val="24"/>
          <w:lang w:val="en-US" w:eastAsia="ru-RU"/>
        </w:rPr>
        <w:t xml:space="preserve">d</w:t>
      </w:r>
      <w:r>
        <w:rPr>
          <w:rFonts w:eastAsia="Calibri"/>
          <w:sz w:val="24"/>
          <w:szCs w:val="24"/>
          <w:vertAlign w:val="subscript"/>
          <w:lang w:val="en-US" w:eastAsia="ru-RU"/>
        </w:rPr>
        <w:t xml:space="preserve">j</w:t>
      </w:r>
      <w:r>
        <w:rPr>
          <w:rFonts w:eastAsia="Calibri"/>
          <w:sz w:val="24"/>
          <w:szCs w:val="24"/>
          <w:lang w:eastAsia="ru-RU"/>
        </w:rPr>
        <w:t xml:space="preserve">, ч, где:</w:t>
      </w:r>
      <w:r>
        <w:rPr>
          <w:rFonts w:eastAsia="Calibri"/>
          <w:sz w:val="24"/>
          <w:szCs w:val="24"/>
          <w:lang w:eastAsia="ru-RU"/>
        </w:rPr>
      </w:r>
      <w:r>
        <w:rPr>
          <w:rFonts w:eastAsia="Calibri"/>
          <w:sz w:val="24"/>
          <w:szCs w:val="24"/>
          <w:lang w:eastAsia="ru-RU"/>
        </w:rPr>
      </w:r>
    </w:p>
    <w:p>
      <w:pPr>
        <w:ind w:left="142" w:firstLine="709"/>
        <w:rPr>
          <w:sz w:val="24"/>
          <w:szCs w:val="24"/>
          <w:lang w:eastAsia="ru-RU"/>
        </w:rPr>
      </w:pPr>
      <w:r>
        <w:rPr>
          <w:sz w:val="24"/>
          <w:szCs w:val="24"/>
          <w:lang w:eastAsia="ru-RU"/>
        </w:rPr>
      </w:r>
      <w:r>
        <w:rPr>
          <w:sz w:val="24"/>
          <w:szCs w:val="24"/>
          <w:lang w:eastAsia="ru-RU"/>
        </w:rPr>
      </w:r>
      <w:r>
        <w:rPr>
          <w:sz w:val="24"/>
          <w:szCs w:val="24"/>
          <w:lang w:eastAsia="ru-RU"/>
        </w:rPr>
      </w:r>
    </w:p>
    <w:p>
      <w:pPr>
        <w:ind w:left="142" w:firstLine="709"/>
        <w:rPr>
          <w:sz w:val="24"/>
          <w:szCs w:val="24"/>
          <w:lang w:eastAsia="ru-RU"/>
        </w:rPr>
      </w:pPr>
      <w:r>
        <w:rPr>
          <w:sz w:val="24"/>
          <w:szCs w:val="24"/>
          <w:lang w:val="en-US" w:eastAsia="ru-RU"/>
        </w:rPr>
        <w:t xml:space="preserve">d</w:t>
      </w:r>
      <w:r>
        <w:rPr>
          <w:sz w:val="24"/>
          <w:szCs w:val="24"/>
          <w:vertAlign w:val="subscript"/>
          <w:lang w:val="en-US" w:eastAsia="ru-RU"/>
        </w:rPr>
        <w:t xml:space="preserve">j</w:t>
      </w:r>
      <w:r>
        <w:rPr>
          <w:sz w:val="24"/>
          <w:szCs w:val="24"/>
          <w:lang w:eastAsia="ru-RU"/>
        </w:rPr>
        <w:t xml:space="preserve"> – диаметр </w:t>
      </w:r>
      <w:r>
        <w:rPr>
          <w:sz w:val="24"/>
          <w:szCs w:val="24"/>
          <w:lang w:val="en-US" w:eastAsia="ru-RU"/>
        </w:rPr>
        <w:t xml:space="preserve">j</w:t>
      </w:r>
      <w:r>
        <w:rPr>
          <w:sz w:val="24"/>
          <w:szCs w:val="24"/>
          <w:lang w:eastAsia="ru-RU"/>
        </w:rPr>
        <w:t xml:space="preserve">-го участка, м.</w:t>
      </w:r>
      <w:r>
        <w:rPr>
          <w:sz w:val="24"/>
          <w:szCs w:val="24"/>
          <w:lang w:eastAsia="ru-RU"/>
        </w:rPr>
      </w:r>
      <w:r>
        <w:rPr>
          <w:sz w:val="24"/>
          <w:szCs w:val="24"/>
          <w:lang w:eastAsia="ru-RU"/>
        </w:rPr>
      </w:r>
    </w:p>
    <w:p>
      <w:pPr>
        <w:ind w:left="142" w:firstLine="709"/>
        <w:rPr>
          <w:sz w:val="24"/>
          <w:szCs w:val="24"/>
          <w:lang w:eastAsia="ru-RU"/>
        </w:rPr>
      </w:pPr>
      <w:r>
        <w:rPr>
          <w:sz w:val="24"/>
          <w:szCs w:val="24"/>
          <w:lang w:eastAsia="ru-RU"/>
        </w:rPr>
      </w:r>
      <w:r>
        <w:rPr>
          <w:sz w:val="24"/>
          <w:szCs w:val="24"/>
          <w:lang w:eastAsia="ru-RU"/>
        </w:rPr>
      </w:r>
      <w:r>
        <w:rPr>
          <w:sz w:val="24"/>
          <w:szCs w:val="24"/>
          <w:lang w:eastAsia="ru-RU"/>
        </w:rPr>
      </w:r>
    </w:p>
    <w:p>
      <w:pPr>
        <w:ind w:left="142" w:firstLine="709"/>
        <w:jc w:val="center"/>
        <w:spacing w:line="360" w:lineRule="auto"/>
        <w:widowControl/>
        <w:tabs>
          <w:tab w:val="left" w:pos="0" w:leader="none"/>
        </w:tabs>
        <w:rPr>
          <w:rFonts w:eastAsia="Calibri"/>
          <w:sz w:val="24"/>
          <w:szCs w:val="24"/>
          <w:lang w:eastAsia="ru-RU"/>
        </w:rPr>
      </w:pPr>
      <w:r>
        <w:rPr>
          <w:rFonts w:eastAsia="Calibri"/>
          <w:position w:val="-14"/>
          <w:sz w:val="24"/>
          <w:szCs w:val="24"/>
          <w:lang w:eastAsia="ru-RU"/>
        </w:rPr>
        <mc:AlternateContent>
          <mc:Choice Requires="wpg">
            <w:drawing>
              <wp:inline xmlns:wp="http://schemas.openxmlformats.org/drawingml/2006/wordprocessingDrawing" distT="0" distB="0" distL="0" distR="0">
                <wp:extent cx="1235710" cy="252730"/>
                <wp:effectExtent l="0" t="0" r="0" b="0"/>
                <wp:docPr id="29" name="_x0000_i174"/>
                <wp:cNvGraphicFramePr/>
                <a:graphic xmlns:a="http://schemas.openxmlformats.org/drawingml/2006/main">
                  <a:graphicData uri="http://schemas.openxmlformats.org/drawingml/2006/picture">
                    <pic:pic xmlns:pic="http://schemas.openxmlformats.org/drawingml/2006/picture">
                      <pic:nvPicPr>
                        <pic:cNvPr id="0" name=""/>
                        <pic:cNvPicPr/>
                        <pic:nvPr/>
                      </pic:nvPicPr>
                      <pic:blipFill>
                        <a:blip r:embed="rId70">
                          <a:extLst>
                            <a:ext uri="{96DAC541-7B7A-43D3-8B79-37D633B846F1}">
                              <asvg:svgBlip xmlns:asvg="http://schemas.microsoft.com/office/drawing/2016/SVG/main" r:embed="rId71"/>
                            </a:ext>
                          </a:extLst>
                        </a:blip>
                        <a:stretch/>
                      </pic:blipFill>
                      <pic:spPr bwMode="auto">
                        <a:xfrm>
                          <a:off x="0" y="0"/>
                          <a:ext cx="1235710" cy="252730"/>
                        </a:xfrm>
                        <a:prstGeom prst="rect">
                          <a:avLst/>
                        </a:prstGeom>
                        <a:noFill/>
                        <a:ln>
                          <a:noFil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74" o:spid="_x0000_s174" type="#_x0000_t75" style="width:97.30pt;height:19.90pt;mso-wrap-distance-left:0.00pt;mso-wrap-distance-top:0.00pt;mso-wrap-distance-right:0.00pt;mso-wrap-distance-bottom:0.00pt;" stroked="f">
                <v:path textboxrect="0,0,0,0"/>
                <v:imagedata r:id="rId70" o:title=""/>
              </v:shape>
            </w:pict>
          </mc:Fallback>
        </mc:AlternateContent>
      </w:r>
      <w:r>
        <w:rPr>
          <w:rFonts w:eastAsia="Calibri"/>
          <w:position w:val="-18"/>
          <w:sz w:val="24"/>
          <w:szCs w:val="24"/>
          <w:lang w:eastAsia="ru-RU"/>
        </w:rPr>
        <w:t xml:space="preserve"> </w:t>
      </w:r>
      <w:r>
        <w:rPr>
          <w:rFonts w:eastAsia="Calibri"/>
          <w:sz w:val="24"/>
          <w:szCs w:val="24"/>
          <w:lang w:eastAsia="ru-RU"/>
        </w:rPr>
        <w:t xml:space="preserve">где:</w:t>
      </w:r>
      <w:r>
        <w:rPr>
          <w:rFonts w:eastAsia="Calibri"/>
          <w:sz w:val="24"/>
          <w:szCs w:val="24"/>
          <w:lang w:eastAsia="ru-RU"/>
        </w:rPr>
      </w:r>
      <w:r>
        <w:rPr>
          <w:rFonts w:eastAsia="Calibri"/>
          <w:sz w:val="24"/>
          <w:szCs w:val="24"/>
          <w:lang w:eastAsia="ru-RU"/>
        </w:rPr>
      </w:r>
    </w:p>
    <w:p>
      <w:pPr>
        <w:ind w:left="142" w:firstLine="709"/>
        <w:jc w:val="center"/>
        <w:spacing w:line="360" w:lineRule="auto"/>
        <w:widowControl/>
        <w:tabs>
          <w:tab w:val="left" w:pos="0" w:leader="none"/>
        </w:tabs>
        <w:rPr>
          <w:rFonts w:eastAsia="Calibri"/>
          <w:position w:val="-18"/>
          <w:sz w:val="24"/>
          <w:szCs w:val="24"/>
          <w:lang w:eastAsia="ru-RU"/>
        </w:rPr>
      </w:pPr>
      <w:r>
        <w:rPr>
          <w:rFonts w:eastAsia="Calibri"/>
          <w:position w:val="-18"/>
          <w:sz w:val="24"/>
          <w:szCs w:val="24"/>
          <w:lang w:eastAsia="ru-RU"/>
        </w:rPr>
      </w:r>
      <w:r>
        <w:rPr>
          <w:rFonts w:eastAsia="Calibri"/>
          <w:position w:val="-18"/>
          <w:sz w:val="24"/>
          <w:szCs w:val="24"/>
          <w:lang w:eastAsia="ru-RU"/>
        </w:rPr>
      </w:r>
      <w:r>
        <w:rPr>
          <w:rFonts w:eastAsia="Calibri"/>
          <w:position w:val="-18"/>
          <w:sz w:val="24"/>
          <w:szCs w:val="24"/>
          <w:lang w:eastAsia="ru-RU"/>
        </w:rPr>
      </w:r>
    </w:p>
    <w:p>
      <w:pPr>
        <w:ind w:left="142" w:firstLine="709"/>
        <w:rPr>
          <w:sz w:val="24"/>
          <w:szCs w:val="24"/>
          <w:lang w:eastAsia="ru-RU"/>
        </w:rPr>
      </w:pPr>
      <w:r>
        <w:rPr>
          <w:position w:val="-14"/>
          <w:sz w:val="24"/>
          <w:szCs w:val="24"/>
          <w:lang w:eastAsia="ru-RU"/>
        </w:rPr>
        <mc:AlternateContent>
          <mc:Choice Requires="wpg">
            <w:drawing>
              <wp:inline xmlns:wp="http://schemas.openxmlformats.org/drawingml/2006/wordprocessingDrawing" distT="0" distB="0" distL="0" distR="0">
                <wp:extent cx="398780" cy="252730"/>
                <wp:effectExtent l="0" t="0" r="0" b="0"/>
                <wp:docPr id="30" name="_x0000_i175"/>
                <wp:cNvGraphicFramePr/>
                <a:graphic xmlns:a="http://schemas.openxmlformats.org/drawingml/2006/main">
                  <a:graphicData uri="http://schemas.openxmlformats.org/drawingml/2006/picture">
                    <pic:pic xmlns:pic="http://schemas.openxmlformats.org/drawingml/2006/picture">
                      <pic:nvPicPr>
                        <pic:cNvPr id="0" name=""/>
                        <pic:cNvPicPr/>
                        <pic:nvPr/>
                      </pic:nvPicPr>
                      <pic:blipFill>
                        <a:blip r:embed="rId72">
                          <a:extLst>
                            <a:ext uri="{96DAC541-7B7A-43D3-8B79-37D633B846F1}">
                              <asvg:svgBlip xmlns:asvg="http://schemas.microsoft.com/office/drawing/2016/SVG/main" r:embed="rId73"/>
                            </a:ext>
                          </a:extLst>
                        </a:blip>
                        <a:stretch/>
                      </pic:blipFill>
                      <pic:spPr bwMode="auto">
                        <a:xfrm>
                          <a:off x="0" y="0"/>
                          <a:ext cx="398780" cy="252730"/>
                        </a:xfrm>
                        <a:prstGeom prst="rect">
                          <a:avLst/>
                        </a:prstGeom>
                        <a:noFill/>
                        <a:ln>
                          <a:noFill/>
                          <a:beve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75" o:spid="_x0000_s175" type="#_x0000_t75" style="width:31.40pt;height:19.90pt;mso-wrap-distance-left:0.00pt;mso-wrap-distance-top:0.00pt;mso-wrap-distance-right:0.00pt;mso-wrap-distance-bottom:0.00pt;" stroked="f">
                <v:path textboxrect="0,0,0,0"/>
                <v:imagedata r:id="rId72" o:title=""/>
              </v:shape>
            </w:pict>
          </mc:Fallback>
        </mc:AlternateContent>
      </w:r>
      <w:r>
        <w:rPr>
          <w:sz w:val="24"/>
          <w:szCs w:val="24"/>
          <w:lang w:eastAsia="ru-RU"/>
        </w:rPr>
        <w:t xml:space="preserve">– удельный поток отказов </w:t>
      </w:r>
      <w:r>
        <w:rPr>
          <w:sz w:val="24"/>
          <w:szCs w:val="24"/>
          <w:lang w:val="en-US" w:eastAsia="ru-RU"/>
        </w:rPr>
        <w:t xml:space="preserve">j</w:t>
      </w:r>
      <w:r>
        <w:rPr>
          <w:sz w:val="24"/>
          <w:szCs w:val="24"/>
          <w:lang w:eastAsia="ru-RU"/>
        </w:rPr>
        <w:t xml:space="preserve">-го участка, используемый для вычисления  коэффициента готовности,</w:t>
      </w:r>
      <w:r>
        <w:rPr>
          <w:position w:val="-30"/>
          <w:sz w:val="24"/>
          <w:szCs w:val="24"/>
          <w:lang w:eastAsia="ru-RU"/>
        </w:rPr>
        <w:t xml:space="preserve"> </w:t>
      </w:r>
      <w:r>
        <w:rPr>
          <w:position w:val="-24"/>
          <w:sz w:val="24"/>
          <w:szCs w:val="24"/>
          <w:lang w:eastAsia="ru-RU"/>
        </w:rPr>
        <mc:AlternateContent>
          <mc:Choice Requires="wpg">
            <w:drawing>
              <wp:inline xmlns:wp="http://schemas.openxmlformats.org/drawingml/2006/wordprocessingDrawing" distT="0" distB="0" distL="0" distR="0">
                <wp:extent cx="535305" cy="379095"/>
                <wp:effectExtent l="0" t="0" r="0" b="0"/>
                <wp:docPr id="31" name="_x0000_i176"/>
                <wp:cNvGraphicFramePr/>
                <a:graphic xmlns:a="http://schemas.openxmlformats.org/drawingml/2006/main">
                  <a:graphicData uri="http://schemas.openxmlformats.org/drawingml/2006/picture">
                    <pic:pic xmlns:pic="http://schemas.openxmlformats.org/drawingml/2006/picture">
                      <pic:nvPicPr>
                        <pic:cNvPr id="0" name=""/>
                        <pic:cNvPicPr/>
                        <pic:nvPr/>
                      </pic:nvPicPr>
                      <pic:blipFill>
                        <a:blip r:embed="rId74">
                          <a:extLst>
                            <a:ext uri="{96DAC541-7B7A-43D3-8B79-37D633B846F1}">
                              <asvg:svgBlip xmlns:asvg="http://schemas.microsoft.com/office/drawing/2016/SVG/main" r:embed="rId75"/>
                            </a:ext>
                          </a:extLst>
                        </a:blip>
                        <a:stretch/>
                      </pic:blipFill>
                      <pic:spPr bwMode="auto">
                        <a:xfrm>
                          <a:off x="0" y="0"/>
                          <a:ext cx="535305" cy="379095"/>
                        </a:xfrm>
                        <a:prstGeom prst="rect">
                          <a:avLst/>
                        </a:prstGeom>
                        <a:noFill/>
                        <a:ln>
                          <a:noFil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76" o:spid="_x0000_s176" type="#_x0000_t75" style="width:42.15pt;height:29.85pt;mso-wrap-distance-left:0.00pt;mso-wrap-distance-top:0.00pt;mso-wrap-distance-right:0.00pt;mso-wrap-distance-bottom:0.00pt;" stroked="f">
                <v:path textboxrect="0,0,0,0"/>
                <v:imagedata r:id="rId74" o:title=""/>
              </v:shape>
            </w:pict>
          </mc:Fallback>
        </mc:AlternateContent>
      </w:r>
      <w:r>
        <w:rPr>
          <w:sz w:val="24"/>
          <w:szCs w:val="24"/>
          <w:lang w:eastAsia="ru-RU"/>
        </w:rPr>
        <w:t xml:space="preserve">;</w:t>
      </w:r>
      <w:r>
        <w:rPr>
          <w:sz w:val="24"/>
          <w:szCs w:val="24"/>
          <w:lang w:eastAsia="ru-RU"/>
        </w:rPr>
      </w:r>
      <w:r>
        <w:rPr>
          <w:sz w:val="24"/>
          <w:szCs w:val="24"/>
          <w:lang w:eastAsia="ru-RU"/>
        </w:rPr>
      </w:r>
    </w:p>
    <w:p>
      <w:pPr>
        <w:ind w:left="142" w:firstLine="709"/>
        <w:rPr>
          <w:sz w:val="24"/>
          <w:szCs w:val="24"/>
          <w:lang w:eastAsia="ru-RU"/>
        </w:rPr>
      </w:pPr>
      <w:r>
        <w:rPr>
          <w:sz w:val="24"/>
          <w:szCs w:val="24"/>
          <w:lang w:val="en-US" w:eastAsia="ru-RU"/>
        </w:rPr>
        <w:t xml:space="preserve">l</w:t>
      </w:r>
      <w:r>
        <w:rPr>
          <w:sz w:val="24"/>
          <w:szCs w:val="24"/>
          <w:vertAlign w:val="subscript"/>
          <w:lang w:val="en-US" w:eastAsia="ru-RU"/>
        </w:rPr>
        <w:t xml:space="preserve">j</w:t>
      </w:r>
      <w:r>
        <w:rPr>
          <w:sz w:val="24"/>
          <w:szCs w:val="24"/>
          <w:lang w:eastAsia="ru-RU"/>
        </w:rPr>
        <w:t xml:space="preserve"> – длина </w:t>
      </w:r>
      <w:r>
        <w:rPr>
          <w:sz w:val="24"/>
          <w:szCs w:val="24"/>
          <w:lang w:val="en-US" w:eastAsia="ru-RU"/>
        </w:rPr>
        <w:t xml:space="preserve">j</w:t>
      </w:r>
      <w:r>
        <w:rPr>
          <w:sz w:val="24"/>
          <w:szCs w:val="24"/>
          <w:lang w:eastAsia="ru-RU"/>
        </w:rPr>
        <w:t xml:space="preserve">-го участка, км;</w:t>
      </w:r>
      <w:r>
        <w:rPr>
          <w:sz w:val="24"/>
          <w:szCs w:val="24"/>
          <w:lang w:eastAsia="ru-RU"/>
        </w:rPr>
      </w:r>
      <w:r>
        <w:rPr>
          <w:sz w:val="24"/>
          <w:szCs w:val="24"/>
          <w:lang w:eastAsia="ru-RU"/>
        </w:rPr>
      </w:r>
    </w:p>
    <w:p>
      <w:pPr>
        <w:ind w:left="142" w:firstLine="709"/>
        <w:rPr>
          <w:sz w:val="24"/>
          <w:szCs w:val="24"/>
          <w:lang w:eastAsia="ru-RU"/>
        </w:rPr>
      </w:pPr>
      <w:r>
        <w:rPr>
          <w:sz w:val="24"/>
          <w:szCs w:val="24"/>
          <w:lang w:eastAsia="ru-RU"/>
        </w:rPr>
        <w:t xml:space="preserve">τ – продолжительность отопительного сезона, ч.</w:t>
      </w:r>
      <w:r>
        <w:rPr>
          <w:sz w:val="24"/>
          <w:szCs w:val="24"/>
          <w:lang w:eastAsia="ru-RU"/>
        </w:rPr>
      </w:r>
      <w:r>
        <w:rPr>
          <w:sz w:val="24"/>
          <w:szCs w:val="24"/>
          <w:lang w:eastAsia="ru-RU"/>
        </w:rPr>
      </w:r>
    </w:p>
    <w:p>
      <w:pPr>
        <w:ind w:left="142" w:firstLine="709"/>
        <w:jc w:val="center"/>
        <w:spacing w:line="360" w:lineRule="auto"/>
        <w:widowControl/>
        <w:tabs>
          <w:tab w:val="left" w:pos="0" w:leader="none"/>
        </w:tabs>
        <w:rPr>
          <w:rFonts w:eastAsia="Calibri"/>
          <w:sz w:val="24"/>
          <w:szCs w:val="24"/>
          <w:lang w:eastAsia="ru-RU"/>
        </w:rPr>
      </w:pPr>
      <w:r>
        <w:rPr>
          <w:rFonts w:eastAsia="Calibri"/>
          <w:position w:val="-24"/>
          <w:sz w:val="24"/>
          <w:szCs w:val="24"/>
          <w:lang w:eastAsia="ru-RU"/>
        </w:rPr>
        <mc:AlternateContent>
          <mc:Choice Requires="wpg">
            <w:drawing>
              <wp:inline xmlns:wp="http://schemas.openxmlformats.org/drawingml/2006/wordprocessingDrawing" distT="0" distB="0" distL="0" distR="0">
                <wp:extent cx="2353945" cy="379095"/>
                <wp:effectExtent l="0" t="0" r="0" b="0"/>
                <wp:docPr id="32" name="_x0000_i177"/>
                <wp:cNvGraphicFramePr/>
                <a:graphic xmlns:a="http://schemas.openxmlformats.org/drawingml/2006/main">
                  <a:graphicData uri="http://schemas.openxmlformats.org/drawingml/2006/picture">
                    <pic:pic xmlns:pic="http://schemas.openxmlformats.org/drawingml/2006/picture">
                      <pic:nvPicPr>
                        <pic:cNvPr id="0" name=""/>
                        <pic:cNvPicPr/>
                        <pic:nvPr/>
                      </pic:nvPicPr>
                      <pic:blipFill>
                        <a:blip r:embed="rId76">
                          <a:extLst>
                            <a:ext uri="{96DAC541-7B7A-43D3-8B79-37D633B846F1}">
                              <asvg:svgBlip xmlns:asvg="http://schemas.microsoft.com/office/drawing/2016/SVG/main" r:embed="rId77"/>
                            </a:ext>
                          </a:extLst>
                        </a:blip>
                        <a:stretch/>
                      </pic:blipFill>
                      <pic:spPr bwMode="auto">
                        <a:xfrm>
                          <a:off x="0" y="0"/>
                          <a:ext cx="2353944" cy="379095"/>
                        </a:xfrm>
                        <a:prstGeom prst="rect">
                          <a:avLst/>
                        </a:prstGeom>
                        <a:noFill/>
                        <a:ln>
                          <a:noFil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77" o:spid="_x0000_s177" type="#_x0000_t75" style="width:185.35pt;height:29.85pt;mso-wrap-distance-left:0.00pt;mso-wrap-distance-top:0.00pt;mso-wrap-distance-right:0.00pt;mso-wrap-distance-bottom:0.00pt;" stroked="f">
                <v:path textboxrect="0,0,0,0"/>
                <v:imagedata r:id="rId76" o:title=""/>
              </v:shape>
            </w:pict>
          </mc:Fallback>
        </mc:AlternateContent>
      </w:r>
      <w:r>
        <w:rPr>
          <w:rFonts w:eastAsia="Calibri"/>
          <w:sz w:val="24"/>
          <w:szCs w:val="24"/>
          <w:lang w:eastAsia="ru-RU"/>
        </w:rPr>
        <w:t xml:space="preserve"> где:</w:t>
      </w:r>
      <w:r>
        <w:rPr>
          <w:rFonts w:eastAsia="Calibri"/>
          <w:sz w:val="24"/>
          <w:szCs w:val="24"/>
          <w:lang w:eastAsia="ru-RU"/>
        </w:rPr>
      </w:r>
      <w:r>
        <w:rPr>
          <w:rFonts w:eastAsia="Calibri"/>
          <w:sz w:val="24"/>
          <w:szCs w:val="24"/>
          <w:lang w:eastAsia="ru-RU"/>
        </w:rPr>
      </w:r>
    </w:p>
    <w:p>
      <w:pPr>
        <w:ind w:left="142" w:firstLine="709"/>
        <w:rPr>
          <w:sz w:val="24"/>
          <w:szCs w:val="24"/>
          <w:lang w:eastAsia="ru-RU"/>
        </w:rPr>
      </w:pPr>
      <w:r>
        <w:rPr>
          <w:sz w:val="24"/>
          <w:szCs w:val="24"/>
          <w:lang w:val="en-US" w:eastAsia="ru-RU"/>
        </w:rPr>
        <w:t xml:space="preserve">a</w:t>
      </w:r>
      <w:r>
        <w:rPr>
          <w:sz w:val="24"/>
          <w:szCs w:val="24"/>
          <w:lang w:eastAsia="ru-RU"/>
        </w:rPr>
        <w:t xml:space="preserve"> – эмпирический коэффициент. При нормативном уровне безотказности </w:t>
      </w:r>
      <w:r>
        <w:rPr>
          <w:sz w:val="24"/>
          <w:szCs w:val="24"/>
          <w:lang w:val="en-US" w:eastAsia="ru-RU"/>
        </w:rPr>
        <w:t xml:space="preserve">a</w:t>
      </w:r>
      <w:r>
        <w:rPr>
          <w:sz w:val="24"/>
          <w:szCs w:val="24"/>
          <w:lang w:eastAsia="ru-RU"/>
        </w:rPr>
        <w:t xml:space="preserve"> = 0,00003;</w:t>
      </w:r>
      <w:r>
        <w:rPr>
          <w:sz w:val="24"/>
          <w:szCs w:val="24"/>
          <w:lang w:eastAsia="ru-RU"/>
        </w:rPr>
      </w:r>
      <w:r>
        <w:rPr>
          <w:sz w:val="24"/>
          <w:szCs w:val="24"/>
          <w:lang w:eastAsia="ru-RU"/>
        </w:rPr>
      </w:r>
    </w:p>
    <w:p>
      <w:pPr>
        <w:ind w:left="142" w:firstLine="709"/>
        <w:jc w:val="both"/>
        <w:rPr>
          <w:sz w:val="24"/>
          <w:szCs w:val="24"/>
          <w:lang w:eastAsia="ru-RU"/>
        </w:rPr>
      </w:pPr>
      <w:r>
        <w:rPr>
          <w:sz w:val="24"/>
          <w:szCs w:val="24"/>
          <w:lang w:val="en-US" w:eastAsia="ru-RU"/>
        </w:rPr>
        <w:t xml:space="preserve">m</w:t>
      </w:r>
      <w:r>
        <w:rPr>
          <w:sz w:val="24"/>
          <w:szCs w:val="24"/>
          <w:vertAlign w:val="subscript"/>
          <w:lang w:val="en-US" w:eastAsia="ru-RU"/>
        </w:rPr>
        <w:t xml:space="preserve">E</w:t>
      </w:r>
      <w:r>
        <w:rPr>
          <w:sz w:val="24"/>
          <w:szCs w:val="24"/>
          <w:lang w:eastAsia="ru-RU"/>
        </w:rPr>
        <w:t xml:space="preserve"> – эмпирический коэффициент потока отказов, полученный на основе обработки статистических данных. Принимается равным 1 при расчете коэффициента готовности;</w:t>
      </w:r>
      <w:r>
        <w:rPr>
          <w:sz w:val="24"/>
          <w:szCs w:val="24"/>
          <w:lang w:eastAsia="ru-RU"/>
        </w:rPr>
      </w:r>
      <w:r>
        <w:rPr>
          <w:sz w:val="24"/>
          <w:szCs w:val="24"/>
          <w:lang w:eastAsia="ru-RU"/>
        </w:rPr>
      </w:r>
    </w:p>
    <w:p>
      <w:pPr>
        <w:ind w:left="142" w:firstLine="709"/>
        <w:rPr>
          <w:sz w:val="24"/>
          <w:szCs w:val="24"/>
          <w:lang w:eastAsia="ru-RU"/>
        </w:rPr>
      </w:pPr>
      <w:r>
        <w:rPr>
          <w:sz w:val="24"/>
          <w:szCs w:val="24"/>
          <w:lang w:val="en-US" w:eastAsia="ru-RU"/>
        </w:rPr>
        <w:t xml:space="preserve">K</w:t>
      </w:r>
      <w:r>
        <w:rPr>
          <w:sz w:val="24"/>
          <w:szCs w:val="24"/>
          <w:vertAlign w:val="subscript"/>
          <w:lang w:val="en-US" w:eastAsia="ru-RU"/>
        </w:rPr>
        <w:t xml:space="preserve">c</w:t>
      </w:r>
      <w:r>
        <w:rPr>
          <w:sz w:val="24"/>
          <w:szCs w:val="24"/>
          <w:vertAlign w:val="subscript"/>
          <w:lang w:eastAsia="ru-RU"/>
        </w:rPr>
        <w:t xml:space="preserve">,</w:t>
      </w:r>
      <w:r>
        <w:rPr>
          <w:sz w:val="24"/>
          <w:szCs w:val="24"/>
          <w:vertAlign w:val="subscript"/>
          <w:lang w:val="en-US" w:eastAsia="ru-RU"/>
        </w:rPr>
        <w:t xml:space="preserve">j</w:t>
      </w:r>
      <w:r>
        <w:rPr>
          <w:sz w:val="24"/>
          <w:szCs w:val="24"/>
          <w:lang w:eastAsia="ru-RU"/>
        </w:rPr>
        <w:t xml:space="preserve"> – коэффициент, учитывающий старение (утрату ресурса) </w:t>
      </w:r>
      <w:r>
        <w:rPr>
          <w:sz w:val="24"/>
          <w:szCs w:val="24"/>
          <w:lang w:val="en-US" w:eastAsia="ru-RU"/>
        </w:rPr>
        <w:t xml:space="preserve">j</w:t>
      </w:r>
      <w:r>
        <w:rPr>
          <w:sz w:val="24"/>
          <w:szCs w:val="24"/>
          <w:lang w:eastAsia="ru-RU"/>
        </w:rPr>
        <w:t xml:space="preserve">-го участка;</w:t>
      </w:r>
      <w:r>
        <w:rPr>
          <w:sz w:val="24"/>
          <w:szCs w:val="24"/>
          <w:lang w:eastAsia="ru-RU"/>
        </w:rPr>
      </w:r>
      <w:r>
        <w:rPr>
          <w:sz w:val="24"/>
          <w:szCs w:val="24"/>
          <w:lang w:eastAsia="ru-RU"/>
        </w:rPr>
      </w:r>
    </w:p>
    <w:p>
      <w:pPr>
        <w:ind w:left="142" w:firstLine="709"/>
        <w:rPr>
          <w:sz w:val="24"/>
          <w:szCs w:val="24"/>
          <w:lang w:eastAsia="ru-RU"/>
        </w:rPr>
      </w:pPr>
      <w:r>
        <w:rPr>
          <w:sz w:val="24"/>
          <w:szCs w:val="24"/>
          <w:lang w:val="en-US" w:eastAsia="ru-RU"/>
        </w:rPr>
        <w:t xml:space="preserve">d</w:t>
      </w:r>
      <w:r>
        <w:rPr>
          <w:sz w:val="24"/>
          <w:szCs w:val="24"/>
          <w:vertAlign w:val="subscript"/>
          <w:lang w:val="en-US" w:eastAsia="ru-RU"/>
        </w:rPr>
        <w:t xml:space="preserve">j</w:t>
      </w:r>
      <w:r>
        <w:rPr>
          <w:sz w:val="24"/>
          <w:szCs w:val="24"/>
          <w:lang w:eastAsia="ru-RU"/>
        </w:rPr>
        <w:t xml:space="preserve"> – диаметр </w:t>
      </w:r>
      <w:r>
        <w:rPr>
          <w:sz w:val="24"/>
          <w:szCs w:val="24"/>
          <w:lang w:val="en-US" w:eastAsia="ru-RU"/>
        </w:rPr>
        <w:t xml:space="preserve">j</w:t>
      </w:r>
      <w:r>
        <w:rPr>
          <w:sz w:val="24"/>
          <w:szCs w:val="24"/>
          <w:lang w:eastAsia="ru-RU"/>
        </w:rPr>
        <w:t xml:space="preserve">-го участка, м.</w:t>
      </w:r>
      <w:r>
        <w:rPr>
          <w:sz w:val="24"/>
          <w:szCs w:val="24"/>
          <w:lang w:eastAsia="ru-RU"/>
        </w:rPr>
      </w:r>
      <w:r>
        <w:rPr>
          <w:sz w:val="24"/>
          <w:szCs w:val="24"/>
          <w:lang w:eastAsia="ru-RU"/>
        </w:rPr>
      </w:r>
    </w:p>
    <w:p>
      <w:pPr>
        <w:ind w:left="142" w:firstLine="709"/>
        <w:jc w:val="center"/>
        <w:spacing w:line="360" w:lineRule="auto"/>
        <w:widowControl/>
        <w:tabs>
          <w:tab w:val="left" w:pos="0" w:leader="none"/>
        </w:tabs>
        <w:rPr>
          <w:rFonts w:eastAsia="Calibri"/>
          <w:sz w:val="24"/>
          <w:szCs w:val="24"/>
          <w:lang w:eastAsia="ru-RU"/>
        </w:rPr>
      </w:pPr>
      <w:r>
        <w:rPr>
          <w:rFonts w:eastAsia="Calibri"/>
          <w:position w:val="-24"/>
          <w:sz w:val="24"/>
          <w:szCs w:val="24"/>
          <w:lang w:eastAsia="ru-RU"/>
        </w:rPr>
        <mc:AlternateContent>
          <mc:Choice Requires="wpg">
            <w:drawing>
              <wp:inline xmlns:wp="http://schemas.openxmlformats.org/drawingml/2006/wordprocessingDrawing" distT="0" distB="0" distL="0" distR="0">
                <wp:extent cx="1079500" cy="398780"/>
                <wp:effectExtent l="0" t="0" r="0" b="0"/>
                <wp:docPr id="33" name="_x0000_i178"/>
                <wp:cNvGraphicFramePr/>
                <a:graphic xmlns:a="http://schemas.openxmlformats.org/drawingml/2006/main">
                  <a:graphicData uri="http://schemas.openxmlformats.org/drawingml/2006/picture">
                    <pic:pic xmlns:pic="http://schemas.openxmlformats.org/drawingml/2006/picture">
                      <pic:nvPicPr>
                        <pic:cNvPr id="0" name=""/>
                        <pic:cNvPicPr/>
                        <pic:nvPr/>
                      </pic:nvPicPr>
                      <pic:blipFill>
                        <a:blip r:embed="rId78">
                          <a:extLst>
                            <a:ext uri="{96DAC541-7B7A-43D3-8B79-37D633B846F1}">
                              <asvg:svgBlip xmlns:asvg="http://schemas.microsoft.com/office/drawing/2016/SVG/main" r:embed="rId79"/>
                            </a:ext>
                          </a:extLst>
                        </a:blip>
                        <a:stretch/>
                      </pic:blipFill>
                      <pic:spPr bwMode="auto">
                        <a:xfrm>
                          <a:off x="0" y="0"/>
                          <a:ext cx="1079500" cy="398780"/>
                        </a:xfrm>
                        <a:prstGeom prst="rect">
                          <a:avLst/>
                        </a:prstGeom>
                        <a:noFill/>
                        <a:ln>
                          <a:noFil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78" o:spid="_x0000_s178" type="#_x0000_t75" style="width:85.00pt;height:31.40pt;mso-wrap-distance-left:0.00pt;mso-wrap-distance-top:0.00pt;mso-wrap-distance-right:0.00pt;mso-wrap-distance-bottom:0.00pt;" stroked="f">
                <v:path textboxrect="0,0,0,0"/>
                <v:imagedata r:id="rId78" o:title=""/>
              </v:shape>
            </w:pict>
          </mc:Fallback>
        </mc:AlternateContent>
      </w:r>
      <w:r>
        <w:rPr>
          <w:rFonts w:eastAsia="Calibri"/>
          <w:sz w:val="24"/>
          <w:szCs w:val="24"/>
          <w:lang w:eastAsia="ru-RU"/>
        </w:rPr>
        <w:t xml:space="preserve"> где:</w:t>
      </w:r>
      <w:r>
        <w:rPr>
          <w:rFonts w:eastAsia="Calibri"/>
          <w:sz w:val="24"/>
          <w:szCs w:val="24"/>
          <w:lang w:eastAsia="ru-RU"/>
        </w:rPr>
      </w:r>
      <w:r>
        <w:rPr>
          <w:rFonts w:eastAsia="Calibri"/>
          <w:sz w:val="24"/>
          <w:szCs w:val="24"/>
          <w:lang w:eastAsia="ru-RU"/>
        </w:rPr>
      </w:r>
    </w:p>
    <w:p>
      <w:pPr>
        <w:ind w:left="142" w:firstLine="709"/>
        <w:rPr>
          <w:sz w:val="24"/>
          <w:szCs w:val="24"/>
          <w:lang w:eastAsia="ru-RU"/>
        </w:rPr>
      </w:pPr>
      <w:r>
        <w:rPr>
          <w:sz w:val="24"/>
          <w:szCs w:val="24"/>
          <w:lang w:val="en-US" w:eastAsia="ru-RU"/>
        </w:rPr>
        <w:t xml:space="preserve">n</w:t>
      </w:r>
      <w:r>
        <w:rPr>
          <w:sz w:val="24"/>
          <w:szCs w:val="24"/>
          <w:vertAlign w:val="subscript"/>
          <w:lang w:val="en-US" w:eastAsia="ru-RU"/>
        </w:rPr>
        <w:t xml:space="preserve">j</w:t>
      </w:r>
      <w:r>
        <w:rPr>
          <w:sz w:val="24"/>
          <w:szCs w:val="24"/>
          <w:lang w:eastAsia="ru-RU"/>
        </w:rPr>
        <w:t xml:space="preserve"> – срок службы теплопровода </w:t>
      </w:r>
      <w:r>
        <w:rPr>
          <w:sz w:val="24"/>
          <w:szCs w:val="24"/>
          <w:lang w:val="en-US" w:eastAsia="ru-RU"/>
        </w:rPr>
        <w:t xml:space="preserve">j</w:t>
      </w:r>
      <w:r>
        <w:rPr>
          <w:sz w:val="24"/>
          <w:szCs w:val="24"/>
          <w:lang w:eastAsia="ru-RU"/>
        </w:rPr>
        <w:t xml:space="preserve">-го участка с момента ввода в эксплуатацию (в годах).</w:t>
      </w:r>
      <w:r>
        <w:rPr>
          <w:sz w:val="24"/>
          <w:szCs w:val="24"/>
          <w:lang w:eastAsia="ru-RU"/>
        </w:rPr>
      </w:r>
      <w:r>
        <w:rPr>
          <w:sz w:val="24"/>
          <w:szCs w:val="24"/>
          <w:lang w:eastAsia="ru-RU"/>
        </w:rPr>
      </w:r>
    </w:p>
    <w:p>
      <w:pPr>
        <w:ind w:left="142" w:firstLine="709"/>
        <w:rPr>
          <w:sz w:val="24"/>
          <w:szCs w:val="24"/>
          <w:lang w:eastAsia="ru-RU"/>
        </w:rPr>
      </w:pPr>
      <w:r>
        <w:rPr>
          <w:sz w:val="24"/>
          <w:szCs w:val="24"/>
          <w:lang w:eastAsia="ru-RU"/>
        </w:rPr>
        <w:t xml:space="preserve">Минимально допустимый показатель готовности СЦТ к исправной работе равен К</w:t>
      </w:r>
      <w:r>
        <w:rPr>
          <w:sz w:val="24"/>
          <w:szCs w:val="24"/>
          <w:vertAlign w:val="subscript"/>
          <w:lang w:eastAsia="ru-RU"/>
        </w:rPr>
        <w:t xml:space="preserve">г</w:t>
      </w:r>
      <w:r>
        <w:rPr>
          <w:sz w:val="24"/>
          <w:szCs w:val="24"/>
          <w:lang w:eastAsia="ru-RU"/>
        </w:rPr>
        <w:t xml:space="preserve"> = 0,97.</w:t>
      </w:r>
      <w:r>
        <w:rPr>
          <w:sz w:val="24"/>
          <w:szCs w:val="24"/>
          <w:lang w:eastAsia="ru-RU"/>
        </w:rPr>
      </w:r>
      <w:r>
        <w:rPr>
          <w:sz w:val="24"/>
          <w:szCs w:val="24"/>
          <w:lang w:eastAsia="ru-RU"/>
        </w:rPr>
      </w:r>
    </w:p>
    <w:p>
      <w:pPr>
        <w:pStyle w:val="1247"/>
        <w:ind w:left="118" w:firstLine="707"/>
        <w:spacing w:before="115"/>
      </w:pPr>
      <w:r/>
      <w:r/>
    </w:p>
    <w:p>
      <w:pPr>
        <w:pStyle w:val="1248"/>
        <w:ind w:right="110" w:firstLine="733"/>
      </w:pPr>
      <w:r/>
      <w:bookmarkStart w:id="574" w:name="_bookmark300"/>
      <w:r/>
      <w:bookmarkStart w:id="575" w:name="_Toc130232050"/>
      <w:r/>
      <w:bookmarkStart w:id="576" w:name="_Toc165540830"/>
      <w:r/>
      <w:bookmarkEnd w:id="574"/>
      <w:r>
        <w:rPr>
          <w:lang w:eastAsia="ru-RU"/>
        </w:rPr>
        <w:t xml:space="preserve">10.5 </w:t>
      </w:r>
      <w:r>
        <w:t xml:space="preserve">Обоснование результатов оценки недоотпуска тепловой энергии по причине отказов (аварийных ситуаций) и простоев тепловых сетей и источников тепловой </w:t>
      </w:r>
      <w:r>
        <w:rPr>
          <w:spacing w:val="-2"/>
        </w:rPr>
        <w:t xml:space="preserve">энергии</w:t>
      </w:r>
      <w:bookmarkEnd w:id="575"/>
      <w:r/>
      <w:bookmarkEnd w:id="576"/>
      <w:r/>
      <w:r/>
    </w:p>
    <w:p>
      <w:pPr>
        <w:ind w:left="142" w:firstLine="709"/>
        <w:jc w:val="both"/>
        <w:rPr>
          <w:sz w:val="24"/>
          <w:szCs w:val="24"/>
        </w:rPr>
      </w:pPr>
      <w:r/>
      <w:bookmarkStart w:id="577" w:name="_bookmark301"/>
      <w:r/>
      <w:bookmarkEnd w:id="577"/>
      <w:r>
        <w:rPr>
          <w:sz w:val="24"/>
          <w:szCs w:val="24"/>
        </w:rPr>
        <w:t xml:space="preserve">Показатели надёжности, определяемые приведённым объёмом недоотпуска тепла в результате нарушений в подаче тепловой энергии, учитываются при расчёте показателя «Показатель относительного аварийного недоотпуска тепла».</w:t>
      </w:r>
      <w:r>
        <w:rPr>
          <w:sz w:val="24"/>
          <w:szCs w:val="24"/>
        </w:rPr>
      </w:r>
      <w:r>
        <w:rPr>
          <w:sz w:val="24"/>
          <w:szCs w:val="24"/>
        </w:rPr>
      </w:r>
    </w:p>
    <w:p>
      <w:pPr>
        <w:ind w:left="142" w:firstLine="709"/>
        <w:jc w:val="both"/>
        <w:rPr>
          <w:sz w:val="24"/>
          <w:szCs w:val="24"/>
        </w:rPr>
      </w:pPr>
      <w:r>
        <w:rPr>
          <w:sz w:val="24"/>
          <w:szCs w:val="24"/>
        </w:rPr>
        <w:t xml:space="preserve">С достаточной степенью точности спрогнозировать величину недоотпуска тепловой энергии потребителям к окончанию расчётного периода Схемы теплоснабжения невозможно. Расчёт данного показателя произведён, исходя из следующих предположений:</w:t>
      </w:r>
      <w:r>
        <w:rPr>
          <w:sz w:val="24"/>
          <w:szCs w:val="24"/>
        </w:rPr>
      </w:r>
      <w:r>
        <w:rPr>
          <w:sz w:val="24"/>
          <w:szCs w:val="24"/>
        </w:rPr>
      </w:r>
    </w:p>
    <w:p>
      <w:pPr>
        <w:ind w:left="142" w:firstLine="709"/>
        <w:jc w:val="both"/>
        <w:rPr>
          <w:sz w:val="24"/>
          <w:szCs w:val="24"/>
        </w:rPr>
      </w:pPr>
      <w:r>
        <w:rPr>
          <w:sz w:val="24"/>
          <w:szCs w:val="24"/>
        </w:rPr>
        <w:t xml:space="preserve">1) При условии реализации мероприятий по перекладке ветхих тепловых сетей количество отказов на тепловых сетях сократится до минимума;</w:t>
      </w:r>
      <w:r>
        <w:rPr>
          <w:sz w:val="24"/>
          <w:szCs w:val="24"/>
        </w:rPr>
      </w:r>
      <w:r>
        <w:rPr>
          <w:sz w:val="24"/>
          <w:szCs w:val="24"/>
        </w:rPr>
      </w:r>
    </w:p>
    <w:p>
      <w:pPr>
        <w:ind w:left="142" w:firstLine="709"/>
        <w:jc w:val="both"/>
        <w:rPr>
          <w:sz w:val="24"/>
          <w:szCs w:val="24"/>
        </w:rPr>
      </w:pPr>
      <w:r>
        <w:rPr>
          <w:sz w:val="24"/>
          <w:szCs w:val="24"/>
        </w:rPr>
        <w:t xml:space="preserve">2</w:t>
      </w:r>
      <w:r>
        <w:rPr>
          <w:sz w:val="24"/>
          <w:szCs w:val="24"/>
        </w:rPr>
        <w:t xml:space="preserve">) Аварийных ситуаций, как и в настоящее время, в системах теплоснабжения происходить не будет; отказами будут являться незначительные инциденты, которые не приводят к длительным и серьёзным ограничениям или отключениям подачи тепловой энергии потребителям;</w:t>
      </w:r>
      <w:r>
        <w:rPr>
          <w:sz w:val="24"/>
          <w:szCs w:val="24"/>
        </w:rPr>
      </w:r>
      <w:r>
        <w:rPr>
          <w:sz w:val="24"/>
          <w:szCs w:val="24"/>
        </w:rPr>
      </w:r>
    </w:p>
    <w:p>
      <w:pPr>
        <w:ind w:left="142" w:firstLine="709"/>
        <w:jc w:val="both"/>
        <w:rPr>
          <w:sz w:val="24"/>
          <w:szCs w:val="24"/>
        </w:rPr>
      </w:pPr>
      <w:r>
        <w:rPr>
          <w:sz w:val="24"/>
          <w:szCs w:val="24"/>
        </w:rPr>
        <w:t xml:space="preserve">3) Время, затрачиваемое на ликвидацию инцидента, не будет превышать нормативных значений.</w:t>
      </w:r>
      <w:r>
        <w:rPr>
          <w:sz w:val="24"/>
          <w:szCs w:val="24"/>
        </w:rPr>
      </w:r>
      <w:r>
        <w:rPr>
          <w:sz w:val="24"/>
          <w:szCs w:val="24"/>
        </w:rPr>
      </w:r>
    </w:p>
    <w:p>
      <w:pPr>
        <w:ind w:left="142" w:firstLine="709"/>
        <w:jc w:val="both"/>
        <w:rPr>
          <w:sz w:val="24"/>
          <w:szCs w:val="24"/>
        </w:rPr>
      </w:pPr>
      <w:r>
        <w:rPr>
          <w:sz w:val="24"/>
          <w:szCs w:val="24"/>
        </w:rPr>
        <w:t xml:space="preserve">Согласно методическим рекомендациям по разработке схем теплоснабжения, утверждённых приказом Министерства региональног</w:t>
      </w:r>
      <w:r>
        <w:rPr>
          <w:sz w:val="24"/>
          <w:szCs w:val="24"/>
        </w:rPr>
        <w:t xml:space="preserve">о развития Российской Федерации и Министерства энергетики Российской Федерации №565/667 от 29.12.2012, оценка недоотпуска тепловой энергии от источника теплоснабжения определяется вероятностью отказа теплопровода и продолжительностью отопительного периода.</w:t>
      </w:r>
      <w:r>
        <w:rPr>
          <w:sz w:val="24"/>
          <w:szCs w:val="24"/>
        </w:rPr>
      </w:r>
      <w:r>
        <w:rPr>
          <w:sz w:val="24"/>
          <w:szCs w:val="24"/>
        </w:rPr>
      </w:r>
    </w:p>
    <w:p>
      <w:pPr>
        <w:ind w:left="142" w:firstLine="709"/>
        <w:jc w:val="both"/>
        <w:rPr>
          <w:sz w:val="24"/>
          <w:szCs w:val="24"/>
        </w:rPr>
      </w:pPr>
      <w:r>
        <w:rPr>
          <w:sz w:val="24"/>
          <w:szCs w:val="24"/>
        </w:rPr>
        <w:t xml:space="preserve">Выполнив оценку вероятности безотказной работы каждого магистрального теплопровода, определяем средний, как вероятностную меру, недоотпуск тепла для каждого потребителя, присоединённого к этому магистральному теплопроводу.</w:t>
      </w:r>
      <w:r>
        <w:rPr>
          <w:sz w:val="24"/>
          <w:szCs w:val="24"/>
        </w:rPr>
      </w:r>
      <w:r>
        <w:rPr>
          <w:sz w:val="24"/>
          <w:szCs w:val="24"/>
        </w:rPr>
      </w:r>
    </w:p>
    <w:p>
      <w:pPr>
        <w:ind w:left="142" w:firstLine="709"/>
        <w:jc w:val="both"/>
        <w:rPr>
          <w:sz w:val="24"/>
          <w:szCs w:val="24"/>
        </w:rPr>
      </w:pPr>
      <w:r>
        <w:rPr>
          <w:bCs/>
          <w:sz w:val="24"/>
          <w:szCs w:val="24"/>
        </w:rPr>
        <w:t xml:space="preserve">Средний суммарный недоотпуск теплоты </w:t>
      </w:r>
      <w:r>
        <w:rPr>
          <w:i/>
          <w:sz w:val="24"/>
          <w:szCs w:val="24"/>
          <w:lang w:val="en-US"/>
        </w:rPr>
        <w:t xml:space="preserve">j</w:t>
      </w:r>
      <w:r>
        <w:rPr>
          <w:bCs/>
          <w:sz w:val="24"/>
          <w:szCs w:val="24"/>
        </w:rPr>
        <w:t xml:space="preserve">-му потребителю в течение отопительного периода:</w:t>
      </w:r>
      <w:r>
        <w:rPr>
          <w:sz w:val="24"/>
          <w:szCs w:val="24"/>
        </w:rPr>
      </w:r>
      <w:r>
        <w:rPr>
          <w:sz w:val="24"/>
          <w:szCs w:val="24"/>
        </w:rPr>
      </w:r>
    </w:p>
    <w:p>
      <w:pPr>
        <w:ind w:left="142" w:firstLine="709"/>
        <w:jc w:val="both"/>
        <w:rPr>
          <w:sz w:val="24"/>
          <w:szCs w:val="24"/>
        </w:rPr>
      </w:pPr>
      <w:r>
        <w:rPr>
          <w:sz w:val="24"/>
          <w:szCs w:val="24"/>
        </w:rPr>
      </w:r>
      <w:r>
        <w:rPr>
          <w:sz w:val="24"/>
          <w:szCs w:val="24"/>
        </w:rPr>
      </w:r>
      <w:r>
        <w:rPr>
          <w:sz w:val="24"/>
          <w:szCs w:val="24"/>
        </w:rPr>
      </w:r>
    </w:p>
    <w:p>
      <w:pPr>
        <w:ind w:left="142" w:firstLine="709"/>
        <w:jc w:val="both"/>
        <w:rPr>
          <w:sz w:val="24"/>
          <w:szCs w:val="24"/>
        </w:rPr>
      </w:pPr>
      <w:r/>
      <m:oMathPara>
        <m:oMathParaPr>
          <m:jc m:val="center"/>
        </m:oMathParaPr>
        <m:oMath>
          <m:sSubSup>
            <m:sSubSupPr>
              <m:alnScr m:val="off"/>
              <m:ctrlPr>
                <w:rPr>
                  <w:rFonts w:ascii="Cambria Math" w:hAnsi="Cambria Math"/>
                  <w:i/>
                  <w:sz w:val="24"/>
                  <w:szCs w:val="24"/>
                  <w:lang w:val="en-US"/>
                </w:rPr>
              </m:ctrlPr>
            </m:sSubSupPr>
            <m:e>
              <m:r>
                <w:rPr>
                  <w:rFonts w:ascii="Cambria Math" w:hAnsi="Cambria Math"/>
                  <w:sz w:val="24"/>
                  <w:szCs w:val="24"/>
                  <w:lang w:val="en-US"/>
                </w:rPr>
                <m:rPr/>
                <m:t>Q</m:t>
              </m:r>
            </m:e>
            <m:sub>
              <m:r>
                <w:rPr>
                  <w:rFonts w:ascii="Cambria Math" w:hAnsi="Cambria Math"/>
                  <w:sz w:val="24"/>
                  <w:szCs w:val="24"/>
                  <w:lang w:val="en-US"/>
                </w:rPr>
                <m:rPr/>
                <m:t>j</m:t>
              </m:r>
            </m:sub>
            <m:sup>
              <m:r>
                <w:rPr>
                  <w:rFonts w:ascii="Cambria Math" w:hAnsi="Cambria Math"/>
                  <w:sz w:val="24"/>
                  <w:szCs w:val="24"/>
                  <w:lang w:val="en-US"/>
                </w:rPr>
                <m:rPr/>
                <m:t>-</m:t>
              </m:r>
            </m:sup>
          </m:sSubSup>
          <m:r>
            <w:rPr>
              <w:rFonts w:ascii="Cambria Math" w:hAnsi="Cambria Math"/>
              <w:sz w:val="24"/>
              <w:szCs w:val="24"/>
              <w:lang w:val="en-US"/>
            </w:rPr>
            <m:rPr/>
            <m:t>=</m:t>
          </m:r>
          <m:d>
            <m:dPr>
              <m:ctrlPr>
                <w:rPr>
                  <w:rFonts w:ascii="Cambria Math" w:hAnsi="Cambria Math"/>
                  <w:i/>
                  <w:sz w:val="24"/>
                  <w:szCs w:val="24"/>
                  <w:lang w:val="en-US"/>
                </w:rPr>
              </m:ctrlPr>
            </m:dPr>
            <m:e>
              <m:sSubSup>
                <m:sSubSupPr>
                  <m:alnScr m:val="off"/>
                  <m:ctrlPr>
                    <w:rPr>
                      <w:rFonts w:ascii="Cambria Math" w:hAnsi="Cambria Math"/>
                      <w:i/>
                      <w:sz w:val="24"/>
                      <w:szCs w:val="24"/>
                      <w:lang w:val="en-US"/>
                    </w:rPr>
                  </m:ctrlPr>
                </m:sSubSupPr>
                <m:e>
                  <m:r>
                    <w:rPr>
                      <w:rFonts w:ascii="Cambria Math" w:hAnsi="Cambria Math"/>
                      <w:sz w:val="24"/>
                      <w:szCs w:val="24"/>
                      <w:lang w:val="en-US"/>
                    </w:rPr>
                    <m:rPr/>
                    <m:t>g</m:t>
                  </m:r>
                </m:e>
                <m:sub>
                  <m:r>
                    <w:rPr>
                      <w:rFonts w:ascii="Cambria Math" w:hAnsi="Cambria Math"/>
                      <w:sz w:val="24"/>
                      <w:szCs w:val="24"/>
                      <w:lang w:val="en-US"/>
                    </w:rPr>
                    <m:rPr/>
                    <m:t>j</m:t>
                  </m:r>
                </m:sub>
                <m:sup>
                  <m:r>
                    <w:rPr>
                      <w:rFonts w:ascii="Cambria Math" w:hAnsi="Cambria Math"/>
                      <w:sz w:val="24"/>
                      <w:szCs w:val="24"/>
                      <w:lang w:val="en-US"/>
                    </w:rPr>
                    <m:rPr/>
                    <m:t>р</m:t>
                  </m:r>
                </m:sup>
              </m:sSubSup>
              <m:r>
                <w:rPr>
                  <w:rFonts w:ascii="Cambria Math" w:hAnsi="Cambria Math"/>
                  <w:sz w:val="24"/>
                  <w:szCs w:val="24"/>
                  <w:lang w:val="en-US"/>
                </w:rPr>
                <m:rPr/>
                <m:t>-</m:t>
              </m:r>
              <m:nary>
                <m:naryPr>
                  <m:chr m:val="∑"/>
                  <m:grow m:val="off"/>
                  <m:limLoc m:val="undOvr"/>
                  <m:supHide m:val="on"/>
                  <m:ctrlPr>
                    <w:rPr>
                      <w:rFonts w:ascii="Cambria Math" w:hAnsi="Cambria Math"/>
                      <w:i/>
                      <w:sz w:val="24"/>
                      <w:szCs w:val="24"/>
                      <w:lang w:val="en-US"/>
                    </w:rPr>
                  </m:ctrlPr>
                </m:naryPr>
                <m:sub>
                  <m:r>
                    <w:rPr>
                      <w:rFonts w:ascii="Cambria Math" w:hAnsi="Cambria Math"/>
                      <w:sz w:val="24"/>
                      <w:szCs w:val="24"/>
                      <w:lang w:val="en-US"/>
                    </w:rPr>
                    <m:rPr/>
                    <m:t> f= 0</m:t>
                  </m:r>
                </m:sub>
                <m:sup/>
                <m:e>
                  <m:sSub>
                    <m:sSubPr>
                      <m:ctrlPr>
                        <w:rPr>
                          <w:rFonts w:ascii="Cambria Math" w:hAnsi="Cambria Math"/>
                          <w:i/>
                          <w:sz w:val="24"/>
                          <w:szCs w:val="24"/>
                          <w:lang w:val="en-US"/>
                        </w:rPr>
                      </m:ctrlPr>
                    </m:sSubPr>
                    <m:e>
                      <m:r>
                        <w:rPr>
                          <w:rFonts w:ascii="Cambria Math" w:hAnsi="Cambria Math"/>
                          <w:sz w:val="24"/>
                          <w:szCs w:val="24"/>
                          <w:lang w:val="en-US"/>
                        </w:rPr>
                        <m:rPr/>
                        <m:t>p</m:t>
                      </m:r>
                    </m:e>
                    <m:sub>
                      <m:r>
                        <w:rPr>
                          <w:rFonts w:ascii="Cambria Math" w:hAnsi="Cambria Math"/>
                          <w:sz w:val="24"/>
                          <w:szCs w:val="24"/>
                          <w:lang w:val="en-US"/>
                        </w:rPr>
                        <m:rPr/>
                        <m:t>f</m:t>
                      </m:r>
                    </m:sub>
                  </m:sSub>
                  <m:sSub>
                    <m:sSubPr>
                      <m:ctrlPr>
                        <w:rPr>
                          <w:rFonts w:ascii="Cambria Math" w:hAnsi="Cambria Math"/>
                          <w:i/>
                          <w:sz w:val="24"/>
                          <w:szCs w:val="24"/>
                          <w:lang w:val="en-US"/>
                        </w:rPr>
                      </m:ctrlPr>
                    </m:sSubPr>
                    <m:e>
                      <m:r>
                        <w:rPr>
                          <w:rFonts w:ascii="Cambria Math" w:hAnsi="Cambria Math"/>
                          <w:sz w:val="24"/>
                          <w:szCs w:val="24"/>
                          <w:lang w:val="en-US"/>
                        </w:rPr>
                        <m:rPr/>
                        <m:t>g</m:t>
                      </m:r>
                    </m:e>
                    <m:sub>
                      <m:r>
                        <w:rPr>
                          <w:rFonts w:ascii="Cambria Math" w:hAnsi="Cambria Math"/>
                          <w:sz w:val="24"/>
                          <w:szCs w:val="24"/>
                          <w:lang w:val="en-US"/>
                        </w:rPr>
                        <m:rPr/>
                        <m:t>j,f</m:t>
                      </m:r>
                    </m:sub>
                  </m:sSub>
                </m:e>
              </m:nary>
            </m:e>
          </m:d>
          <m:r>
            <w:rPr>
              <w:rFonts w:ascii="Cambria Math" w:hAnsi="Cambria Math"/>
              <w:sz w:val="24"/>
              <w:szCs w:val="24"/>
              <w:lang w:val="en-US"/>
            </w:rPr>
            <m:rPr/>
            <m:t>∙</m:t>
          </m:r>
          <m:d>
            <m:dPr>
              <m:ctrlPr>
                <w:rPr>
                  <w:rFonts w:ascii="Cambria Math" w:hAnsi="Cambria Math"/>
                  <w:i/>
                  <w:sz w:val="24"/>
                  <w:szCs w:val="24"/>
                  <w:lang w:val="en-US"/>
                </w:rPr>
              </m:ctrlPr>
            </m:dPr>
            <m:e>
              <m:sSubSup>
                <m:sSubSupPr>
                  <m:alnScr m:val="off"/>
                  <m:ctrlPr>
                    <w:rPr>
                      <w:rFonts w:ascii="Cambria Math" w:hAnsi="Cambria Math"/>
                      <w:i/>
                      <w:sz w:val="24"/>
                      <w:szCs w:val="24"/>
                      <w:lang w:val="en-US"/>
                    </w:rPr>
                  </m:ctrlPr>
                </m:sSubSupPr>
                <m:e>
                  <m:r>
                    <w:rPr>
                      <w:rFonts w:ascii="Cambria Math" w:hAnsi="Cambria Math"/>
                      <w:sz w:val="24"/>
                      <w:szCs w:val="24"/>
                      <w:lang w:val="en-US"/>
                    </w:rPr>
                    <m:rPr/>
                    <m:t>τ</m:t>
                  </m:r>
                </m:e>
                <m:sub>
                  <m:r>
                    <w:rPr>
                      <w:rFonts w:ascii="Cambria Math" w:hAnsi="Cambria Math"/>
                      <w:sz w:val="24"/>
                      <w:szCs w:val="24"/>
                      <w:lang w:val="en-US"/>
                    </w:rPr>
                    <m:rPr/>
                    <m:t>1</m:t>
                  </m:r>
                </m:sub>
                <m:sup>
                  <m:r>
                    <w:rPr>
                      <w:rFonts w:ascii="Cambria Math" w:hAnsi="Cambria Math"/>
                      <w:sz w:val="24"/>
                      <w:szCs w:val="24"/>
                      <w:lang w:val="en-US"/>
                    </w:rPr>
                    <m:rPr/>
                    <m:t>р</m:t>
                  </m:r>
                </m:sup>
              </m:sSubSup>
              <m:r>
                <w:rPr>
                  <w:rFonts w:ascii="Cambria Math" w:hAnsi="Cambria Math"/>
                  <w:sz w:val="24"/>
                  <w:szCs w:val="24"/>
                  <w:lang w:val="en-US"/>
                </w:rPr>
                <m:rPr/>
                <m:t>- </m:t>
              </m:r>
              <m:sSubSup>
                <m:sSubSupPr>
                  <m:alnScr m:val="off"/>
                  <m:ctrlPr>
                    <w:rPr>
                      <w:rFonts w:ascii="Cambria Math" w:hAnsi="Cambria Math"/>
                      <w:i/>
                      <w:sz w:val="24"/>
                      <w:szCs w:val="24"/>
                      <w:lang w:val="en-US"/>
                    </w:rPr>
                  </m:ctrlPr>
                </m:sSubSupPr>
                <m:e>
                  <m:r>
                    <w:rPr>
                      <w:rFonts w:ascii="Cambria Math" w:hAnsi="Cambria Math"/>
                      <w:sz w:val="24"/>
                      <w:szCs w:val="24"/>
                      <w:lang w:val="en-US"/>
                    </w:rPr>
                    <m:rPr/>
                    <m:t>τ</m:t>
                  </m:r>
                </m:e>
                <m:sub>
                  <m:r>
                    <w:rPr>
                      <w:rFonts w:ascii="Cambria Math" w:hAnsi="Cambria Math"/>
                      <w:sz w:val="24"/>
                      <w:szCs w:val="24"/>
                      <w:lang w:val="en-US"/>
                    </w:rPr>
                    <m:rPr/>
                    <m:t>2</m:t>
                  </m:r>
                </m:sub>
                <m:sup>
                  <m:r>
                    <w:rPr>
                      <w:rFonts w:ascii="Cambria Math" w:hAnsi="Cambria Math"/>
                      <w:sz w:val="24"/>
                      <w:szCs w:val="24"/>
                      <w:lang w:val="en-US"/>
                    </w:rPr>
                    <m:rPr/>
                    <m:t>р</m:t>
                  </m:r>
                </m:sup>
              </m:sSubSup>
            </m:e>
          </m:d>
          <m:r>
            <w:rPr>
              <w:rFonts w:ascii="Cambria Math" w:hAnsi="Cambria Math"/>
              <w:sz w:val="24"/>
              <w:szCs w:val="24"/>
              <w:lang w:val="en-US"/>
            </w:rPr>
            <m:rPr/>
            <m:t>∙</m:t>
          </m:r>
          <m:f>
            <m:fPr>
              <m:ctrlPr>
                <w:rPr>
                  <w:rFonts w:ascii="Cambria Math" w:hAnsi="Cambria Math"/>
                  <w:i/>
                  <w:sz w:val="24"/>
                  <w:szCs w:val="24"/>
                  <w:lang w:val="en-US"/>
                </w:rPr>
              </m:ctrlPr>
            </m:fPr>
            <m:num>
              <m:sSubSup>
                <m:sSubSupPr>
                  <m:alnScr m:val="off"/>
                  <m:ctrlPr>
                    <w:rPr>
                      <w:rFonts w:ascii="Cambria Math" w:hAnsi="Cambria Math"/>
                      <w:i/>
                      <w:sz w:val="24"/>
                      <w:szCs w:val="24"/>
                      <w:lang w:val="en-US"/>
                    </w:rPr>
                  </m:ctrlPr>
                </m:sSubSupPr>
                <m:e>
                  <m:r>
                    <w:rPr>
                      <w:rFonts w:ascii="Cambria Math" w:hAnsi="Cambria Math"/>
                      <w:sz w:val="24"/>
                      <w:szCs w:val="24"/>
                      <w:lang w:val="en-US"/>
                    </w:rPr>
                    <m:rPr/>
                    <m:t>t</m:t>
                  </m:r>
                </m:e>
                <m:sub>
                  <m:r>
                    <w:rPr>
                      <w:rFonts w:ascii="Cambria Math" w:hAnsi="Cambria Math"/>
                      <w:sz w:val="24"/>
                      <w:szCs w:val="24"/>
                      <w:lang w:val="en-US"/>
                    </w:rPr>
                    <m:rPr/>
                    <m:t>j</m:t>
                  </m:r>
                </m:sub>
                <m:sup>
                  <m:r>
                    <w:rPr>
                      <w:rFonts w:ascii="Cambria Math" w:hAnsi="Cambria Math"/>
                      <w:sz w:val="24"/>
                      <w:szCs w:val="24"/>
                      <w:lang w:val="en-US"/>
                    </w:rPr>
                    <m:rPr/>
                    <m:t>вр</m:t>
                  </m:r>
                </m:sup>
              </m:sSubSup>
              <m:r>
                <w:rPr>
                  <w:rFonts w:ascii="Cambria Math" w:hAnsi="Cambria Math"/>
                  <w:sz w:val="24"/>
                  <w:szCs w:val="24"/>
                  <w:lang w:val="en-US"/>
                </w:rPr>
                <m:rPr/>
                <m:t>- </m:t>
              </m:r>
              <m:sSup>
                <m:sSupPr>
                  <m:ctrlPr>
                    <w:rPr>
                      <w:rFonts w:ascii="Cambria Math" w:hAnsi="Cambria Math"/>
                      <w:i/>
                      <w:sz w:val="24"/>
                      <w:szCs w:val="24"/>
                      <w:lang w:val="en-US"/>
                    </w:rPr>
                  </m:ctrlPr>
                </m:sSupPr>
                <m:e>
                  <m:r>
                    <w:rPr>
                      <w:rFonts w:ascii="Cambria Math" w:hAnsi="Cambria Math"/>
                      <w:sz w:val="24"/>
                      <w:szCs w:val="24"/>
                      <w:lang w:val="en-US"/>
                    </w:rPr>
                    <m:rPr/>
                    <m:t>t</m:t>
                  </m:r>
                </m:e>
                <m:sup>
                  <m:r>
                    <w:rPr>
                      <w:rFonts w:ascii="Cambria Math" w:hAnsi="Cambria Math"/>
                      <w:sz w:val="24"/>
                      <w:szCs w:val="24"/>
                      <w:lang w:val="en-US"/>
                    </w:rPr>
                    <m:rPr/>
                    <m:t>н ср</m:t>
                  </m:r>
                </m:sup>
              </m:sSup>
            </m:num>
            <m:den>
              <m:sSubSup>
                <m:sSubSupPr>
                  <m:alnScr m:val="off"/>
                  <m:ctrlPr>
                    <w:rPr>
                      <w:rFonts w:ascii="Cambria Math" w:hAnsi="Cambria Math"/>
                      <w:i/>
                      <w:sz w:val="24"/>
                      <w:szCs w:val="24"/>
                      <w:lang w:val="en-US"/>
                    </w:rPr>
                  </m:ctrlPr>
                </m:sSubSupPr>
                <m:e>
                  <m:r>
                    <w:rPr>
                      <w:rFonts w:ascii="Cambria Math" w:hAnsi="Cambria Math"/>
                      <w:sz w:val="24"/>
                      <w:szCs w:val="24"/>
                      <w:lang w:val="en-US"/>
                    </w:rPr>
                    <m:rPr/>
                    <m:t>t</m:t>
                  </m:r>
                </m:e>
                <m:sub>
                  <m:r>
                    <w:rPr>
                      <w:rFonts w:ascii="Cambria Math" w:hAnsi="Cambria Math"/>
                      <w:sz w:val="24"/>
                      <w:szCs w:val="24"/>
                      <w:lang w:val="en-US"/>
                    </w:rPr>
                    <m:rPr/>
                    <m:t>j</m:t>
                  </m:r>
                </m:sub>
                <m:sup>
                  <m:r>
                    <w:rPr>
                      <w:rFonts w:ascii="Cambria Math" w:hAnsi="Cambria Math"/>
                      <w:sz w:val="24"/>
                      <w:szCs w:val="24"/>
                      <w:lang w:val="en-US"/>
                    </w:rPr>
                    <m:rPr/>
                    <m:t>вр</m:t>
                  </m:r>
                </m:sup>
              </m:sSubSup>
              <m:r>
                <w:rPr>
                  <w:rFonts w:ascii="Cambria Math" w:hAnsi="Cambria Math"/>
                  <w:sz w:val="24"/>
                  <w:szCs w:val="24"/>
                  <w:lang w:val="en-US"/>
                </w:rPr>
                <m:rPr/>
                <m:t>- </m:t>
              </m:r>
              <m:sSup>
                <m:sSupPr>
                  <m:ctrlPr>
                    <w:rPr>
                      <w:rFonts w:ascii="Cambria Math" w:hAnsi="Cambria Math"/>
                      <w:i/>
                      <w:sz w:val="24"/>
                      <w:szCs w:val="24"/>
                      <w:lang w:val="en-US"/>
                    </w:rPr>
                  </m:ctrlPr>
                </m:sSupPr>
                <m:e>
                  <m:r>
                    <w:rPr>
                      <w:rFonts w:ascii="Cambria Math" w:hAnsi="Cambria Math"/>
                      <w:sz w:val="24"/>
                      <w:szCs w:val="24"/>
                      <w:lang w:val="en-US"/>
                    </w:rPr>
                    <m:rPr/>
                    <m:t>t</m:t>
                  </m:r>
                </m:e>
                <m:sup>
                  <m:r>
                    <w:rPr>
                      <w:rFonts w:ascii="Cambria Math" w:hAnsi="Cambria Math"/>
                      <w:sz w:val="24"/>
                      <w:szCs w:val="24"/>
                      <w:lang w:val="en-US"/>
                    </w:rPr>
                    <m:rPr/>
                    <m:t>нр</m:t>
                  </m:r>
                </m:sup>
              </m:sSup>
            </m:den>
          </m:f>
          <m:sSup>
            <m:sSupPr>
              <m:ctrlPr>
                <w:rPr>
                  <w:rFonts w:ascii="Cambria Math" w:hAnsi="Cambria Math"/>
                  <w:i/>
                  <w:sz w:val="24"/>
                  <w:szCs w:val="24"/>
                  <w:lang w:val="en-US"/>
                </w:rPr>
              </m:ctrlPr>
            </m:sSupPr>
            <m:e>
              <m:r>
                <w:rPr>
                  <w:rFonts w:ascii="Cambria Math" w:hAnsi="Cambria Math"/>
                  <w:sz w:val="24"/>
                  <w:szCs w:val="24"/>
                  <w:lang w:val="en-US"/>
                </w:rPr>
                <m:rPr/>
                <m:t>∙τ</m:t>
              </m:r>
            </m:e>
            <m:sup>
              <m:r>
                <w:rPr>
                  <w:rFonts w:ascii="Cambria Math" w:hAnsi="Cambria Math"/>
                  <w:sz w:val="24"/>
                  <w:szCs w:val="24"/>
                  <w:lang w:val="en-US"/>
                </w:rPr>
                <m:rPr/>
                <m:t>от</m:t>
              </m:r>
            </m:sup>
          </m:sSup>
          <m:sSup>
            <m:sSupPr>
              <m:ctrlPr>
                <w:rPr>
                  <w:rFonts w:ascii="Cambria Math" w:hAnsi="Cambria Math"/>
                  <w:i/>
                  <w:sz w:val="24"/>
                  <w:szCs w:val="24"/>
                  <w:lang w:val="en-US"/>
                </w:rPr>
              </m:ctrlPr>
            </m:sSupPr>
            <m:e>
              <m:r>
                <w:rPr>
                  <w:rFonts w:ascii="Cambria Math" w:hAnsi="Cambria Math"/>
                  <w:sz w:val="24"/>
                  <w:szCs w:val="24"/>
                  <w:lang w:val="en-US"/>
                </w:rPr>
                <m:rPr/>
                <m:t>∙10</m:t>
              </m:r>
            </m:e>
            <m:sup>
              <m:r>
                <w:rPr>
                  <w:rFonts w:ascii="Cambria Math" w:hAnsi="Cambria Math"/>
                  <w:sz w:val="24"/>
                  <w:szCs w:val="24"/>
                  <w:lang w:val="en-US"/>
                </w:rPr>
                <m:rPr/>
                <m:t>-3</m:t>
              </m:r>
            </m:sup>
          </m:sSup>
          <m:r>
            <w:rPr>
              <w:rFonts w:ascii="Cambria Math" w:hAnsi="Cambria Math"/>
              <w:sz w:val="24"/>
              <w:szCs w:val="24"/>
              <w:lang w:val="en-US"/>
            </w:rPr>
            <m:rPr/>
            <m:t>, Гкал</m:t>
          </m:r>
        </m:oMath>
      </m:oMathPara>
      <w:r>
        <w:rPr>
          <w:sz w:val="24"/>
          <w:szCs w:val="24"/>
        </w:rPr>
      </w:r>
      <w:r>
        <w:rPr>
          <w:sz w:val="24"/>
          <w:szCs w:val="24"/>
        </w:rPr>
      </w:r>
    </w:p>
    <w:p>
      <w:pPr>
        <w:ind w:left="142" w:firstLine="709"/>
        <w:jc w:val="both"/>
        <w:rPr>
          <w:sz w:val="24"/>
          <w:szCs w:val="24"/>
        </w:rPr>
      </w:pPr>
      <w:r>
        <w:rPr>
          <w:sz w:val="24"/>
          <w:szCs w:val="24"/>
        </w:rPr>
      </w:r>
      <w:r>
        <w:rPr>
          <w:sz w:val="24"/>
          <w:szCs w:val="24"/>
        </w:rPr>
      </w:r>
      <w:r>
        <w:rPr>
          <w:sz w:val="24"/>
          <w:szCs w:val="24"/>
        </w:rPr>
      </w:r>
    </w:p>
    <w:p>
      <w:pPr>
        <w:ind w:left="142" w:firstLine="709"/>
        <w:jc w:val="both"/>
        <w:rPr>
          <w:sz w:val="24"/>
          <w:szCs w:val="24"/>
        </w:rPr>
      </w:pPr>
      <w:r>
        <w:rPr>
          <w:bCs/>
          <w:sz w:val="24"/>
          <w:szCs w:val="24"/>
        </w:rPr>
        <w:t xml:space="preserve">где </w:t>
      </w:r>
      <m:oMath>
        <m:sSubSup>
          <m:sSubSupPr>
            <m:alnScr m:val="off"/>
            <m:ctrlPr>
              <w:rPr>
                <w:rFonts w:ascii="Cambria Math" w:hAnsi="Cambria Math"/>
                <w:i/>
                <w:sz w:val="24"/>
                <w:szCs w:val="24"/>
                <w:lang w:val="en-US"/>
              </w:rPr>
            </m:ctrlPr>
          </m:sSubSupPr>
          <m:e>
            <m:r>
              <w:rPr>
                <w:rFonts w:ascii="Cambria Math" w:hAnsi="Cambria Math"/>
                <w:sz w:val="24"/>
                <w:szCs w:val="24"/>
                <w:lang w:val="en-US"/>
              </w:rPr>
              <m:rPr/>
              <m:t>g</m:t>
            </m:r>
          </m:e>
          <m:sub>
            <m:r>
              <w:rPr>
                <w:rFonts w:ascii="Cambria Math" w:hAnsi="Cambria Math"/>
                <w:sz w:val="24"/>
                <w:szCs w:val="24"/>
                <w:lang w:val="en-US"/>
              </w:rPr>
              <m:rPr/>
              <m:t>j</m:t>
            </m:r>
          </m:sub>
          <m:sup>
            <m:r>
              <w:rPr>
                <w:rFonts w:ascii="Cambria Math" w:hAnsi="Cambria Math"/>
                <w:sz w:val="24"/>
                <w:szCs w:val="24"/>
              </w:rPr>
              <m:rPr/>
              <m:t>р</m:t>
            </m:r>
          </m:sup>
        </m:sSubSup>
      </m:oMath>
      <w:r>
        <w:rPr>
          <w:sz w:val="24"/>
          <w:szCs w:val="24"/>
        </w:rPr>
        <w:t xml:space="preserve"> – расчетный при </w:t>
      </w:r>
      <m:oMath>
        <m:sSup>
          <m:sSupPr>
            <m:ctrlPr>
              <w:rPr>
                <w:rFonts w:ascii="Cambria Math" w:hAnsi="Cambria Math"/>
                <w:i/>
                <w:sz w:val="24"/>
                <w:szCs w:val="24"/>
                <w:lang w:val="en-US"/>
              </w:rPr>
            </m:ctrlPr>
          </m:sSupPr>
          <m:e>
            <m:r>
              <w:rPr>
                <w:rFonts w:ascii="Cambria Math" w:hAnsi="Cambria Math"/>
                <w:sz w:val="24"/>
                <w:szCs w:val="24"/>
                <w:lang w:val="en-US"/>
              </w:rPr>
              <m:rPr/>
              <m:t>t</m:t>
            </m:r>
          </m:e>
          <m:sup>
            <m:r>
              <w:rPr>
                <w:rFonts w:ascii="Cambria Math" w:hAnsi="Cambria Math"/>
                <w:sz w:val="24"/>
                <w:szCs w:val="24"/>
              </w:rPr>
              <m:rPr/>
              <m:t>нр</m:t>
            </m:r>
          </m:sup>
        </m:sSup>
      </m:oMath>
      <w:r>
        <w:rPr>
          <w:sz w:val="24"/>
          <w:szCs w:val="24"/>
        </w:rPr>
        <w:t xml:space="preserve"> часовой расход теплоносителя у </w:t>
      </w:r>
      <w:r>
        <w:rPr>
          <w:i/>
          <w:sz w:val="24"/>
          <w:szCs w:val="24"/>
          <w:lang w:val="en-US"/>
        </w:rPr>
        <w:t xml:space="preserve">j</w:t>
      </w:r>
      <w:r>
        <w:rPr>
          <w:sz w:val="24"/>
          <w:szCs w:val="24"/>
        </w:rPr>
        <w:t xml:space="preserve">-го потребителя, т/ч;</w:t>
      </w:r>
      <w:r>
        <w:rPr>
          <w:sz w:val="24"/>
          <w:szCs w:val="24"/>
        </w:rPr>
      </w:r>
      <w:r>
        <w:rPr>
          <w:sz w:val="24"/>
          <w:szCs w:val="24"/>
        </w:rPr>
      </w:r>
    </w:p>
    <w:p>
      <w:pPr>
        <w:ind w:left="142" w:firstLine="709"/>
        <w:jc w:val="both"/>
        <w:rPr>
          <w:sz w:val="24"/>
          <w:szCs w:val="24"/>
        </w:rPr>
      </w:pPr>
      <w:r/>
      <m:oMath>
        <m:sSub>
          <m:sSubPr>
            <m:ctrlPr>
              <w:rPr>
                <w:rFonts w:ascii="Cambria Math" w:hAnsi="Cambria Math"/>
                <w:i/>
                <w:sz w:val="24"/>
                <w:szCs w:val="24"/>
                <w:lang w:val="en-US"/>
              </w:rPr>
            </m:ctrlPr>
          </m:sSubPr>
          <m:e>
            <m:r>
              <w:rPr>
                <w:rFonts w:ascii="Cambria Math" w:hAnsi="Cambria Math"/>
                <w:sz w:val="24"/>
                <w:szCs w:val="24"/>
                <w:lang w:val="en-US"/>
              </w:rPr>
              <m:rPr/>
              <m:t>g</m:t>
            </m:r>
          </m:e>
          <m:sub>
            <m:r>
              <w:rPr>
                <w:rFonts w:ascii="Cambria Math" w:hAnsi="Cambria Math"/>
                <w:sz w:val="24"/>
                <w:szCs w:val="24"/>
                <w:lang w:val="en-US"/>
              </w:rPr>
              <m:rPr/>
              <m:t>j</m:t>
            </m:r>
            <m:r>
              <w:rPr>
                <w:rFonts w:ascii="Cambria Math" w:hAnsi="Cambria Math"/>
                <w:sz w:val="24"/>
                <w:szCs w:val="24"/>
              </w:rPr>
              <m:rPr/>
              <m:t>,</m:t>
            </m:r>
            <m:r>
              <w:rPr>
                <w:rFonts w:ascii="Cambria Math" w:hAnsi="Cambria Math"/>
                <w:sz w:val="24"/>
                <w:szCs w:val="24"/>
                <w:lang w:val="en-US"/>
              </w:rPr>
              <m:rPr/>
              <m:t>f</m:t>
            </m:r>
          </m:sub>
        </m:sSub>
      </m:oMath>
      <w:r>
        <w:rPr>
          <w:sz w:val="24"/>
          <w:szCs w:val="24"/>
        </w:rPr>
        <w:t xml:space="preserve"> – часовой расход теплоносителя у </w:t>
      </w:r>
      <w:r>
        <w:rPr>
          <w:i/>
          <w:sz w:val="24"/>
          <w:szCs w:val="24"/>
          <w:lang w:val="en-US"/>
        </w:rPr>
        <w:t xml:space="preserve">j</w:t>
      </w:r>
      <w:r>
        <w:rPr>
          <w:sz w:val="24"/>
          <w:szCs w:val="24"/>
        </w:rPr>
        <w:t xml:space="preserve">-го потребителя при отказе </w:t>
      </w:r>
      <w:r>
        <w:rPr>
          <w:bCs/>
          <w:i/>
          <w:sz w:val="24"/>
          <w:szCs w:val="24"/>
          <w:lang w:val="en-US"/>
        </w:rPr>
        <w:t xml:space="preserve">f</w:t>
      </w:r>
      <w:r>
        <w:rPr>
          <w:i/>
          <w:sz w:val="24"/>
          <w:szCs w:val="24"/>
        </w:rPr>
        <w:t xml:space="preserve">-</w:t>
      </w:r>
      <w:r>
        <w:rPr>
          <w:sz w:val="24"/>
          <w:szCs w:val="24"/>
        </w:rPr>
        <w:t xml:space="preserve">го элемента, т/ч;</w:t>
      </w:r>
      <w:r>
        <w:rPr>
          <w:sz w:val="24"/>
          <w:szCs w:val="24"/>
        </w:rPr>
      </w:r>
      <w:r>
        <w:rPr>
          <w:sz w:val="24"/>
          <w:szCs w:val="24"/>
        </w:rPr>
      </w:r>
    </w:p>
    <w:p>
      <w:pPr>
        <w:ind w:left="142" w:firstLine="709"/>
        <w:jc w:val="both"/>
        <w:rPr>
          <w:sz w:val="24"/>
          <w:szCs w:val="24"/>
        </w:rPr>
      </w:pPr>
      <w:r/>
      <m:oMath>
        <m:sSubSup>
          <m:sSubSupPr>
            <m:alnScr m:val="off"/>
            <m:ctrlPr>
              <w:rPr>
                <w:rFonts w:ascii="Cambria Math" w:hAnsi="Cambria Math"/>
                <w:i/>
                <w:sz w:val="24"/>
                <w:szCs w:val="24"/>
                <w:lang w:val="en-US"/>
              </w:rPr>
            </m:ctrlPr>
          </m:sSubSupPr>
          <m:e>
            <m:r>
              <w:rPr>
                <w:rFonts w:ascii="Cambria Math" w:hAnsi="Cambria Math"/>
                <w:sz w:val="24"/>
                <w:szCs w:val="24"/>
                <w:lang w:val="en-US"/>
              </w:rPr>
              <m:rPr/>
              <m:t>τ</m:t>
            </m:r>
          </m:e>
          <m:sub>
            <m:r>
              <w:rPr>
                <w:rFonts w:ascii="Cambria Math" w:hAnsi="Cambria Math"/>
                <w:sz w:val="24"/>
                <w:szCs w:val="24"/>
              </w:rPr>
              <m:rPr/>
              <m:t>1</m:t>
            </m:r>
          </m:sub>
          <m:sup>
            <m:r>
              <w:rPr>
                <w:rFonts w:ascii="Cambria Math" w:hAnsi="Cambria Math"/>
                <w:sz w:val="24"/>
                <w:szCs w:val="24"/>
              </w:rPr>
              <m:rPr/>
              <m:t>р</m:t>
            </m:r>
          </m:sup>
        </m:sSubSup>
      </m:oMath>
      <w:r>
        <w:rPr>
          <w:sz w:val="24"/>
          <w:szCs w:val="24"/>
        </w:rPr>
        <w:t xml:space="preserve"> и </w:t>
      </w:r>
      <m:oMath>
        <m:sSubSup>
          <m:sSubSupPr>
            <m:alnScr m:val="off"/>
            <m:ctrlPr>
              <w:rPr>
                <w:rFonts w:ascii="Cambria Math" w:hAnsi="Cambria Math"/>
                <w:i/>
                <w:sz w:val="24"/>
                <w:szCs w:val="24"/>
                <w:lang w:val="en-US"/>
              </w:rPr>
            </m:ctrlPr>
          </m:sSubSupPr>
          <m:e>
            <m:r>
              <w:rPr>
                <w:rFonts w:ascii="Cambria Math" w:hAnsi="Cambria Math"/>
                <w:sz w:val="24"/>
                <w:szCs w:val="24"/>
                <w:lang w:val="en-US"/>
              </w:rPr>
              <m:rPr/>
              <m:t>τ</m:t>
            </m:r>
          </m:e>
          <m:sub>
            <m:r>
              <w:rPr>
                <w:rFonts w:ascii="Cambria Math" w:hAnsi="Cambria Math"/>
                <w:sz w:val="24"/>
                <w:szCs w:val="24"/>
              </w:rPr>
              <m:rPr/>
              <m:t>2</m:t>
            </m:r>
          </m:sub>
          <m:sup>
            <m:r>
              <w:rPr>
                <w:rFonts w:ascii="Cambria Math" w:hAnsi="Cambria Math"/>
                <w:sz w:val="24"/>
                <w:szCs w:val="24"/>
              </w:rPr>
              <m:rPr/>
              <m:t>р</m:t>
            </m:r>
          </m:sup>
        </m:sSubSup>
      </m:oMath>
      <w:r>
        <w:rPr>
          <w:sz w:val="24"/>
          <w:szCs w:val="24"/>
        </w:rPr>
        <w:t xml:space="preserve"> - расчетные (при </w:t>
      </w:r>
      <m:oMath>
        <m:sSup>
          <m:sSupPr>
            <m:ctrlPr>
              <w:rPr>
                <w:rFonts w:ascii="Cambria Math" w:hAnsi="Cambria Math"/>
                <w:i/>
                <w:sz w:val="24"/>
                <w:szCs w:val="24"/>
                <w:lang w:val="en-US"/>
              </w:rPr>
            </m:ctrlPr>
          </m:sSupPr>
          <m:e>
            <m:r>
              <w:rPr>
                <w:rFonts w:ascii="Cambria Math" w:hAnsi="Cambria Math"/>
                <w:sz w:val="24"/>
                <w:szCs w:val="24"/>
                <w:lang w:val="en-US"/>
              </w:rPr>
              <m:rPr/>
              <m:t>t</m:t>
            </m:r>
          </m:e>
          <m:sup>
            <m:r>
              <w:rPr>
                <w:rFonts w:ascii="Cambria Math" w:hAnsi="Cambria Math"/>
                <w:sz w:val="24"/>
                <w:szCs w:val="24"/>
              </w:rPr>
              <m:rPr/>
              <m:t>нр</m:t>
            </m:r>
          </m:sup>
        </m:sSup>
      </m:oMath>
      <w:r>
        <w:rPr>
          <w:sz w:val="24"/>
          <w:szCs w:val="24"/>
        </w:rPr>
        <w:t xml:space="preserve">) температуры воды в подающей и обратной магистралях ТС,</w:t>
      </w:r>
      <w:r>
        <w:rPr>
          <w:sz w:val="24"/>
          <w:szCs w:val="24"/>
          <w:vertAlign w:val="superscript"/>
        </w:rPr>
        <w:t xml:space="preserve"> 0</w:t>
      </w:r>
      <w:r>
        <w:rPr>
          <w:sz w:val="24"/>
          <w:szCs w:val="24"/>
        </w:rPr>
        <w:t xml:space="preserve">С.</w:t>
      </w:r>
      <w:r>
        <w:rPr>
          <w:sz w:val="24"/>
          <w:szCs w:val="24"/>
        </w:rPr>
      </w:r>
      <w:r>
        <w:rPr>
          <w:sz w:val="24"/>
          <w:szCs w:val="24"/>
        </w:rPr>
      </w:r>
    </w:p>
    <w:p>
      <w:pPr>
        <w:ind w:left="142" w:firstLine="709"/>
        <w:jc w:val="both"/>
        <w:rPr>
          <w:sz w:val="24"/>
          <w:szCs w:val="24"/>
        </w:rPr>
      </w:pPr>
      <w:r>
        <w:rPr>
          <w:bCs/>
          <w:sz w:val="24"/>
          <w:szCs w:val="24"/>
        </w:rPr>
        <w:t xml:space="preserve">Приведённый объем недоотпуска теплоты каждому потребителю </w:t>
      </w:r>
      <w:r>
        <w:rPr>
          <w:sz w:val="24"/>
          <w:szCs w:val="24"/>
        </w:rPr>
        <w:t xml:space="preserve">определяется </w:t>
      </w:r>
      <w:r>
        <w:rPr>
          <w:bCs/>
          <w:sz w:val="24"/>
          <w:szCs w:val="24"/>
        </w:rPr>
        <w:t xml:space="preserve">при следующих исходных данных:</w:t>
      </w:r>
      <w:r>
        <w:rPr>
          <w:sz w:val="24"/>
          <w:szCs w:val="24"/>
        </w:rPr>
      </w:r>
      <w:r>
        <w:rPr>
          <w:sz w:val="24"/>
          <w:szCs w:val="24"/>
        </w:rPr>
      </w:r>
    </w:p>
    <w:p>
      <w:pPr>
        <w:ind w:left="142" w:firstLine="709"/>
        <w:jc w:val="both"/>
        <w:rPr>
          <w:bCs/>
          <w:sz w:val="24"/>
          <w:szCs w:val="24"/>
        </w:rPr>
      </w:pPr>
      <w:r>
        <w:rPr>
          <w:sz w:val="24"/>
          <w:szCs w:val="24"/>
        </w:rPr>
        <w:t xml:space="preserve">- расчётная (при </w:t>
      </w:r>
      <m:oMath>
        <m:sSup>
          <m:sSupPr>
            <m:ctrlPr>
              <w:rPr>
                <w:rFonts w:ascii="Cambria Math" w:hAnsi="Cambria Math"/>
                <w:i/>
                <w:sz w:val="24"/>
                <w:szCs w:val="24"/>
                <w:lang w:val="en-US"/>
              </w:rPr>
            </m:ctrlPr>
          </m:sSupPr>
          <m:e>
            <m:r>
              <w:rPr>
                <w:rFonts w:ascii="Cambria Math" w:hAnsi="Cambria Math"/>
                <w:sz w:val="24"/>
                <w:szCs w:val="24"/>
                <w:lang w:val="en-US"/>
              </w:rPr>
              <m:rPr/>
              <m:t>t</m:t>
            </m:r>
          </m:e>
          <m:sup>
            <m:r>
              <w:rPr>
                <w:rFonts w:ascii="Cambria Math" w:hAnsi="Cambria Math"/>
                <w:sz w:val="24"/>
                <w:szCs w:val="24"/>
              </w:rPr>
              <m:rPr/>
              <m:t>нр</m:t>
            </m:r>
          </m:sup>
        </m:sSup>
      </m:oMath>
      <w:r>
        <w:rPr>
          <w:sz w:val="24"/>
          <w:szCs w:val="24"/>
        </w:rPr>
        <w:t xml:space="preserve">) температура воды в подающей</w:t>
      </w:r>
      <w:r>
        <w:rPr>
          <w:bCs/>
          <w:sz w:val="24"/>
          <w:szCs w:val="24"/>
        </w:rPr>
        <w:t xml:space="preserve"> </w:t>
      </w:r>
      <w:r>
        <w:rPr>
          <w:sz w:val="24"/>
          <w:szCs w:val="24"/>
        </w:rPr>
        <w:t xml:space="preserve">магистрали тепловой сети</w:t>
      </w:r>
      <w:r>
        <w:rPr>
          <w:bCs/>
          <w:sz w:val="24"/>
          <w:szCs w:val="24"/>
        </w:rPr>
        <w:t xml:space="preserve">: </w:t>
      </w:r>
      <m:oMath>
        <m:sSubSup>
          <m:sSubSupPr>
            <m:alnScr m:val="off"/>
            <m:ctrlPr>
              <w:rPr>
                <w:rFonts w:ascii="Cambria Math" w:hAnsi="Cambria Math"/>
                <w:i/>
                <w:sz w:val="24"/>
                <w:szCs w:val="24"/>
                <w:lang w:val="en-US"/>
              </w:rPr>
            </m:ctrlPr>
          </m:sSubSupPr>
          <m:e>
            <m:r>
              <w:rPr>
                <w:rFonts w:ascii="Cambria Math" w:hAnsi="Cambria Math"/>
                <w:sz w:val="24"/>
                <w:szCs w:val="24"/>
                <w:lang w:val="en-US"/>
              </w:rPr>
              <m:rPr/>
              <m:t>τ</m:t>
            </m:r>
          </m:e>
          <m:sub>
            <m:r>
              <w:rPr>
                <w:rFonts w:ascii="Cambria Math" w:hAnsi="Cambria Math"/>
                <w:sz w:val="24"/>
                <w:szCs w:val="24"/>
              </w:rPr>
              <m:rPr/>
              <m:t>1</m:t>
            </m:r>
          </m:sub>
          <m:sup>
            <m:r>
              <w:rPr>
                <w:rFonts w:ascii="Cambria Math" w:hAnsi="Cambria Math"/>
                <w:sz w:val="24"/>
                <w:szCs w:val="24"/>
              </w:rPr>
              <m:rPr/>
              <m:t>р</m:t>
            </m:r>
          </m:sup>
        </m:sSubSup>
      </m:oMath>
      <w:r>
        <w:rPr>
          <w:bCs/>
          <w:sz w:val="24"/>
          <w:szCs w:val="24"/>
        </w:rPr>
        <w:t xml:space="preserve"> = 95 </w:t>
      </w:r>
      <w:r>
        <w:rPr>
          <w:sz w:val="24"/>
          <w:szCs w:val="24"/>
          <w:vertAlign w:val="superscript"/>
        </w:rPr>
        <w:t xml:space="preserve">0</w:t>
      </w:r>
      <w:r>
        <w:rPr>
          <w:sz w:val="24"/>
          <w:szCs w:val="24"/>
        </w:rPr>
        <w:t xml:space="preserve">С</w:t>
      </w:r>
      <w:r>
        <w:rPr>
          <w:bCs/>
          <w:sz w:val="24"/>
          <w:szCs w:val="24"/>
        </w:rPr>
        <w:t xml:space="preserve">;</w:t>
      </w:r>
      <w:r>
        <w:rPr>
          <w:bCs/>
          <w:sz w:val="24"/>
          <w:szCs w:val="24"/>
        </w:rPr>
      </w:r>
      <w:r>
        <w:rPr>
          <w:bCs/>
          <w:sz w:val="24"/>
          <w:szCs w:val="24"/>
        </w:rPr>
      </w:r>
    </w:p>
    <w:p>
      <w:pPr>
        <w:ind w:left="142" w:firstLine="709"/>
        <w:jc w:val="both"/>
        <w:rPr>
          <w:bCs/>
          <w:sz w:val="24"/>
          <w:szCs w:val="24"/>
        </w:rPr>
      </w:pPr>
      <w:r>
        <w:rPr>
          <w:sz w:val="24"/>
          <w:szCs w:val="24"/>
        </w:rPr>
        <w:t xml:space="preserve">- расчётная (при </w:t>
      </w:r>
      <m:oMath>
        <m:sSup>
          <m:sSupPr>
            <m:ctrlPr>
              <w:rPr>
                <w:rFonts w:ascii="Cambria Math" w:hAnsi="Cambria Math"/>
                <w:i/>
                <w:sz w:val="24"/>
                <w:szCs w:val="24"/>
                <w:lang w:val="en-US"/>
              </w:rPr>
            </m:ctrlPr>
          </m:sSupPr>
          <m:e>
            <m:r>
              <w:rPr>
                <w:rFonts w:ascii="Cambria Math" w:hAnsi="Cambria Math"/>
                <w:sz w:val="24"/>
                <w:szCs w:val="24"/>
                <w:lang w:val="en-US"/>
              </w:rPr>
              <m:rPr/>
              <m:t>t</m:t>
            </m:r>
          </m:e>
          <m:sup>
            <m:r>
              <w:rPr>
                <w:rFonts w:ascii="Cambria Math" w:hAnsi="Cambria Math"/>
                <w:sz w:val="24"/>
                <w:szCs w:val="24"/>
              </w:rPr>
              <m:rPr/>
              <m:t>нр</m:t>
            </m:r>
          </m:sup>
        </m:sSup>
      </m:oMath>
      <w:r>
        <w:rPr>
          <w:sz w:val="24"/>
          <w:szCs w:val="24"/>
        </w:rPr>
        <w:t xml:space="preserve">) температура воды в обратной</w:t>
      </w:r>
      <w:r>
        <w:rPr>
          <w:bCs/>
          <w:sz w:val="24"/>
          <w:szCs w:val="24"/>
        </w:rPr>
        <w:t xml:space="preserve"> </w:t>
      </w:r>
      <w:r>
        <w:rPr>
          <w:sz w:val="24"/>
          <w:szCs w:val="24"/>
        </w:rPr>
        <w:t xml:space="preserve">магистрали тепловой сети</w:t>
      </w:r>
      <w:r>
        <w:rPr>
          <w:bCs/>
          <w:sz w:val="24"/>
          <w:szCs w:val="24"/>
        </w:rPr>
        <w:t xml:space="preserve">: </w:t>
      </w:r>
      <m:oMath>
        <m:sSubSup>
          <m:sSubSupPr>
            <m:alnScr m:val="off"/>
            <m:ctrlPr>
              <w:rPr>
                <w:rFonts w:ascii="Cambria Math" w:hAnsi="Cambria Math"/>
                <w:i/>
                <w:sz w:val="24"/>
                <w:szCs w:val="24"/>
                <w:lang w:val="en-US"/>
              </w:rPr>
            </m:ctrlPr>
          </m:sSubSupPr>
          <m:e>
            <m:r>
              <w:rPr>
                <w:rFonts w:ascii="Cambria Math" w:hAnsi="Cambria Math"/>
                <w:sz w:val="24"/>
                <w:szCs w:val="24"/>
                <w:lang w:val="en-US"/>
              </w:rPr>
              <m:rPr/>
              <m:t>τ</m:t>
            </m:r>
          </m:e>
          <m:sub>
            <m:r>
              <w:rPr>
                <w:rFonts w:ascii="Cambria Math" w:hAnsi="Cambria Math"/>
                <w:sz w:val="24"/>
                <w:szCs w:val="24"/>
              </w:rPr>
              <m:rPr/>
              <m:t>2</m:t>
            </m:r>
          </m:sub>
          <m:sup>
            <m:r>
              <w:rPr>
                <w:rFonts w:ascii="Cambria Math" w:hAnsi="Cambria Math"/>
                <w:sz w:val="24"/>
                <w:szCs w:val="24"/>
              </w:rPr>
              <m:rPr/>
              <m:t>р</m:t>
            </m:r>
          </m:sup>
        </m:sSubSup>
      </m:oMath>
      <w:r>
        <w:rPr>
          <w:bCs/>
          <w:sz w:val="24"/>
          <w:szCs w:val="24"/>
        </w:rPr>
        <w:t xml:space="preserve"> = 70 </w:t>
      </w:r>
      <w:r>
        <w:rPr>
          <w:sz w:val="24"/>
          <w:szCs w:val="24"/>
          <w:vertAlign w:val="superscript"/>
        </w:rPr>
        <w:t xml:space="preserve">0</w:t>
      </w:r>
      <w:r>
        <w:rPr>
          <w:sz w:val="24"/>
          <w:szCs w:val="24"/>
        </w:rPr>
        <w:t xml:space="preserve">С</w:t>
      </w:r>
      <w:r>
        <w:rPr>
          <w:bCs/>
          <w:sz w:val="24"/>
          <w:szCs w:val="24"/>
        </w:rPr>
        <w:t xml:space="preserve">;</w:t>
      </w:r>
      <w:r>
        <w:rPr>
          <w:bCs/>
          <w:sz w:val="24"/>
          <w:szCs w:val="24"/>
        </w:rPr>
      </w:r>
      <w:r>
        <w:rPr>
          <w:bCs/>
          <w:sz w:val="24"/>
          <w:szCs w:val="24"/>
        </w:rPr>
      </w:r>
    </w:p>
    <w:p>
      <w:pPr>
        <w:ind w:left="142" w:firstLine="709"/>
        <w:jc w:val="both"/>
        <w:rPr>
          <w:sz w:val="24"/>
          <w:szCs w:val="24"/>
        </w:rPr>
      </w:pPr>
      <w:r>
        <w:rPr>
          <w:sz w:val="24"/>
          <w:szCs w:val="24"/>
        </w:rPr>
        <w:t xml:space="preserve">- часовой расход теплоносителя у </w:t>
      </w:r>
      <w:r>
        <w:rPr>
          <w:i/>
          <w:sz w:val="24"/>
          <w:szCs w:val="24"/>
          <w:lang w:val="en-US"/>
        </w:rPr>
        <w:t xml:space="preserve">j</w:t>
      </w:r>
      <w:r>
        <w:rPr>
          <w:sz w:val="24"/>
          <w:szCs w:val="24"/>
        </w:rPr>
        <w:t xml:space="preserve">-го потребителя при отказе </w:t>
      </w:r>
      <w:r>
        <w:rPr>
          <w:bCs/>
          <w:i/>
          <w:sz w:val="24"/>
          <w:szCs w:val="24"/>
          <w:lang w:val="en-US"/>
        </w:rPr>
        <w:t xml:space="preserve">f</w:t>
      </w:r>
      <w:r>
        <w:rPr>
          <w:i/>
          <w:sz w:val="24"/>
          <w:szCs w:val="24"/>
        </w:rPr>
        <w:t xml:space="preserve">-</w:t>
      </w:r>
      <w:r>
        <w:rPr>
          <w:sz w:val="24"/>
          <w:szCs w:val="24"/>
        </w:rPr>
        <w:t xml:space="preserve">го элемента </w:t>
      </w:r>
      <m:oMath>
        <m:sSub>
          <m:sSubPr>
            <m:ctrlPr>
              <w:rPr>
                <w:rFonts w:ascii="Cambria Math" w:hAnsi="Cambria Math"/>
                <w:i/>
                <w:sz w:val="24"/>
                <w:szCs w:val="24"/>
                <w:lang w:val="en-US"/>
              </w:rPr>
            </m:ctrlPr>
          </m:sSubPr>
          <m:e>
            <m:r>
              <w:rPr>
                <w:rFonts w:ascii="Cambria Math" w:hAnsi="Cambria Math"/>
                <w:sz w:val="24"/>
                <w:szCs w:val="24"/>
                <w:lang w:val="en-US"/>
              </w:rPr>
              <m:rPr/>
              <m:t>g</m:t>
            </m:r>
          </m:e>
          <m:sub>
            <m:r>
              <w:rPr>
                <w:rFonts w:ascii="Cambria Math" w:hAnsi="Cambria Math"/>
                <w:sz w:val="24"/>
                <w:szCs w:val="24"/>
                <w:lang w:val="en-US"/>
              </w:rPr>
              <m:rPr/>
              <m:t>j</m:t>
            </m:r>
            <m:r>
              <w:rPr>
                <w:rFonts w:ascii="Cambria Math" w:hAnsi="Cambria Math"/>
                <w:sz w:val="24"/>
                <w:szCs w:val="24"/>
              </w:rPr>
              <m:rPr/>
              <m:t>,</m:t>
            </m:r>
            <m:r>
              <w:rPr>
                <w:rFonts w:ascii="Cambria Math" w:hAnsi="Cambria Math"/>
                <w:sz w:val="24"/>
                <w:szCs w:val="24"/>
                <w:lang w:val="en-US"/>
              </w:rPr>
              <m:rPr/>
              <m:t>f</m:t>
            </m:r>
          </m:sub>
        </m:sSub>
      </m:oMath>
      <w:r>
        <w:rPr>
          <w:sz w:val="24"/>
          <w:szCs w:val="24"/>
        </w:rPr>
        <w:t xml:space="preserve">.</w:t>
      </w:r>
      <w:r>
        <w:rPr>
          <w:sz w:val="24"/>
          <w:szCs w:val="24"/>
        </w:rPr>
      </w:r>
      <w:r>
        <w:rPr>
          <w:sz w:val="24"/>
          <w:szCs w:val="24"/>
        </w:rPr>
      </w:r>
    </w:p>
    <w:p>
      <w:pPr>
        <w:ind w:left="142" w:firstLine="709"/>
        <w:jc w:val="both"/>
        <w:rPr>
          <w:bCs/>
          <w:iCs/>
          <w:sz w:val="24"/>
          <w:szCs w:val="24"/>
        </w:rPr>
      </w:pPr>
      <w:r>
        <w:rPr>
          <w:bCs/>
          <w:iCs/>
          <w:sz w:val="24"/>
          <w:szCs w:val="24"/>
        </w:rPr>
        <w:t xml:space="preserve">В виду отсутствия энергетического аудита обследования потребителей отсутствует возможность определения необходимых коэффициентов тепловой аккумуляции на потребителях, что не позволяет в полной мере рассчитать надёжность для каждого потребителя.</w:t>
      </w:r>
      <w:r>
        <w:rPr>
          <w:bCs/>
          <w:iCs/>
          <w:sz w:val="24"/>
          <w:szCs w:val="24"/>
        </w:rPr>
      </w:r>
      <w:r>
        <w:rPr>
          <w:bCs/>
          <w:iCs/>
          <w:sz w:val="24"/>
          <w:szCs w:val="24"/>
        </w:rPr>
      </w:r>
    </w:p>
    <w:p>
      <w:pPr>
        <w:pStyle w:val="1247"/>
        <w:rPr>
          <w:b/>
        </w:rPr>
      </w:pPr>
      <w:r>
        <w:rPr>
          <w:b/>
        </w:rPr>
      </w:r>
      <w:r>
        <w:rPr>
          <w:b/>
        </w:rPr>
      </w:r>
      <w:r>
        <w:rPr>
          <w:b/>
        </w:rPr>
      </w:r>
    </w:p>
    <w:p>
      <w:pPr>
        <w:pStyle w:val="1248"/>
        <w:ind w:firstLine="733"/>
        <w:spacing w:before="0"/>
      </w:pPr>
      <w:r/>
      <w:bookmarkStart w:id="578" w:name="_bookmark303"/>
      <w:r/>
      <w:bookmarkStart w:id="579" w:name="_Toc130232051"/>
      <w:r/>
      <w:bookmarkStart w:id="580" w:name="_Toc165540831"/>
      <w:r/>
      <w:bookmarkEnd w:id="578"/>
      <w:r>
        <w:rPr>
          <w:lang w:eastAsia="ru-RU"/>
        </w:rPr>
        <w:t xml:space="preserve">11.6 </w:t>
      </w:r>
      <w:r>
        <w:t xml:space="preserve">Предложения,</w:t>
      </w:r>
      <w:r>
        <w:rPr>
          <w:spacing w:val="-6"/>
        </w:rPr>
        <w:t xml:space="preserve"> </w:t>
      </w:r>
      <w:r>
        <w:t xml:space="preserve">обеспечивающие</w:t>
      </w:r>
      <w:r>
        <w:rPr>
          <w:spacing w:val="-1"/>
        </w:rPr>
        <w:t xml:space="preserve"> </w:t>
      </w:r>
      <w:r>
        <w:t xml:space="preserve">надёжность</w:t>
      </w:r>
      <w:r>
        <w:rPr>
          <w:spacing w:val="-3"/>
        </w:rPr>
        <w:t xml:space="preserve"> </w:t>
      </w:r>
      <w:r>
        <w:t xml:space="preserve">систем</w:t>
      </w:r>
      <w:r>
        <w:rPr>
          <w:spacing w:val="-4"/>
        </w:rPr>
        <w:t xml:space="preserve"> </w:t>
      </w:r>
      <w:r>
        <w:rPr>
          <w:spacing w:val="-2"/>
        </w:rPr>
        <w:t xml:space="preserve">теплоснабжения</w:t>
      </w:r>
      <w:bookmarkEnd w:id="579"/>
      <w:r/>
      <w:bookmarkEnd w:id="580"/>
      <w:r/>
      <w:r/>
    </w:p>
    <w:p>
      <w:pPr>
        <w:pStyle w:val="1248"/>
        <w:ind w:right="105" w:firstLine="733"/>
        <w:spacing w:before="120"/>
      </w:pPr>
      <w:r/>
      <w:bookmarkStart w:id="581" w:name="_bookmark304"/>
      <w:r/>
      <w:bookmarkStart w:id="582" w:name="_Toc130232052"/>
      <w:r/>
      <w:bookmarkStart w:id="583" w:name="_Toc165540832"/>
      <w:r/>
      <w:bookmarkEnd w:id="581"/>
      <w:r>
        <w:rPr>
          <w:lang w:eastAsia="ru-RU"/>
        </w:rPr>
        <w:t xml:space="preserve">11.6.1 </w:t>
      </w:r>
      <w:r>
        <w:t xml:space="preserve">Применение</w:t>
      </w:r>
      <w:r>
        <w:rPr>
          <w:spacing w:val="-15"/>
        </w:rPr>
        <w:t xml:space="preserve"> </w:t>
      </w:r>
      <w:r>
        <w:t xml:space="preserve">на</w:t>
      </w:r>
      <w:r>
        <w:rPr>
          <w:spacing w:val="-15"/>
        </w:rPr>
        <w:t xml:space="preserve"> </w:t>
      </w:r>
      <w:r>
        <w:t xml:space="preserve">источниках</w:t>
      </w:r>
      <w:r>
        <w:rPr>
          <w:spacing w:val="-15"/>
        </w:rPr>
        <w:t xml:space="preserve"> </w:t>
      </w:r>
      <w:r>
        <w:t xml:space="preserve">тепловой</w:t>
      </w:r>
      <w:r>
        <w:rPr>
          <w:spacing w:val="-15"/>
        </w:rPr>
        <w:t xml:space="preserve"> </w:t>
      </w:r>
      <w:r>
        <w:t xml:space="preserve">энергии</w:t>
      </w:r>
      <w:r>
        <w:rPr>
          <w:spacing w:val="-15"/>
        </w:rPr>
        <w:t xml:space="preserve"> </w:t>
      </w:r>
      <w:r>
        <w:t xml:space="preserve">рациональных</w:t>
      </w:r>
      <w:r>
        <w:rPr>
          <w:spacing w:val="-15"/>
        </w:rPr>
        <w:t xml:space="preserve"> </w:t>
      </w:r>
      <w:r>
        <w:t xml:space="preserve">тепловых</w:t>
      </w:r>
      <w:r>
        <w:rPr>
          <w:spacing w:val="-15"/>
        </w:rPr>
        <w:t xml:space="preserve"> </w:t>
      </w:r>
      <w:r>
        <w:t xml:space="preserve">схем с дублированными связями и новых технологий, обеспечивающих нормативную готовность энергетического оборудования</w:t>
      </w:r>
      <w:bookmarkEnd w:id="582"/>
      <w:r/>
      <w:bookmarkEnd w:id="583"/>
      <w:r/>
      <w:r/>
    </w:p>
    <w:p>
      <w:pPr>
        <w:pStyle w:val="1247"/>
        <w:ind w:left="118" w:right="115" w:firstLine="707"/>
        <w:jc w:val="both"/>
        <w:spacing w:before="116"/>
      </w:pPr>
      <w:r>
        <w:t xml:space="preserve">Применение на источниках тепловой энергии рациональных тепловых схем с дублированными связями и</w:t>
      </w:r>
      <w:r>
        <w:rPr>
          <w:spacing w:val="-2"/>
        </w:rPr>
        <w:t xml:space="preserve"> </w:t>
      </w:r>
      <w:r>
        <w:t xml:space="preserve">новых технологий,</w:t>
      </w:r>
      <w:r>
        <w:rPr>
          <w:spacing w:val="-1"/>
        </w:rPr>
        <w:t xml:space="preserve"> </w:t>
      </w:r>
      <w:r>
        <w:t xml:space="preserve">обеспечивающих</w:t>
      </w:r>
      <w:r>
        <w:rPr>
          <w:spacing w:val="-1"/>
        </w:rPr>
        <w:t xml:space="preserve"> </w:t>
      </w:r>
      <w:r>
        <w:t xml:space="preserve">готовность энергетического оборудования, не требуется.</w:t>
      </w:r>
      <w:r/>
    </w:p>
    <w:p>
      <w:pPr>
        <w:pStyle w:val="1247"/>
        <w:ind w:left="118" w:right="115" w:firstLine="707"/>
        <w:jc w:val="both"/>
        <w:spacing w:before="116"/>
      </w:pPr>
      <w:r/>
      <w:r/>
    </w:p>
    <w:p>
      <w:pPr>
        <w:pStyle w:val="1248"/>
        <w:ind w:left="1493" w:hanging="642"/>
        <w:jc w:val="left"/>
        <w:spacing w:before="71"/>
      </w:pPr>
      <w:r/>
      <w:bookmarkStart w:id="584" w:name="_bookmark305"/>
      <w:r/>
      <w:bookmarkStart w:id="585" w:name="_Toc130232053"/>
      <w:r/>
      <w:bookmarkStart w:id="586" w:name="_Toc165540833"/>
      <w:r/>
      <w:bookmarkEnd w:id="584"/>
      <w:r>
        <w:rPr>
          <w:lang w:eastAsia="ru-RU"/>
        </w:rPr>
        <w:t xml:space="preserve">11.6.2 </w:t>
      </w:r>
      <w:r>
        <w:t xml:space="preserve">Установка</w:t>
      </w:r>
      <w:r>
        <w:rPr>
          <w:spacing w:val="-3"/>
        </w:rPr>
        <w:t xml:space="preserve"> </w:t>
      </w:r>
      <w:r>
        <w:t xml:space="preserve">резервного</w:t>
      </w:r>
      <w:r>
        <w:rPr>
          <w:spacing w:val="-4"/>
        </w:rPr>
        <w:t xml:space="preserve"> </w:t>
      </w:r>
      <w:r>
        <w:rPr>
          <w:spacing w:val="-2"/>
        </w:rPr>
        <w:t xml:space="preserve">оборудования</w:t>
      </w:r>
      <w:bookmarkEnd w:id="585"/>
      <w:r/>
      <w:bookmarkEnd w:id="586"/>
      <w:r/>
      <w:r/>
    </w:p>
    <w:p>
      <w:pPr>
        <w:pStyle w:val="1247"/>
        <w:ind w:left="826"/>
        <w:spacing w:before="115"/>
      </w:pPr>
      <w:r>
        <w:t xml:space="preserve">Установка</w:t>
      </w:r>
      <w:r>
        <w:rPr>
          <w:spacing w:val="-5"/>
        </w:rPr>
        <w:t xml:space="preserve"> </w:t>
      </w:r>
      <w:r>
        <w:t xml:space="preserve">резервного</w:t>
      </w:r>
      <w:r>
        <w:rPr>
          <w:spacing w:val="-3"/>
        </w:rPr>
        <w:t xml:space="preserve"> </w:t>
      </w:r>
      <w:r>
        <w:t xml:space="preserve">оборудования</w:t>
      </w:r>
      <w:r>
        <w:rPr>
          <w:spacing w:val="-3"/>
        </w:rPr>
        <w:t xml:space="preserve"> </w:t>
      </w:r>
      <w:r>
        <w:t xml:space="preserve">на</w:t>
      </w:r>
      <w:r>
        <w:rPr>
          <w:spacing w:val="-3"/>
        </w:rPr>
        <w:t xml:space="preserve"> </w:t>
      </w:r>
      <w:r>
        <w:t xml:space="preserve">источниках</w:t>
      </w:r>
      <w:r>
        <w:rPr>
          <w:spacing w:val="-1"/>
        </w:rPr>
        <w:t xml:space="preserve"> </w:t>
      </w:r>
      <w:r>
        <w:t xml:space="preserve">теплоснабжения</w:t>
      </w:r>
      <w:r>
        <w:rPr>
          <w:spacing w:val="-6"/>
        </w:rPr>
        <w:t xml:space="preserve"> </w:t>
      </w:r>
      <w:r>
        <w:t xml:space="preserve">не</w:t>
      </w:r>
      <w:r>
        <w:rPr>
          <w:spacing w:val="-3"/>
        </w:rPr>
        <w:t xml:space="preserve"> </w:t>
      </w:r>
      <w:r>
        <w:rPr>
          <w:spacing w:val="-2"/>
        </w:rPr>
        <w:t xml:space="preserve">требуется.</w:t>
      </w:r>
      <w:r/>
    </w:p>
    <w:p>
      <w:pPr>
        <w:pStyle w:val="1247"/>
        <w:spacing w:before="1"/>
        <w:rPr>
          <w:sz w:val="27"/>
        </w:rPr>
      </w:pPr>
      <w:r>
        <w:rPr>
          <w:sz w:val="27"/>
        </w:rPr>
      </w:r>
      <w:r>
        <w:rPr>
          <w:sz w:val="27"/>
        </w:rPr>
      </w:r>
      <w:r>
        <w:rPr>
          <w:sz w:val="27"/>
        </w:rPr>
      </w:r>
    </w:p>
    <w:p>
      <w:pPr>
        <w:pStyle w:val="1248"/>
        <w:ind w:firstLine="733"/>
        <w:jc w:val="left"/>
      </w:pPr>
      <w:r/>
      <w:bookmarkStart w:id="587" w:name="_bookmark306"/>
      <w:r/>
      <w:bookmarkStart w:id="588" w:name="_Toc130232054"/>
      <w:r/>
      <w:bookmarkStart w:id="589" w:name="_Toc165540834"/>
      <w:r/>
      <w:bookmarkEnd w:id="587"/>
      <w:r>
        <w:rPr>
          <w:lang w:eastAsia="ru-RU"/>
        </w:rPr>
        <w:t xml:space="preserve">11.6.3 </w:t>
      </w:r>
      <w:r>
        <w:t xml:space="preserve">Организация</w:t>
      </w:r>
      <w:r>
        <w:rPr>
          <w:spacing w:val="-9"/>
        </w:rPr>
        <w:t xml:space="preserve"> </w:t>
      </w:r>
      <w:r>
        <w:t xml:space="preserve">совместной</w:t>
      </w:r>
      <w:r>
        <w:rPr>
          <w:spacing w:val="-8"/>
        </w:rPr>
        <w:t xml:space="preserve"> </w:t>
      </w:r>
      <w:r>
        <w:t xml:space="preserve">работы</w:t>
      </w:r>
      <w:r>
        <w:rPr>
          <w:spacing w:val="-9"/>
        </w:rPr>
        <w:t xml:space="preserve"> </w:t>
      </w:r>
      <w:r>
        <w:t xml:space="preserve">нескольких</w:t>
      </w:r>
      <w:r>
        <w:rPr>
          <w:spacing w:val="-9"/>
        </w:rPr>
        <w:t xml:space="preserve"> </w:t>
      </w:r>
      <w:r>
        <w:t xml:space="preserve">источников</w:t>
      </w:r>
      <w:r>
        <w:rPr>
          <w:spacing w:val="-11"/>
        </w:rPr>
        <w:t xml:space="preserve"> </w:t>
      </w:r>
      <w:r>
        <w:t xml:space="preserve">тепловой</w:t>
      </w:r>
      <w:r>
        <w:rPr>
          <w:spacing w:val="-8"/>
        </w:rPr>
        <w:t xml:space="preserve"> </w:t>
      </w:r>
      <w:r>
        <w:t xml:space="preserve">энергии на единую тепловую сеть</w:t>
      </w:r>
      <w:bookmarkEnd w:id="588"/>
      <w:r/>
      <w:bookmarkEnd w:id="589"/>
      <w:r/>
      <w:r/>
    </w:p>
    <w:p>
      <w:pPr>
        <w:pStyle w:val="1247"/>
        <w:ind w:left="118" w:right="109" w:firstLine="707"/>
        <w:spacing w:before="115"/>
      </w:pPr>
      <w:r>
        <w:t xml:space="preserve">Организация совместной работы нескольких источников тепловой энергии на единую тепловую сеть не требуется.</w:t>
      </w:r>
      <w:r/>
    </w:p>
    <w:p>
      <w:pPr>
        <w:pStyle w:val="1247"/>
        <w:rPr>
          <w:sz w:val="27"/>
        </w:rPr>
      </w:pPr>
      <w:r>
        <w:rPr>
          <w:sz w:val="27"/>
        </w:rPr>
      </w:r>
      <w:r>
        <w:rPr>
          <w:sz w:val="27"/>
        </w:rPr>
      </w:r>
      <w:r>
        <w:rPr>
          <w:sz w:val="27"/>
        </w:rPr>
      </w:r>
    </w:p>
    <w:p>
      <w:pPr>
        <w:pStyle w:val="1248"/>
        <w:ind w:left="221" w:right="410" w:firstLine="630"/>
      </w:pPr>
      <w:r/>
      <w:bookmarkStart w:id="590" w:name="_bookmark307"/>
      <w:r/>
      <w:bookmarkStart w:id="591" w:name="_Toc130232055"/>
      <w:r/>
      <w:bookmarkStart w:id="592" w:name="_Toc165540835"/>
      <w:r/>
      <w:bookmarkEnd w:id="590"/>
      <w:r>
        <w:rPr>
          <w:lang w:eastAsia="ru-RU"/>
        </w:rPr>
        <w:t xml:space="preserve">11.6.4 </w:t>
      </w:r>
      <w:r>
        <w:t xml:space="preserve">Резервирование</w:t>
      </w:r>
      <w:r>
        <w:rPr>
          <w:spacing w:val="-7"/>
        </w:rPr>
        <w:t xml:space="preserve"> </w:t>
      </w:r>
      <w:r>
        <w:t xml:space="preserve">тепловых</w:t>
      </w:r>
      <w:r>
        <w:rPr>
          <w:spacing w:val="-4"/>
        </w:rPr>
        <w:t xml:space="preserve"> </w:t>
      </w:r>
      <w:r>
        <w:t xml:space="preserve">сетей</w:t>
      </w:r>
      <w:r>
        <w:rPr>
          <w:spacing w:val="-3"/>
        </w:rPr>
        <w:t xml:space="preserve"> </w:t>
      </w:r>
      <w:r>
        <w:t xml:space="preserve">смежных</w:t>
      </w:r>
      <w:r>
        <w:rPr>
          <w:spacing w:val="-3"/>
        </w:rPr>
        <w:t xml:space="preserve"> </w:t>
      </w:r>
      <w:r>
        <w:t xml:space="preserve">районов</w:t>
      </w:r>
      <w:r>
        <w:rPr>
          <w:spacing w:val="-3"/>
        </w:rPr>
        <w:t xml:space="preserve"> </w:t>
      </w:r>
      <w:r>
        <w:rPr>
          <w:spacing w:val="-2"/>
        </w:rPr>
        <w:t xml:space="preserve">поселения</w:t>
      </w:r>
      <w:bookmarkEnd w:id="591"/>
      <w:r/>
      <w:bookmarkEnd w:id="592"/>
      <w:r/>
      <w:r/>
    </w:p>
    <w:p>
      <w:pPr>
        <w:pStyle w:val="1247"/>
        <w:ind w:left="663" w:right="138"/>
        <w:jc w:val="center"/>
        <w:spacing w:before="116"/>
      </w:pPr>
      <w:r>
        <w:t xml:space="preserve">Взаимное</w:t>
      </w:r>
      <w:r>
        <w:rPr>
          <w:spacing w:val="-6"/>
        </w:rPr>
        <w:t xml:space="preserve"> </w:t>
      </w:r>
      <w:r>
        <w:t xml:space="preserve">резервирование</w:t>
      </w:r>
      <w:r>
        <w:rPr>
          <w:spacing w:val="-3"/>
        </w:rPr>
        <w:t xml:space="preserve"> </w:t>
      </w:r>
      <w:r>
        <w:t xml:space="preserve">тепловых</w:t>
      </w:r>
      <w:r>
        <w:rPr>
          <w:spacing w:val="-2"/>
        </w:rPr>
        <w:t xml:space="preserve"> </w:t>
      </w:r>
      <w:r>
        <w:t xml:space="preserve">сетей</w:t>
      </w:r>
      <w:r>
        <w:rPr>
          <w:spacing w:val="-2"/>
        </w:rPr>
        <w:t xml:space="preserve"> </w:t>
      </w:r>
      <w:r>
        <w:t xml:space="preserve">смежных</w:t>
      </w:r>
      <w:r>
        <w:rPr>
          <w:spacing w:val="-2"/>
        </w:rPr>
        <w:t xml:space="preserve"> </w:t>
      </w:r>
      <w:r>
        <w:t xml:space="preserve">районов</w:t>
      </w:r>
      <w:r>
        <w:rPr>
          <w:spacing w:val="-3"/>
        </w:rPr>
        <w:t xml:space="preserve"> </w:t>
      </w:r>
      <w:r>
        <w:t xml:space="preserve">поселения</w:t>
      </w:r>
      <w:r>
        <w:rPr>
          <w:spacing w:val="-2"/>
        </w:rPr>
        <w:t xml:space="preserve"> </w:t>
      </w:r>
      <w:r>
        <w:t xml:space="preserve">не</w:t>
      </w:r>
      <w:r>
        <w:rPr>
          <w:spacing w:val="-3"/>
        </w:rPr>
        <w:t xml:space="preserve"> </w:t>
      </w:r>
      <w:r>
        <w:rPr>
          <w:spacing w:val="-2"/>
        </w:rPr>
        <w:t xml:space="preserve">требуется.</w:t>
      </w:r>
      <w:r/>
    </w:p>
    <w:p>
      <w:pPr>
        <w:pStyle w:val="1247"/>
        <w:rPr>
          <w:sz w:val="27"/>
        </w:rPr>
      </w:pPr>
      <w:r>
        <w:rPr>
          <w:sz w:val="27"/>
        </w:rPr>
      </w:r>
      <w:r>
        <w:rPr>
          <w:sz w:val="27"/>
        </w:rPr>
      </w:r>
      <w:r>
        <w:rPr>
          <w:sz w:val="27"/>
        </w:rPr>
      </w:r>
    </w:p>
    <w:p>
      <w:pPr>
        <w:pStyle w:val="1248"/>
        <w:ind w:left="1493" w:hanging="642"/>
        <w:jc w:val="left"/>
      </w:pPr>
      <w:r/>
      <w:bookmarkStart w:id="593" w:name="_bookmark308"/>
      <w:r/>
      <w:bookmarkStart w:id="594" w:name="_Toc130232056"/>
      <w:r/>
      <w:bookmarkStart w:id="595" w:name="_Toc165540836"/>
      <w:r/>
      <w:bookmarkEnd w:id="593"/>
      <w:r>
        <w:rPr>
          <w:lang w:eastAsia="ru-RU"/>
        </w:rPr>
        <w:t xml:space="preserve">11.6.5 </w:t>
      </w:r>
      <w:r>
        <w:t xml:space="preserve">Устройство</w:t>
      </w:r>
      <w:r>
        <w:rPr>
          <w:spacing w:val="-8"/>
        </w:rPr>
        <w:t xml:space="preserve"> </w:t>
      </w:r>
      <w:r>
        <w:t xml:space="preserve">резервных</w:t>
      </w:r>
      <w:r>
        <w:rPr>
          <w:spacing w:val="-2"/>
        </w:rPr>
        <w:t xml:space="preserve"> </w:t>
      </w:r>
      <w:r>
        <w:t xml:space="preserve">насосных</w:t>
      </w:r>
      <w:r>
        <w:rPr>
          <w:spacing w:val="-2"/>
        </w:rPr>
        <w:t xml:space="preserve"> станций</w:t>
      </w:r>
      <w:bookmarkEnd w:id="594"/>
      <w:r/>
      <w:bookmarkEnd w:id="595"/>
      <w:r/>
      <w:r/>
    </w:p>
    <w:p>
      <w:pPr>
        <w:pStyle w:val="1247"/>
        <w:ind w:left="826"/>
        <w:spacing w:before="115"/>
      </w:pPr>
      <w:r>
        <w:t xml:space="preserve">Устройство</w:t>
      </w:r>
      <w:r>
        <w:rPr>
          <w:spacing w:val="-4"/>
        </w:rPr>
        <w:t xml:space="preserve"> </w:t>
      </w:r>
      <w:r>
        <w:t xml:space="preserve">резервных</w:t>
      </w:r>
      <w:r>
        <w:rPr>
          <w:spacing w:val="-3"/>
        </w:rPr>
        <w:t xml:space="preserve"> </w:t>
      </w:r>
      <w:r>
        <w:t xml:space="preserve">насосных станций</w:t>
      </w:r>
      <w:r>
        <w:rPr>
          <w:spacing w:val="-4"/>
        </w:rPr>
        <w:t xml:space="preserve"> </w:t>
      </w:r>
      <w:r>
        <w:t xml:space="preserve">не</w:t>
      </w:r>
      <w:r>
        <w:rPr>
          <w:spacing w:val="1"/>
        </w:rPr>
        <w:t xml:space="preserve"> </w:t>
      </w:r>
      <w:r>
        <w:rPr>
          <w:spacing w:val="-2"/>
        </w:rPr>
        <w:t xml:space="preserve">требуется.</w:t>
      </w:r>
      <w:r/>
    </w:p>
    <w:p>
      <w:pPr>
        <w:rPr>
          <w:b/>
          <w:bCs/>
          <w:sz w:val="24"/>
          <w:szCs w:val="24"/>
          <w:lang w:eastAsia="ru-RU"/>
        </w:rPr>
      </w:pPr>
      <w:r/>
      <w:bookmarkStart w:id="596" w:name="_bookmark309"/>
      <w:r/>
      <w:bookmarkStart w:id="597" w:name="_Toc130232057"/>
      <w:r/>
      <w:bookmarkEnd w:id="596"/>
      <w:r>
        <w:rPr>
          <w:lang w:eastAsia="ru-RU"/>
        </w:rPr>
        <w:br w:type="page" w:clear="all"/>
      </w:r>
      <w:r>
        <w:rPr>
          <w:b/>
          <w:bCs/>
          <w:sz w:val="24"/>
          <w:szCs w:val="24"/>
          <w:lang w:eastAsia="ru-RU"/>
        </w:rPr>
      </w:r>
      <w:r>
        <w:rPr>
          <w:b/>
          <w:bCs/>
          <w:sz w:val="24"/>
          <w:szCs w:val="24"/>
          <w:lang w:eastAsia="ru-RU"/>
        </w:rPr>
      </w:r>
    </w:p>
    <w:p>
      <w:pPr>
        <w:pStyle w:val="1248"/>
        <w:ind w:left="1493" w:hanging="642"/>
        <w:jc w:val="left"/>
      </w:pPr>
      <w:r/>
      <w:bookmarkStart w:id="598" w:name="_Toc165540837"/>
      <w:r>
        <w:rPr>
          <w:lang w:eastAsia="ru-RU"/>
        </w:rPr>
        <w:t xml:space="preserve">11.6.6 </w:t>
      </w:r>
      <w:r>
        <w:t xml:space="preserve">Установка</w:t>
      </w:r>
      <w:r>
        <w:rPr>
          <w:spacing w:val="-1"/>
        </w:rPr>
        <w:t xml:space="preserve"> </w:t>
      </w:r>
      <w:r>
        <w:t xml:space="preserve">баков-</w:t>
      </w:r>
      <w:r>
        <w:rPr>
          <w:spacing w:val="-2"/>
        </w:rPr>
        <w:t xml:space="preserve">аккумуляторов</w:t>
      </w:r>
      <w:bookmarkEnd w:id="597"/>
      <w:r/>
      <w:bookmarkEnd w:id="598"/>
      <w:r/>
      <w:r/>
    </w:p>
    <w:p>
      <w:pPr>
        <w:pStyle w:val="1247"/>
        <w:ind w:left="826"/>
        <w:spacing w:before="115"/>
      </w:pPr>
      <w:r>
        <w:t xml:space="preserve">Установка</w:t>
      </w:r>
      <w:r>
        <w:rPr>
          <w:spacing w:val="-5"/>
        </w:rPr>
        <w:t xml:space="preserve"> </w:t>
      </w:r>
      <w:r>
        <w:t xml:space="preserve">дополнительных</w:t>
      </w:r>
      <w:r>
        <w:rPr>
          <w:spacing w:val="-2"/>
        </w:rPr>
        <w:t xml:space="preserve"> </w:t>
      </w:r>
      <w:r>
        <w:t xml:space="preserve">баков-аккумуляторов</w:t>
      </w:r>
      <w:r>
        <w:rPr>
          <w:spacing w:val="-3"/>
        </w:rPr>
        <w:t xml:space="preserve"> </w:t>
      </w:r>
      <w:r>
        <w:t xml:space="preserve">не</w:t>
      </w:r>
      <w:r>
        <w:rPr>
          <w:spacing w:val="-3"/>
        </w:rPr>
        <w:t xml:space="preserve"> </w:t>
      </w:r>
      <w:r>
        <w:rPr>
          <w:spacing w:val="-2"/>
        </w:rPr>
        <w:t xml:space="preserve">требуется.</w:t>
      </w:r>
      <w:r/>
    </w:p>
    <w:p>
      <w:pPr>
        <w:pStyle w:val="1247"/>
        <w:spacing w:before="7"/>
        <w:rPr>
          <w:sz w:val="16"/>
        </w:rPr>
      </w:pPr>
      <w:r>
        <w:rPr>
          <w:sz w:val="16"/>
        </w:rPr>
      </w:r>
      <w:r>
        <w:rPr>
          <w:sz w:val="16"/>
        </w:rPr>
      </w:r>
      <w:r>
        <w:rPr>
          <w:sz w:val="16"/>
        </w:rPr>
      </w:r>
    </w:p>
    <w:p>
      <w:pPr>
        <w:pStyle w:val="1248"/>
        <w:ind w:right="106" w:firstLine="733"/>
      </w:pPr>
      <w:r/>
      <w:bookmarkStart w:id="599" w:name="_bookmark310"/>
      <w:r/>
      <w:bookmarkStart w:id="600" w:name="_Toc130232058"/>
      <w:r/>
      <w:bookmarkStart w:id="601" w:name="_Toc165540838"/>
      <w:r/>
      <w:bookmarkEnd w:id="599"/>
      <w:r>
        <w:rPr>
          <w:lang w:eastAsia="ru-RU"/>
        </w:rPr>
        <w:t xml:space="preserve">11.7 </w:t>
      </w:r>
      <w:r>
        <w:t xml:space="preserve">Описание изменений в показателях надёжности теплоснабжения за период, предшествующий актуализации схемы теплоснабжения, с учётом введённых в эксплуатацию новых и реконструированных тепловых сетей и сооружений на них</w:t>
      </w:r>
      <w:bookmarkEnd w:id="600"/>
      <w:r/>
      <w:bookmarkEnd w:id="601"/>
      <w:r/>
      <w:r/>
    </w:p>
    <w:p>
      <w:pPr>
        <w:pStyle w:val="1247"/>
        <w:ind w:left="119" w:right="108" w:firstLine="709"/>
        <w:jc w:val="both"/>
        <w:spacing w:before="120"/>
      </w:pPr>
      <w:r>
        <w:t xml:space="preserve">Ранее схема теплоснабжения </w:t>
      </w:r>
      <w:r>
        <w:t xml:space="preserve">Юргамышского</w:t>
      </w:r>
      <w:r>
        <w:t xml:space="preserve"> муниципального округа не была разработана.</w:t>
      </w:r>
      <w:r/>
    </w:p>
    <w:p>
      <w:pPr>
        <w:jc w:val="both"/>
        <w:sectPr>
          <w:footnotePr/>
          <w:endnotePr/>
          <w:type w:val="nextPage"/>
          <w:pgSz w:w="11910" w:h="16840" w:orient="portrait"/>
          <w:pgMar w:top="1040" w:right="740" w:bottom="940" w:left="1300" w:header="0" w:footer="758" w:gutter="0"/>
          <w:cols w:num="1" w:sep="0" w:space="720" w:equalWidth="1"/>
          <w:docGrid w:linePitch="360"/>
        </w:sectPr>
      </w:pPr>
      <w:r/>
      <w:r/>
    </w:p>
    <w:p>
      <w:pPr>
        <w:pStyle w:val="1248"/>
        <w:ind w:right="114" w:firstLine="707"/>
        <w:spacing w:before="71"/>
      </w:pPr>
      <w:r/>
      <w:bookmarkStart w:id="602" w:name="_bookmark311"/>
      <w:r/>
      <w:bookmarkStart w:id="603" w:name="_Toc130232059"/>
      <w:r/>
      <w:bookmarkStart w:id="604" w:name="_Toc165540839"/>
      <w:r/>
      <w:bookmarkEnd w:id="602"/>
      <w:r>
        <w:t xml:space="preserve">Глава</w:t>
      </w:r>
      <w:r>
        <w:rPr>
          <w:spacing w:val="-6"/>
        </w:rPr>
        <w:t xml:space="preserve"> </w:t>
      </w:r>
      <w:r>
        <w:t xml:space="preserve">12 Обоснование</w:t>
      </w:r>
      <w:r>
        <w:rPr>
          <w:spacing w:val="-2"/>
        </w:rPr>
        <w:t xml:space="preserve"> </w:t>
      </w:r>
      <w:r>
        <w:t xml:space="preserve">инвестиций</w:t>
      </w:r>
      <w:r>
        <w:rPr>
          <w:spacing w:val="-2"/>
        </w:rPr>
        <w:t xml:space="preserve"> </w:t>
      </w:r>
      <w:r>
        <w:t xml:space="preserve">в</w:t>
      </w:r>
      <w:r>
        <w:rPr>
          <w:spacing w:val="-1"/>
        </w:rPr>
        <w:t xml:space="preserve"> </w:t>
      </w:r>
      <w:r>
        <w:t xml:space="preserve">строительство,</w:t>
      </w:r>
      <w:r>
        <w:rPr>
          <w:spacing w:val="-6"/>
        </w:rPr>
        <w:t xml:space="preserve"> </w:t>
      </w:r>
      <w:r>
        <w:t xml:space="preserve">реконструкцию,</w:t>
      </w:r>
      <w:r>
        <w:rPr>
          <w:spacing w:val="-3"/>
        </w:rPr>
        <w:t xml:space="preserve"> </w:t>
      </w:r>
      <w:r>
        <w:t xml:space="preserve">техническое перевооружение и (или) модернизацию</w:t>
      </w:r>
      <w:bookmarkEnd w:id="603"/>
      <w:r/>
      <w:bookmarkEnd w:id="604"/>
      <w:r/>
      <w:r/>
    </w:p>
    <w:p>
      <w:pPr>
        <w:pStyle w:val="1248"/>
        <w:ind w:right="111" w:firstLine="733"/>
        <w:spacing w:before="120"/>
      </w:pPr>
      <w:r/>
      <w:bookmarkStart w:id="605" w:name="_bookmark312"/>
      <w:r/>
      <w:bookmarkStart w:id="606" w:name="_Toc130232060"/>
      <w:r/>
      <w:bookmarkStart w:id="607" w:name="_Toc165540840"/>
      <w:r/>
      <w:bookmarkEnd w:id="605"/>
      <w:r>
        <w:rPr>
          <w:lang w:eastAsia="ru-RU"/>
        </w:rPr>
        <w:t xml:space="preserve">12.1 </w:t>
      </w:r>
      <w:r>
        <w:t xml:space="preserve">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606"/>
      <w:r/>
      <w:bookmarkEnd w:id="607"/>
      <w:r/>
      <w:r/>
    </w:p>
    <w:p>
      <w:pPr>
        <w:ind w:firstLine="851"/>
        <w:jc w:val="right"/>
        <w:tabs>
          <w:tab w:val="left" w:pos="0" w:leader="none"/>
        </w:tabs>
        <w:rPr>
          <w:sz w:val="24"/>
          <w:szCs w:val="24"/>
        </w:rPr>
      </w:pPr>
      <w:r/>
      <w:bookmarkStart w:id="608" w:name="_Toc130232061"/>
      <w:r>
        <w:rPr>
          <w:sz w:val="24"/>
          <w:szCs w:val="24"/>
        </w:rPr>
        <w:t xml:space="preserve">Таблица </w:t>
      </w:r>
      <w:r>
        <w:rPr>
          <w:sz w:val="24"/>
          <w:szCs w:val="24"/>
        </w:rPr>
        <w:t xml:space="preserve">12.1.1</w:t>
      </w:r>
      <w:r>
        <w:rPr>
          <w:sz w:val="24"/>
          <w:szCs w:val="24"/>
        </w:rPr>
      </w:r>
      <w:r>
        <w:rPr>
          <w:sz w:val="24"/>
          <w:szCs w:val="24"/>
        </w:rPr>
      </w:r>
    </w:p>
    <w:p>
      <w:pPr>
        <w:pStyle w:val="1247"/>
        <w:ind w:left="118" w:right="108" w:firstLine="24"/>
        <w:jc w:val="center"/>
        <w:rPr>
          <w:lang w:eastAsia="ru-RU"/>
        </w:rPr>
      </w:pPr>
      <w:r>
        <w:rPr>
          <w:lang w:eastAsia="ru-RU"/>
        </w:rPr>
        <w:t xml:space="preserve">Программа инвестиционных проектов по строительству и реконструкции (модернизации) объектов теплоснабжения в </w:t>
      </w:r>
      <w:r>
        <w:rPr>
          <w:lang w:eastAsia="ru-RU"/>
        </w:rPr>
        <w:t xml:space="preserve">Юргамышском</w:t>
      </w:r>
      <w:r>
        <w:rPr>
          <w:lang w:eastAsia="ru-RU"/>
        </w:rPr>
        <w:t xml:space="preserve"> муниципальном округе в период 2024-2039</w:t>
      </w:r>
      <w:r>
        <w:rPr>
          <w:lang w:eastAsia="ru-RU"/>
        </w:rPr>
        <w:t xml:space="preserve"> годов</w:t>
      </w:r>
      <w:r>
        <w:rPr>
          <w:lang w:eastAsia="ru-RU"/>
        </w:rPr>
      </w:r>
      <w:r>
        <w:rPr>
          <w:lang w:eastAsia="ru-RU"/>
        </w:rPr>
      </w:r>
    </w:p>
    <w:tbl>
      <w:tblPr>
        <w:tblW w:w="14979"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00" w:firstRow="0" w:lastRow="0" w:firstColumn="0" w:lastColumn="0" w:noHBand="0" w:noVBand="0"/>
      </w:tblPr>
      <w:tblGrid>
        <w:gridCol w:w="596"/>
        <w:gridCol w:w="4678"/>
        <w:gridCol w:w="1701"/>
        <w:gridCol w:w="1275"/>
        <w:gridCol w:w="1215"/>
        <w:gridCol w:w="3038"/>
        <w:gridCol w:w="2476"/>
      </w:tblGrid>
      <w:tr>
        <w:tblPrEx/>
        <w:trPr>
          <w:cantSplit/>
          <w:trHeight w:val="910"/>
        </w:trPr>
        <w:tc>
          <w:tcPr>
            <w:tcW w:w="596" w:type="dxa"/>
            <w:vAlign w:val="center"/>
            <w:textDirection w:val="lrTb"/>
            <w:noWrap w:val="false"/>
          </w:tcPr>
          <w:p>
            <w:pPr>
              <w:jc w:val="center"/>
              <w:rPr>
                <w:sz w:val="20"/>
                <w:szCs w:val="20"/>
              </w:rPr>
            </w:pPr>
            <w:r>
              <w:rPr>
                <w:sz w:val="20"/>
                <w:szCs w:val="20"/>
              </w:rPr>
              <w:t xml:space="preserve">№</w:t>
            </w:r>
            <w:r>
              <w:rPr>
                <w:sz w:val="20"/>
                <w:szCs w:val="20"/>
              </w:rPr>
            </w:r>
            <w:r>
              <w:rPr>
                <w:sz w:val="20"/>
                <w:szCs w:val="20"/>
              </w:rPr>
            </w:r>
          </w:p>
          <w:p>
            <w:pPr>
              <w:jc w:val="center"/>
              <w:rPr>
                <w:sz w:val="20"/>
                <w:szCs w:val="20"/>
              </w:rPr>
            </w:pPr>
            <w:r>
              <w:rPr>
                <w:sz w:val="20"/>
                <w:szCs w:val="20"/>
              </w:rPr>
              <w:t xml:space="preserve">п/п</w:t>
            </w:r>
            <w:r>
              <w:rPr>
                <w:sz w:val="20"/>
                <w:szCs w:val="20"/>
              </w:rPr>
            </w:r>
            <w:r>
              <w:rPr>
                <w:sz w:val="20"/>
                <w:szCs w:val="20"/>
              </w:rPr>
            </w:r>
          </w:p>
        </w:tc>
        <w:tc>
          <w:tcPr>
            <w:tcW w:w="4678" w:type="dxa"/>
            <w:vAlign w:val="center"/>
            <w:textDirection w:val="lrTb"/>
            <w:noWrap w:val="false"/>
          </w:tcPr>
          <w:p>
            <w:pPr>
              <w:jc w:val="center"/>
              <w:rPr>
                <w:sz w:val="20"/>
                <w:szCs w:val="20"/>
              </w:rPr>
            </w:pPr>
            <w:r>
              <w:rPr>
                <w:sz w:val="20"/>
                <w:szCs w:val="20"/>
              </w:rPr>
              <w:t xml:space="preserve">Цель и описание проекта</w:t>
            </w:r>
            <w:r>
              <w:rPr>
                <w:sz w:val="20"/>
                <w:szCs w:val="20"/>
              </w:rPr>
            </w:r>
            <w:r>
              <w:rPr>
                <w:sz w:val="20"/>
                <w:szCs w:val="20"/>
              </w:rPr>
            </w:r>
          </w:p>
        </w:tc>
        <w:tc>
          <w:tcPr>
            <w:tcW w:w="1701" w:type="dxa"/>
            <w:vAlign w:val="center"/>
            <w:textDirection w:val="lrTb"/>
            <w:noWrap w:val="false"/>
          </w:tcPr>
          <w:p>
            <w:pPr>
              <w:jc w:val="center"/>
              <w:rPr>
                <w:sz w:val="20"/>
                <w:szCs w:val="20"/>
              </w:rPr>
            </w:pPr>
            <w:r>
              <w:rPr>
                <w:sz w:val="20"/>
                <w:szCs w:val="20"/>
              </w:rPr>
              <w:t xml:space="preserve">Технические параметры проекта</w:t>
            </w:r>
            <w:r>
              <w:rPr>
                <w:sz w:val="20"/>
                <w:szCs w:val="20"/>
              </w:rPr>
            </w:r>
            <w:r>
              <w:rPr>
                <w:sz w:val="20"/>
                <w:szCs w:val="20"/>
              </w:rPr>
            </w:r>
          </w:p>
        </w:tc>
        <w:tc>
          <w:tcPr>
            <w:tcW w:w="1275" w:type="dxa"/>
            <w:vAlign w:val="center"/>
            <w:textDirection w:val="lrTb"/>
            <w:noWrap w:val="false"/>
          </w:tcPr>
          <w:p>
            <w:pPr>
              <w:jc w:val="center"/>
              <w:rPr>
                <w:sz w:val="20"/>
                <w:szCs w:val="20"/>
              </w:rPr>
            </w:pPr>
            <w:r>
              <w:rPr>
                <w:sz w:val="20"/>
                <w:szCs w:val="20"/>
              </w:rPr>
              <w:t xml:space="preserve">Затраты на реализацию проекта</w:t>
            </w:r>
            <w:r>
              <w:rPr>
                <w:sz w:val="20"/>
                <w:szCs w:val="20"/>
              </w:rPr>
            </w:r>
            <w:r>
              <w:rPr>
                <w:sz w:val="20"/>
                <w:szCs w:val="20"/>
              </w:rPr>
            </w:r>
          </w:p>
          <w:p>
            <w:pPr>
              <w:jc w:val="center"/>
              <w:rPr>
                <w:sz w:val="20"/>
                <w:szCs w:val="20"/>
              </w:rPr>
            </w:pPr>
            <w:r>
              <w:rPr>
                <w:sz w:val="20"/>
                <w:szCs w:val="20"/>
              </w:rPr>
              <w:t xml:space="preserve">(млн. руб.)</w:t>
            </w:r>
            <w:r>
              <w:rPr>
                <w:sz w:val="20"/>
                <w:szCs w:val="20"/>
              </w:rPr>
            </w:r>
            <w:r>
              <w:rPr>
                <w:sz w:val="20"/>
                <w:szCs w:val="20"/>
              </w:rPr>
            </w:r>
          </w:p>
        </w:tc>
        <w:tc>
          <w:tcPr>
            <w:tcW w:w="1215" w:type="dxa"/>
            <w:vAlign w:val="center"/>
            <w:textDirection w:val="lrTb"/>
            <w:noWrap w:val="false"/>
          </w:tcPr>
          <w:p>
            <w:pPr>
              <w:jc w:val="center"/>
              <w:rPr>
                <w:sz w:val="20"/>
                <w:szCs w:val="20"/>
              </w:rPr>
            </w:pPr>
            <w:r>
              <w:rPr>
                <w:sz w:val="20"/>
                <w:szCs w:val="20"/>
              </w:rPr>
              <w:t xml:space="preserve">Срок реализации проекта</w:t>
            </w:r>
            <w:r>
              <w:rPr>
                <w:sz w:val="20"/>
                <w:szCs w:val="20"/>
              </w:rPr>
            </w:r>
            <w:r>
              <w:rPr>
                <w:sz w:val="20"/>
                <w:szCs w:val="20"/>
              </w:rPr>
            </w:r>
          </w:p>
        </w:tc>
        <w:tc>
          <w:tcPr>
            <w:tcW w:w="3038" w:type="dxa"/>
            <w:vAlign w:val="center"/>
            <w:textDirection w:val="lrTb"/>
            <w:noWrap w:val="false"/>
          </w:tcPr>
          <w:p>
            <w:pPr>
              <w:jc w:val="center"/>
              <w:rPr>
                <w:sz w:val="20"/>
                <w:szCs w:val="20"/>
              </w:rPr>
            </w:pPr>
            <w:r>
              <w:rPr>
                <w:sz w:val="20"/>
                <w:szCs w:val="20"/>
              </w:rPr>
              <w:t xml:space="preserve">Ожидаемый эффект от реализации проекта</w:t>
            </w:r>
            <w:r>
              <w:rPr>
                <w:sz w:val="20"/>
                <w:szCs w:val="20"/>
              </w:rPr>
            </w:r>
            <w:r>
              <w:rPr>
                <w:sz w:val="20"/>
                <w:szCs w:val="20"/>
              </w:rPr>
            </w:r>
          </w:p>
        </w:tc>
        <w:tc>
          <w:tcPr>
            <w:tcW w:w="2476" w:type="dxa"/>
            <w:vAlign w:val="center"/>
            <w:textDirection w:val="lrTb"/>
            <w:noWrap w:val="false"/>
          </w:tcPr>
          <w:p>
            <w:pPr>
              <w:jc w:val="center"/>
              <w:rPr>
                <w:sz w:val="20"/>
                <w:szCs w:val="20"/>
              </w:rPr>
            </w:pPr>
            <w:r>
              <w:rPr>
                <w:sz w:val="20"/>
                <w:szCs w:val="20"/>
              </w:rPr>
              <w:t xml:space="preserve">Предполагаемый</w:t>
            </w:r>
            <w:r>
              <w:rPr>
                <w:sz w:val="20"/>
                <w:szCs w:val="20"/>
              </w:rPr>
            </w:r>
            <w:r>
              <w:rPr>
                <w:sz w:val="20"/>
                <w:szCs w:val="20"/>
              </w:rPr>
            </w:r>
          </w:p>
          <w:p>
            <w:pPr>
              <w:jc w:val="center"/>
              <w:rPr>
                <w:sz w:val="20"/>
                <w:szCs w:val="20"/>
              </w:rPr>
            </w:pPr>
            <w:r>
              <w:rPr>
                <w:sz w:val="20"/>
                <w:szCs w:val="20"/>
              </w:rPr>
              <w:t xml:space="preserve">источник финансирования</w:t>
            </w:r>
            <w:r>
              <w:rPr>
                <w:sz w:val="20"/>
                <w:szCs w:val="20"/>
              </w:rPr>
            </w:r>
            <w:r>
              <w:rPr>
                <w:sz w:val="20"/>
                <w:szCs w:val="20"/>
              </w:rPr>
            </w:r>
          </w:p>
        </w:tc>
      </w:tr>
      <w:tr>
        <w:tblPrEx/>
        <w:trPr>
          <w:cantSplit/>
          <w:trHeight w:val="283"/>
        </w:trPr>
        <w:tc>
          <w:tcPr>
            <w:tcW w:w="596" w:type="dxa"/>
            <w:vAlign w:val="center"/>
            <w:textDirection w:val="lrTb"/>
            <w:noWrap w:val="false"/>
          </w:tcPr>
          <w:p>
            <w:pPr>
              <w:jc w:val="center"/>
              <w:rPr>
                <w:sz w:val="20"/>
                <w:szCs w:val="20"/>
              </w:rPr>
            </w:pPr>
            <w:r>
              <w:rPr>
                <w:sz w:val="20"/>
                <w:szCs w:val="20"/>
              </w:rPr>
              <w:t xml:space="preserve">1</w:t>
            </w:r>
            <w:r>
              <w:rPr>
                <w:sz w:val="20"/>
                <w:szCs w:val="20"/>
              </w:rPr>
            </w:r>
            <w:r>
              <w:rPr>
                <w:sz w:val="20"/>
                <w:szCs w:val="20"/>
              </w:rPr>
            </w:r>
          </w:p>
        </w:tc>
        <w:tc>
          <w:tcPr>
            <w:gridSpan w:val="6"/>
            <w:tcW w:w="14383" w:type="dxa"/>
            <w:vAlign w:val="center"/>
            <w:textDirection w:val="lrTb"/>
            <w:noWrap w:val="false"/>
          </w:tcPr>
          <w:p>
            <w:pPr>
              <w:jc w:val="center"/>
              <w:rPr>
                <w:sz w:val="20"/>
                <w:szCs w:val="20"/>
              </w:rPr>
            </w:pPr>
            <w:r>
              <w:rPr>
                <w:sz w:val="20"/>
                <w:szCs w:val="20"/>
              </w:rPr>
              <w:t xml:space="preserve">Строительство объектов теплоснабжения</w:t>
            </w:r>
            <w:r>
              <w:rPr>
                <w:sz w:val="20"/>
                <w:szCs w:val="20"/>
              </w:rPr>
            </w:r>
            <w:r>
              <w:rPr>
                <w:sz w:val="20"/>
                <w:szCs w:val="20"/>
              </w:rPr>
            </w:r>
          </w:p>
        </w:tc>
      </w:tr>
      <w:tr>
        <w:tblPrEx/>
        <w:trPr>
          <w:cantSplit/>
          <w:trHeight w:val="283"/>
        </w:trPr>
        <w:tc>
          <w:tcPr>
            <w:tcW w:w="596" w:type="dxa"/>
            <w:vAlign w:val="center"/>
            <w:textDirection w:val="lrTb"/>
            <w:noWrap w:val="false"/>
          </w:tcPr>
          <w:p>
            <w:pPr>
              <w:jc w:val="center"/>
              <w:rPr>
                <w:sz w:val="20"/>
                <w:szCs w:val="20"/>
              </w:rPr>
            </w:pPr>
            <w:r>
              <w:rPr>
                <w:sz w:val="20"/>
                <w:szCs w:val="20"/>
              </w:rPr>
              <w:t xml:space="preserve">1.1</w:t>
            </w:r>
            <w:r>
              <w:rPr>
                <w:sz w:val="20"/>
                <w:szCs w:val="20"/>
              </w:rPr>
            </w:r>
            <w:r>
              <w:rPr>
                <w:sz w:val="20"/>
                <w:szCs w:val="20"/>
              </w:rPr>
            </w:r>
          </w:p>
        </w:tc>
        <w:tc>
          <w:tcPr>
            <w:tcW w:w="4678" w:type="dxa"/>
            <w:vAlign w:val="center"/>
            <w:textDirection w:val="lrTb"/>
            <w:noWrap w:val="false"/>
          </w:tcPr>
          <w:p>
            <w:pPr>
              <w:ind w:left="-14" w:firstLine="14"/>
              <w:rPr>
                <w:sz w:val="20"/>
                <w:szCs w:val="20"/>
              </w:rPr>
            </w:pPr>
            <w:r>
              <w:rPr>
                <w:sz w:val="20"/>
                <w:szCs w:val="20"/>
              </w:rPr>
              <w:t xml:space="preserve">Строительство 2-х газовых БМК для МКОУ Чинеевская СОШ» и  Чинеевского культурно-досугового объединения</w:t>
            </w:r>
            <w:r>
              <w:rPr>
                <w:sz w:val="20"/>
                <w:szCs w:val="20"/>
              </w:rPr>
            </w:r>
            <w:r>
              <w:rPr>
                <w:sz w:val="20"/>
                <w:szCs w:val="20"/>
              </w:rPr>
            </w:r>
          </w:p>
        </w:tc>
        <w:tc>
          <w:tcPr>
            <w:tcW w:w="1701" w:type="dxa"/>
            <w:vAlign w:val="center"/>
            <w:textDirection w:val="lrTb"/>
            <w:noWrap w:val="false"/>
          </w:tcPr>
          <w:p>
            <w:pPr>
              <w:jc w:val="center"/>
              <w:rPr>
                <w:sz w:val="20"/>
                <w:szCs w:val="20"/>
              </w:rPr>
            </w:pPr>
            <w:r>
              <w:rPr>
                <w:sz w:val="20"/>
                <w:szCs w:val="20"/>
              </w:rPr>
              <w:t xml:space="preserve">2 ед.</w:t>
            </w:r>
            <w:r>
              <w:rPr>
                <w:sz w:val="20"/>
                <w:szCs w:val="20"/>
              </w:rPr>
            </w:r>
            <w:r>
              <w:rPr>
                <w:sz w:val="20"/>
                <w:szCs w:val="20"/>
              </w:rPr>
            </w:r>
          </w:p>
        </w:tc>
        <w:tc>
          <w:tcPr>
            <w:tcW w:w="1275" w:type="dxa"/>
            <w:vAlign w:val="center"/>
            <w:textDirection w:val="lrTb"/>
            <w:noWrap w:val="false"/>
          </w:tcPr>
          <w:p>
            <w:pPr>
              <w:jc w:val="center"/>
              <w:rPr>
                <w:sz w:val="20"/>
                <w:szCs w:val="20"/>
              </w:rPr>
            </w:pPr>
            <w:r>
              <w:rPr>
                <w:sz w:val="20"/>
                <w:szCs w:val="20"/>
              </w:rPr>
              <w:t xml:space="preserve">12,381</w:t>
            </w:r>
            <w:r>
              <w:rPr>
                <w:sz w:val="20"/>
                <w:szCs w:val="20"/>
              </w:rPr>
            </w:r>
            <w:r>
              <w:rPr>
                <w:sz w:val="20"/>
                <w:szCs w:val="20"/>
              </w:rPr>
            </w:r>
          </w:p>
        </w:tc>
        <w:tc>
          <w:tcPr>
            <w:tcW w:w="1215" w:type="dxa"/>
            <w:vAlign w:val="center"/>
            <w:textDirection w:val="lrTb"/>
            <w:noWrap w:val="false"/>
          </w:tcPr>
          <w:p>
            <w:pPr>
              <w:jc w:val="center"/>
              <w:rPr>
                <w:sz w:val="20"/>
                <w:szCs w:val="20"/>
              </w:rPr>
            </w:pPr>
            <w:r>
              <w:rPr>
                <w:sz w:val="20"/>
                <w:szCs w:val="20"/>
              </w:rPr>
              <w:t xml:space="preserve">2024-2039</w:t>
            </w:r>
            <w:r>
              <w:rPr>
                <w:sz w:val="20"/>
                <w:szCs w:val="20"/>
              </w:rPr>
            </w:r>
            <w:r>
              <w:rPr>
                <w:sz w:val="20"/>
                <w:szCs w:val="20"/>
              </w:rPr>
            </w:r>
          </w:p>
        </w:tc>
        <w:tc>
          <w:tcPr>
            <w:tcW w:w="3038" w:type="dxa"/>
            <w:vAlign w:val="center"/>
            <w:textDirection w:val="lrTb"/>
            <w:noWrap w:val="false"/>
          </w:tcPr>
          <w:p>
            <w:pPr>
              <w:jc w:val="center"/>
              <w:rPr>
                <w:sz w:val="20"/>
                <w:szCs w:val="20"/>
              </w:rPr>
            </w:pPr>
            <w:r>
              <w:rPr>
                <w:sz w:val="20"/>
                <w:szCs w:val="20"/>
              </w:rPr>
              <w:t xml:space="preserve">о</w:t>
            </w:r>
            <w:r>
              <w:rPr>
                <w:sz w:val="20"/>
                <w:szCs w:val="20"/>
              </w:rPr>
              <w:t xml:space="preserve">беспечение надежного теплоснабжения</w:t>
            </w:r>
            <w:r>
              <w:rPr>
                <w:sz w:val="20"/>
                <w:szCs w:val="20"/>
              </w:rPr>
            </w:r>
            <w:r>
              <w:rPr>
                <w:sz w:val="20"/>
                <w:szCs w:val="20"/>
              </w:rPr>
            </w:r>
          </w:p>
        </w:tc>
        <w:tc>
          <w:tcPr>
            <w:tcW w:w="2476" w:type="dxa"/>
            <w:vAlign w:val="center"/>
            <w:textDirection w:val="lrTb"/>
            <w:noWrap w:val="false"/>
          </w:tcPr>
          <w:p>
            <w:pPr>
              <w:jc w:val="center"/>
              <w:rPr>
                <w:sz w:val="20"/>
                <w:szCs w:val="20"/>
              </w:rPr>
            </w:pPr>
            <w:r>
              <w:rPr>
                <w:sz w:val="20"/>
                <w:szCs w:val="20"/>
              </w:rPr>
              <w:t xml:space="preserve">Бюджет области, муниципального округа, внебюджет. источники</w:t>
            </w:r>
            <w:r>
              <w:rPr>
                <w:sz w:val="20"/>
                <w:szCs w:val="20"/>
              </w:rPr>
            </w:r>
            <w:r>
              <w:rPr>
                <w:sz w:val="20"/>
                <w:szCs w:val="20"/>
              </w:rPr>
            </w:r>
          </w:p>
        </w:tc>
      </w:tr>
      <w:tr>
        <w:tblPrEx/>
        <w:trPr>
          <w:cantSplit/>
          <w:trHeight w:val="283"/>
        </w:trPr>
        <w:tc>
          <w:tcPr>
            <w:tcW w:w="596" w:type="dxa"/>
            <w:vAlign w:val="center"/>
            <w:textDirection w:val="lrTb"/>
            <w:noWrap w:val="false"/>
          </w:tcPr>
          <w:p>
            <w:pPr>
              <w:jc w:val="center"/>
              <w:rPr>
                <w:sz w:val="20"/>
                <w:szCs w:val="20"/>
              </w:rPr>
            </w:pPr>
            <w:r>
              <w:rPr>
                <w:sz w:val="20"/>
                <w:szCs w:val="20"/>
              </w:rPr>
              <w:t xml:space="preserve">2</w:t>
            </w:r>
            <w:r>
              <w:rPr>
                <w:sz w:val="20"/>
                <w:szCs w:val="20"/>
              </w:rPr>
            </w:r>
            <w:r>
              <w:rPr>
                <w:sz w:val="20"/>
                <w:szCs w:val="20"/>
              </w:rPr>
            </w:r>
          </w:p>
        </w:tc>
        <w:tc>
          <w:tcPr>
            <w:gridSpan w:val="6"/>
            <w:tcW w:w="14383" w:type="dxa"/>
            <w:vAlign w:val="center"/>
            <w:textDirection w:val="lrTb"/>
            <w:noWrap w:val="false"/>
          </w:tcPr>
          <w:p>
            <w:pPr>
              <w:ind w:left="-14" w:firstLine="14"/>
              <w:jc w:val="center"/>
              <w:rPr>
                <w:sz w:val="20"/>
                <w:szCs w:val="20"/>
              </w:rPr>
            </w:pPr>
            <w:r>
              <w:rPr>
                <w:sz w:val="20"/>
                <w:szCs w:val="20"/>
              </w:rPr>
              <w:t xml:space="preserve">Реконструкция (модернизация) объектов теплоснабжения</w:t>
            </w:r>
            <w:r>
              <w:rPr>
                <w:sz w:val="20"/>
                <w:szCs w:val="20"/>
              </w:rPr>
            </w:r>
            <w:r>
              <w:rPr>
                <w:sz w:val="20"/>
                <w:szCs w:val="20"/>
              </w:rPr>
            </w:r>
          </w:p>
        </w:tc>
      </w:tr>
      <w:tr>
        <w:tblPrEx/>
        <w:trPr>
          <w:cantSplit/>
          <w:trHeight w:val="283"/>
        </w:trPr>
        <w:tc>
          <w:tcPr>
            <w:tcW w:w="596" w:type="dxa"/>
            <w:vAlign w:val="center"/>
            <w:textDirection w:val="lrTb"/>
            <w:noWrap w:val="false"/>
          </w:tcPr>
          <w:p>
            <w:pPr>
              <w:jc w:val="center"/>
              <w:rPr>
                <w:sz w:val="20"/>
                <w:szCs w:val="20"/>
              </w:rPr>
            </w:pPr>
            <w:r>
              <w:rPr>
                <w:sz w:val="20"/>
                <w:szCs w:val="20"/>
              </w:rPr>
              <w:t xml:space="preserve">2.1</w:t>
            </w:r>
            <w:r>
              <w:rPr>
                <w:sz w:val="20"/>
                <w:szCs w:val="20"/>
              </w:rPr>
            </w:r>
            <w:r>
              <w:rPr>
                <w:sz w:val="20"/>
                <w:szCs w:val="20"/>
              </w:rPr>
            </w:r>
          </w:p>
        </w:tc>
        <w:tc>
          <w:tcPr>
            <w:tcW w:w="4678" w:type="dxa"/>
            <w:vAlign w:val="center"/>
            <w:textDirection w:val="lrTb"/>
            <w:noWrap w:val="false"/>
          </w:tcPr>
          <w:p>
            <w:pPr>
              <w:pStyle w:val="1251"/>
              <w:ind w:left="-14" w:firstLine="14"/>
              <w:jc w:val="left"/>
              <w:rPr>
                <w:sz w:val="20"/>
                <w:szCs w:val="20"/>
              </w:rPr>
            </w:pPr>
            <w:r>
              <w:rPr>
                <w:sz w:val="20"/>
                <w:szCs w:val="20"/>
              </w:rPr>
              <w:t xml:space="preserve">Ремонт тепловой изоляции трубопроводов и оборудования, разводящих трубопроводов отопления в зданиях, строениях, сооружениях п. Юргамыш, п. Новый Мир, а также ремонт трубопровода разводящих сетей в п. Юргамыш</w:t>
            </w:r>
            <w:r>
              <w:rPr>
                <w:sz w:val="20"/>
                <w:szCs w:val="20"/>
              </w:rPr>
            </w:r>
            <w:r>
              <w:rPr>
                <w:sz w:val="20"/>
                <w:szCs w:val="20"/>
              </w:rPr>
            </w:r>
          </w:p>
        </w:tc>
        <w:tc>
          <w:tcPr>
            <w:tcW w:w="1701" w:type="dxa"/>
            <w:vAlign w:val="center"/>
            <w:textDirection w:val="lrTb"/>
            <w:noWrap w:val="false"/>
          </w:tcPr>
          <w:p>
            <w:pPr>
              <w:jc w:val="center"/>
              <w:rPr>
                <w:sz w:val="20"/>
                <w:szCs w:val="20"/>
              </w:rPr>
            </w:pPr>
            <w:r>
              <w:rPr>
                <w:sz w:val="20"/>
                <w:szCs w:val="20"/>
              </w:rPr>
              <w:t xml:space="preserve">Протяженность, всего – 40 км</w:t>
            </w:r>
            <w:r>
              <w:rPr>
                <w:sz w:val="20"/>
                <w:szCs w:val="20"/>
              </w:rPr>
            </w:r>
            <w:r>
              <w:rPr>
                <w:sz w:val="20"/>
                <w:szCs w:val="20"/>
              </w:rPr>
            </w:r>
          </w:p>
        </w:tc>
        <w:tc>
          <w:tcPr>
            <w:tcW w:w="1275" w:type="dxa"/>
            <w:vAlign w:val="center"/>
            <w:textDirection w:val="lrTb"/>
            <w:noWrap w:val="false"/>
          </w:tcPr>
          <w:p>
            <w:pPr>
              <w:jc w:val="center"/>
              <w:rPr>
                <w:sz w:val="20"/>
                <w:szCs w:val="20"/>
              </w:rPr>
            </w:pPr>
            <w:r>
              <w:rPr>
                <w:sz w:val="20"/>
                <w:szCs w:val="20"/>
              </w:rPr>
              <w:t xml:space="preserve">1368,632</w:t>
            </w:r>
            <w:r>
              <w:rPr>
                <w:sz w:val="20"/>
                <w:szCs w:val="20"/>
              </w:rPr>
            </w:r>
            <w:r>
              <w:rPr>
                <w:sz w:val="20"/>
                <w:szCs w:val="20"/>
              </w:rPr>
            </w:r>
          </w:p>
        </w:tc>
        <w:tc>
          <w:tcPr>
            <w:tcW w:w="1215" w:type="dxa"/>
            <w:vAlign w:val="center"/>
            <w:textDirection w:val="lrTb"/>
            <w:noWrap w:val="false"/>
          </w:tcPr>
          <w:p>
            <w:pPr>
              <w:jc w:val="center"/>
              <w:rPr>
                <w:sz w:val="20"/>
                <w:szCs w:val="20"/>
              </w:rPr>
            </w:pPr>
            <w:r>
              <w:rPr>
                <w:sz w:val="20"/>
                <w:szCs w:val="20"/>
              </w:rPr>
              <w:t xml:space="preserve">2024-2039</w:t>
            </w:r>
            <w:r>
              <w:rPr>
                <w:sz w:val="20"/>
                <w:szCs w:val="20"/>
              </w:rPr>
            </w:r>
            <w:r>
              <w:rPr>
                <w:sz w:val="20"/>
                <w:szCs w:val="20"/>
              </w:rPr>
            </w:r>
          </w:p>
        </w:tc>
        <w:tc>
          <w:tcPr>
            <w:tcW w:w="3038" w:type="dxa"/>
            <w:vAlign w:val="center"/>
            <w:vMerge w:val="restart"/>
            <w:textDirection w:val="lrTb"/>
            <w:noWrap w:val="false"/>
          </w:tcPr>
          <w:p>
            <w:pPr>
              <w:ind w:left="-46" w:right="-33"/>
              <w:jc w:val="center"/>
              <w:rPr>
                <w:sz w:val="20"/>
                <w:szCs w:val="20"/>
              </w:rPr>
            </w:pPr>
            <w:r>
              <w:rPr>
                <w:sz w:val="20"/>
                <w:szCs w:val="20"/>
              </w:rPr>
              <w:t xml:space="preserve">-сокращение потерь теплоэнергии в сетях;</w:t>
            </w:r>
            <w:r>
              <w:rPr>
                <w:sz w:val="20"/>
                <w:szCs w:val="20"/>
              </w:rPr>
            </w:r>
            <w:r>
              <w:rPr>
                <w:sz w:val="20"/>
                <w:szCs w:val="20"/>
              </w:rPr>
            </w:r>
          </w:p>
          <w:p>
            <w:pPr>
              <w:ind w:left="-46" w:right="-33"/>
              <w:jc w:val="center"/>
              <w:rPr>
                <w:sz w:val="20"/>
                <w:szCs w:val="20"/>
              </w:rPr>
            </w:pPr>
            <w:r>
              <w:rPr>
                <w:sz w:val="20"/>
                <w:szCs w:val="20"/>
              </w:rPr>
              <w:t xml:space="preserve">-</w:t>
            </w:r>
            <w:r>
              <w:rPr>
                <w:sz w:val="20"/>
                <w:szCs w:val="20"/>
              </w:rPr>
              <w:t xml:space="preserve">обеспечение заданного гидравлического режима, требуемой надежности теплоснабжения потребителей;</w:t>
            </w:r>
            <w:r>
              <w:rPr>
                <w:sz w:val="20"/>
                <w:szCs w:val="20"/>
              </w:rPr>
            </w:r>
            <w:r>
              <w:rPr>
                <w:sz w:val="20"/>
                <w:szCs w:val="20"/>
              </w:rPr>
            </w:r>
          </w:p>
          <w:p>
            <w:pPr>
              <w:ind w:left="-46" w:right="-33"/>
              <w:jc w:val="center"/>
              <w:rPr>
                <w:sz w:val="20"/>
                <w:szCs w:val="20"/>
              </w:rPr>
            </w:pPr>
            <w:r>
              <w:rPr>
                <w:sz w:val="20"/>
                <w:szCs w:val="20"/>
              </w:rPr>
              <w:t xml:space="preserve">-</w:t>
            </w:r>
            <w:r>
              <w:rPr>
                <w:sz w:val="20"/>
                <w:szCs w:val="20"/>
              </w:rPr>
              <w:t xml:space="preserve">снижение уровня износа объектов;</w:t>
            </w:r>
            <w:r>
              <w:rPr>
                <w:sz w:val="20"/>
                <w:szCs w:val="20"/>
              </w:rPr>
            </w:r>
            <w:r>
              <w:rPr>
                <w:sz w:val="20"/>
                <w:szCs w:val="20"/>
              </w:rPr>
            </w:r>
          </w:p>
          <w:p>
            <w:pPr>
              <w:ind w:left="-46" w:right="-33"/>
              <w:jc w:val="center"/>
              <w:rPr>
                <w:sz w:val="20"/>
                <w:szCs w:val="20"/>
              </w:rPr>
            </w:pPr>
            <w:r>
              <w:rPr>
                <w:sz w:val="20"/>
                <w:szCs w:val="20"/>
              </w:rPr>
              <w:t xml:space="preserve">-</w:t>
            </w:r>
            <w:r>
              <w:rPr>
                <w:sz w:val="20"/>
                <w:szCs w:val="20"/>
              </w:rPr>
              <w:t xml:space="preserve">повышение качества и надежности коммунальных услуг</w:t>
            </w:r>
            <w:r>
              <w:rPr>
                <w:sz w:val="20"/>
                <w:szCs w:val="20"/>
              </w:rPr>
            </w:r>
            <w:r>
              <w:rPr>
                <w:sz w:val="20"/>
                <w:szCs w:val="20"/>
              </w:rPr>
            </w:r>
          </w:p>
        </w:tc>
        <w:tc>
          <w:tcPr>
            <w:tcW w:w="2476" w:type="dxa"/>
            <w:vAlign w:val="center"/>
            <w:textDirection w:val="lrTb"/>
            <w:noWrap w:val="false"/>
          </w:tcPr>
          <w:p>
            <w:pPr>
              <w:jc w:val="center"/>
              <w:rPr>
                <w:sz w:val="20"/>
                <w:szCs w:val="20"/>
              </w:rPr>
            </w:pPr>
            <w:r>
              <w:rPr>
                <w:sz w:val="20"/>
                <w:szCs w:val="20"/>
              </w:rPr>
              <w:t xml:space="preserve">Бюджет области, муниципального округа, внебюджет. источники</w:t>
            </w:r>
            <w:r>
              <w:rPr>
                <w:sz w:val="20"/>
                <w:szCs w:val="20"/>
              </w:rPr>
            </w:r>
            <w:r>
              <w:rPr>
                <w:sz w:val="20"/>
                <w:szCs w:val="20"/>
              </w:rPr>
            </w:r>
          </w:p>
        </w:tc>
      </w:tr>
      <w:tr>
        <w:tblPrEx/>
        <w:trPr>
          <w:cantSplit/>
          <w:trHeight w:val="77"/>
        </w:trPr>
        <w:tc>
          <w:tcPr>
            <w:tcW w:w="596" w:type="dxa"/>
            <w:vAlign w:val="center"/>
            <w:textDirection w:val="lrTb"/>
            <w:noWrap w:val="false"/>
          </w:tcPr>
          <w:p>
            <w:pPr>
              <w:jc w:val="center"/>
              <w:rPr>
                <w:sz w:val="20"/>
                <w:szCs w:val="20"/>
              </w:rPr>
            </w:pPr>
            <w:r>
              <w:rPr>
                <w:sz w:val="20"/>
                <w:szCs w:val="20"/>
              </w:rPr>
              <w:t xml:space="preserve">2.2</w:t>
            </w:r>
            <w:r>
              <w:rPr>
                <w:sz w:val="20"/>
                <w:szCs w:val="20"/>
              </w:rPr>
            </w:r>
            <w:r>
              <w:rPr>
                <w:sz w:val="20"/>
                <w:szCs w:val="20"/>
              </w:rPr>
            </w:r>
          </w:p>
        </w:tc>
        <w:tc>
          <w:tcPr>
            <w:tcW w:w="4678" w:type="dxa"/>
            <w:vAlign w:val="center"/>
            <w:textDirection w:val="lrTb"/>
            <w:noWrap w:val="false"/>
          </w:tcPr>
          <w:p>
            <w:pPr>
              <w:pStyle w:val="1251"/>
              <w:ind w:left="-14" w:firstLine="14"/>
              <w:jc w:val="left"/>
              <w:rPr>
                <w:sz w:val="20"/>
                <w:szCs w:val="20"/>
              </w:rPr>
            </w:pPr>
            <w:r>
              <w:rPr>
                <w:sz w:val="20"/>
                <w:szCs w:val="20"/>
              </w:rPr>
              <w:t xml:space="preserve">Реконструкция теплотрассы в п. Новый Мир</w:t>
            </w:r>
            <w:r>
              <w:rPr>
                <w:sz w:val="20"/>
                <w:szCs w:val="20"/>
              </w:rPr>
            </w:r>
            <w:r>
              <w:rPr>
                <w:sz w:val="20"/>
                <w:szCs w:val="20"/>
              </w:rPr>
            </w:r>
          </w:p>
        </w:tc>
        <w:tc>
          <w:tcPr>
            <w:tcW w:w="1701" w:type="dxa"/>
            <w:vAlign w:val="center"/>
            <w:textDirection w:val="lrTb"/>
            <w:noWrap w:val="false"/>
          </w:tcPr>
          <w:p>
            <w:pPr>
              <w:jc w:val="center"/>
              <w:rPr>
                <w:sz w:val="20"/>
                <w:szCs w:val="20"/>
              </w:rPr>
            </w:pPr>
            <w:r>
              <w:rPr>
                <w:sz w:val="20"/>
                <w:szCs w:val="20"/>
              </w:rPr>
              <w:t xml:space="preserve">Протяженность, всего – 13,5 км</w:t>
            </w:r>
            <w:r>
              <w:rPr>
                <w:sz w:val="20"/>
                <w:szCs w:val="20"/>
              </w:rPr>
            </w:r>
            <w:r>
              <w:rPr>
                <w:sz w:val="20"/>
                <w:szCs w:val="20"/>
              </w:rPr>
            </w:r>
          </w:p>
        </w:tc>
        <w:tc>
          <w:tcPr>
            <w:tcW w:w="1275" w:type="dxa"/>
            <w:vAlign w:val="center"/>
            <w:textDirection w:val="lrTb"/>
            <w:noWrap w:val="false"/>
          </w:tcPr>
          <w:p>
            <w:pPr>
              <w:jc w:val="center"/>
              <w:rPr>
                <w:sz w:val="20"/>
                <w:szCs w:val="20"/>
              </w:rPr>
            </w:pPr>
            <w:r>
              <w:rPr>
                <w:sz w:val="20"/>
                <w:szCs w:val="20"/>
              </w:rPr>
              <w:t xml:space="preserve">461,913</w:t>
            </w:r>
            <w:r>
              <w:rPr>
                <w:sz w:val="20"/>
                <w:szCs w:val="20"/>
              </w:rPr>
            </w:r>
            <w:r>
              <w:rPr>
                <w:sz w:val="20"/>
                <w:szCs w:val="20"/>
              </w:rPr>
            </w:r>
          </w:p>
        </w:tc>
        <w:tc>
          <w:tcPr>
            <w:tcW w:w="1215" w:type="dxa"/>
            <w:vAlign w:val="center"/>
            <w:textDirection w:val="lrTb"/>
            <w:noWrap w:val="false"/>
          </w:tcPr>
          <w:p>
            <w:pPr>
              <w:jc w:val="center"/>
              <w:rPr>
                <w:sz w:val="20"/>
                <w:szCs w:val="20"/>
              </w:rPr>
            </w:pPr>
            <w:r>
              <w:rPr>
                <w:sz w:val="20"/>
                <w:szCs w:val="20"/>
              </w:rPr>
              <w:t xml:space="preserve">2024-2039</w:t>
            </w:r>
            <w:r>
              <w:rPr>
                <w:sz w:val="20"/>
                <w:szCs w:val="20"/>
              </w:rPr>
            </w:r>
            <w:r>
              <w:rPr>
                <w:sz w:val="20"/>
                <w:szCs w:val="20"/>
              </w:rPr>
            </w:r>
          </w:p>
        </w:tc>
        <w:tc>
          <w:tcPr>
            <w:tcW w:w="3038" w:type="dxa"/>
            <w:vAlign w:val="center"/>
            <w:vMerge w:val="continue"/>
            <w:textDirection w:val="lrTb"/>
            <w:noWrap w:val="false"/>
          </w:tcPr>
          <w:p>
            <w:pPr>
              <w:jc w:val="center"/>
              <w:rPr>
                <w:sz w:val="20"/>
                <w:szCs w:val="20"/>
              </w:rPr>
            </w:pPr>
            <w:r>
              <w:rPr>
                <w:sz w:val="20"/>
                <w:szCs w:val="20"/>
              </w:rPr>
            </w:r>
            <w:r>
              <w:rPr>
                <w:sz w:val="20"/>
                <w:szCs w:val="20"/>
              </w:rPr>
            </w:r>
            <w:r>
              <w:rPr>
                <w:sz w:val="20"/>
                <w:szCs w:val="20"/>
              </w:rPr>
            </w:r>
          </w:p>
        </w:tc>
        <w:tc>
          <w:tcPr>
            <w:tcW w:w="2476" w:type="dxa"/>
            <w:vAlign w:val="center"/>
            <w:textDirection w:val="lrTb"/>
            <w:noWrap w:val="false"/>
          </w:tcPr>
          <w:p>
            <w:pPr>
              <w:jc w:val="center"/>
              <w:rPr>
                <w:sz w:val="20"/>
                <w:szCs w:val="20"/>
              </w:rPr>
            </w:pPr>
            <w:r>
              <w:rPr>
                <w:sz w:val="20"/>
                <w:szCs w:val="20"/>
              </w:rPr>
              <w:t xml:space="preserve">Бюджет области, муниципального округа, внебюджет. источники</w:t>
            </w:r>
            <w:r>
              <w:rPr>
                <w:sz w:val="20"/>
                <w:szCs w:val="20"/>
              </w:rPr>
            </w:r>
            <w:r>
              <w:rPr>
                <w:sz w:val="20"/>
                <w:szCs w:val="20"/>
              </w:rPr>
            </w:r>
          </w:p>
        </w:tc>
      </w:tr>
      <w:tr>
        <w:tblPrEx/>
        <w:trPr>
          <w:cantSplit/>
          <w:trHeight w:val="543"/>
        </w:trPr>
        <w:tc>
          <w:tcPr>
            <w:tcW w:w="596" w:type="dxa"/>
            <w:vAlign w:val="center"/>
            <w:textDirection w:val="lrTb"/>
            <w:noWrap w:val="false"/>
          </w:tcPr>
          <w:p>
            <w:pPr>
              <w:jc w:val="center"/>
              <w:rPr>
                <w:sz w:val="20"/>
                <w:szCs w:val="20"/>
              </w:rPr>
            </w:pPr>
            <w:r>
              <w:rPr>
                <w:sz w:val="20"/>
                <w:szCs w:val="20"/>
              </w:rPr>
            </w:r>
            <w:r>
              <w:rPr>
                <w:sz w:val="20"/>
                <w:szCs w:val="20"/>
              </w:rPr>
            </w:r>
            <w:r>
              <w:rPr>
                <w:sz w:val="20"/>
                <w:szCs w:val="20"/>
              </w:rPr>
            </w:r>
          </w:p>
        </w:tc>
        <w:tc>
          <w:tcPr>
            <w:gridSpan w:val="2"/>
            <w:tcW w:w="6379" w:type="dxa"/>
            <w:vAlign w:val="center"/>
            <w:textDirection w:val="lrTb"/>
            <w:noWrap w:val="false"/>
          </w:tcPr>
          <w:p>
            <w:pPr>
              <w:jc w:val="center"/>
              <w:rPr>
                <w:sz w:val="20"/>
                <w:szCs w:val="20"/>
              </w:rPr>
            </w:pPr>
            <w:r>
              <w:rPr>
                <w:b/>
                <w:sz w:val="20"/>
                <w:szCs w:val="20"/>
              </w:rPr>
              <w:t xml:space="preserve">ИТОГО:</w:t>
            </w:r>
            <w:r>
              <w:rPr>
                <w:sz w:val="20"/>
                <w:szCs w:val="20"/>
              </w:rPr>
            </w:r>
            <w:r>
              <w:rPr>
                <w:sz w:val="20"/>
                <w:szCs w:val="20"/>
              </w:rPr>
            </w:r>
          </w:p>
        </w:tc>
        <w:tc>
          <w:tcPr>
            <w:tcW w:w="1275" w:type="dxa"/>
            <w:vAlign w:val="center"/>
            <w:textDirection w:val="lrTb"/>
            <w:noWrap w:val="false"/>
          </w:tcPr>
          <w:p>
            <w:pPr>
              <w:jc w:val="center"/>
              <w:rPr>
                <w:sz w:val="20"/>
                <w:szCs w:val="20"/>
              </w:rPr>
            </w:pPr>
            <w:r>
              <w:rPr>
                <w:sz w:val="20"/>
                <w:szCs w:val="20"/>
              </w:rPr>
              <w:t xml:space="preserve">18</w:t>
            </w:r>
            <w:r>
              <w:rPr>
                <w:sz w:val="20"/>
                <w:szCs w:val="20"/>
              </w:rPr>
              <w:t xml:space="preserve">42,926</w:t>
            </w:r>
            <w:r>
              <w:rPr>
                <w:sz w:val="20"/>
                <w:szCs w:val="20"/>
              </w:rPr>
            </w:r>
            <w:r>
              <w:rPr>
                <w:sz w:val="20"/>
                <w:szCs w:val="20"/>
              </w:rPr>
            </w:r>
          </w:p>
        </w:tc>
        <w:tc>
          <w:tcPr>
            <w:tcW w:w="1215" w:type="dxa"/>
            <w:vAlign w:val="center"/>
            <w:textDirection w:val="lrTb"/>
            <w:noWrap w:val="false"/>
          </w:tcPr>
          <w:p>
            <w:pPr>
              <w:rPr>
                <w:sz w:val="20"/>
                <w:szCs w:val="20"/>
              </w:rPr>
            </w:pPr>
            <w:r>
              <w:rPr>
                <w:sz w:val="20"/>
                <w:szCs w:val="20"/>
              </w:rPr>
            </w:r>
            <w:r>
              <w:rPr>
                <w:sz w:val="20"/>
                <w:szCs w:val="20"/>
              </w:rPr>
            </w:r>
            <w:r>
              <w:rPr>
                <w:sz w:val="20"/>
                <w:szCs w:val="20"/>
              </w:rPr>
            </w:r>
          </w:p>
        </w:tc>
        <w:tc>
          <w:tcPr>
            <w:tcW w:w="3038" w:type="dxa"/>
            <w:vAlign w:val="center"/>
            <w:textDirection w:val="lrTb"/>
            <w:noWrap w:val="false"/>
          </w:tcPr>
          <w:p>
            <w:pPr>
              <w:rPr>
                <w:sz w:val="20"/>
                <w:szCs w:val="20"/>
              </w:rPr>
            </w:pPr>
            <w:r>
              <w:rPr>
                <w:sz w:val="20"/>
                <w:szCs w:val="20"/>
              </w:rPr>
            </w:r>
            <w:r>
              <w:rPr>
                <w:sz w:val="20"/>
                <w:szCs w:val="20"/>
              </w:rPr>
            </w:r>
            <w:r>
              <w:rPr>
                <w:sz w:val="20"/>
                <w:szCs w:val="20"/>
              </w:rPr>
            </w:r>
          </w:p>
        </w:tc>
        <w:tc>
          <w:tcPr>
            <w:tcW w:w="2476" w:type="dxa"/>
            <w:vAlign w:val="center"/>
            <w:textDirection w:val="lrTb"/>
            <w:noWrap w:val="false"/>
          </w:tcPr>
          <w:p>
            <w:pPr>
              <w:rPr>
                <w:sz w:val="20"/>
                <w:szCs w:val="20"/>
              </w:rPr>
            </w:pPr>
            <w:r>
              <w:rPr>
                <w:sz w:val="20"/>
                <w:szCs w:val="20"/>
              </w:rPr>
            </w:r>
            <w:r>
              <w:rPr>
                <w:sz w:val="20"/>
                <w:szCs w:val="20"/>
              </w:rPr>
            </w:r>
            <w:r>
              <w:rPr>
                <w:sz w:val="20"/>
                <w:szCs w:val="20"/>
              </w:rPr>
            </w:r>
          </w:p>
        </w:tc>
      </w:tr>
    </w:tbl>
    <w:p>
      <w:pPr>
        <w:pStyle w:val="1247"/>
        <w:ind w:left="118" w:right="108" w:firstLine="707"/>
        <w:jc w:val="center"/>
        <w:rPr>
          <w:lang w:eastAsia="ru-RU"/>
        </w:rPr>
        <w:sectPr>
          <w:footerReference w:type="default" r:id="rId13"/>
          <w:footnotePr/>
          <w:endnotePr/>
          <w:type w:val="nextPage"/>
          <w:pgSz w:w="16840" w:h="11910" w:orient="landscape"/>
          <w:pgMar w:top="1298" w:right="992" w:bottom="743" w:left="851" w:header="0" w:footer="760" w:gutter="0"/>
          <w:cols w:num="1" w:sep="0" w:space="720" w:equalWidth="1"/>
          <w:docGrid w:linePitch="360"/>
        </w:sectPr>
      </w:pPr>
      <w:r>
        <w:rPr>
          <w:lang w:eastAsia="ru-RU"/>
        </w:rPr>
      </w:r>
      <w:r>
        <w:rPr>
          <w:lang w:eastAsia="ru-RU"/>
        </w:rPr>
      </w:r>
      <w:r>
        <w:rPr>
          <w:lang w:eastAsia="ru-RU"/>
        </w:rPr>
      </w:r>
    </w:p>
    <w:p>
      <w:pPr>
        <w:pStyle w:val="1247"/>
        <w:ind w:left="118" w:right="108" w:firstLine="707"/>
        <w:jc w:val="both"/>
        <w:rPr>
          <w:b/>
        </w:rPr>
      </w:pPr>
      <w:r>
        <w:rPr>
          <w:b/>
          <w:lang w:eastAsia="ru-RU"/>
        </w:rPr>
        <w:t xml:space="preserve">12.2 </w:t>
      </w:r>
      <w:r>
        <w:rPr>
          <w:b/>
        </w:rPr>
        <w:t xml:space="preserve">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608"/>
      <w:r>
        <w:rPr>
          <w:b/>
        </w:rPr>
      </w:r>
      <w:r>
        <w:rPr>
          <w:b/>
        </w:rPr>
      </w:r>
    </w:p>
    <w:p>
      <w:pPr>
        <w:pStyle w:val="1247"/>
        <w:ind w:left="118" w:right="108" w:firstLine="707"/>
        <w:jc w:val="both"/>
        <w:spacing w:before="116"/>
      </w:pPr>
      <w:r>
        <w:t xml:space="preserve">Источником</w:t>
      </w:r>
      <w:r>
        <w:rPr>
          <w:spacing w:val="-11"/>
        </w:rPr>
        <w:t xml:space="preserve"> </w:t>
      </w:r>
      <w:r>
        <w:t xml:space="preserve">необходимых</w:t>
      </w:r>
      <w:r>
        <w:rPr>
          <w:spacing w:val="-11"/>
        </w:rPr>
        <w:t xml:space="preserve"> </w:t>
      </w:r>
      <w:r>
        <w:t xml:space="preserve">инвестиций,</w:t>
      </w:r>
      <w:r>
        <w:rPr>
          <w:spacing w:val="-13"/>
        </w:rPr>
        <w:t xml:space="preserve"> </w:t>
      </w:r>
      <w:r>
        <w:t xml:space="preserve">обеспечивающих</w:t>
      </w:r>
      <w:r>
        <w:rPr>
          <w:spacing w:val="-10"/>
        </w:rPr>
        <w:t xml:space="preserve"> </w:t>
      </w:r>
      <w:r>
        <w:t xml:space="preserve">финансовые</w:t>
      </w:r>
      <w:r>
        <w:rPr>
          <w:spacing w:val="-11"/>
        </w:rPr>
        <w:t xml:space="preserve"> </w:t>
      </w:r>
      <w:r>
        <w:t xml:space="preserve">потребности</w:t>
      </w:r>
      <w:r>
        <w:rPr>
          <w:spacing w:val="-11"/>
        </w:rPr>
        <w:t xml:space="preserve"> </w:t>
      </w:r>
      <w:r>
        <w:t xml:space="preserve">для переоснащения и строительства котельных </w:t>
      </w:r>
      <w:r>
        <w:t xml:space="preserve">в </w:t>
      </w:r>
      <w:r>
        <w:t xml:space="preserve">Юргамышском</w:t>
      </w:r>
      <w:r>
        <w:t xml:space="preserve"> муниципальном округе</w:t>
      </w:r>
      <w:r>
        <w:t xml:space="preserve">, планируются </w:t>
      </w:r>
      <w:r>
        <w:t xml:space="preserve">внебюджетные источники.</w:t>
      </w:r>
      <w:r/>
    </w:p>
    <w:p>
      <w:pPr>
        <w:pStyle w:val="1247"/>
        <w:ind w:left="118" w:right="108" w:firstLine="707"/>
        <w:jc w:val="both"/>
        <w:spacing w:before="116"/>
      </w:pPr>
      <w:r>
        <w:t xml:space="preserve">Источником</w:t>
      </w:r>
      <w:r>
        <w:rPr>
          <w:spacing w:val="-11"/>
        </w:rPr>
        <w:t xml:space="preserve"> </w:t>
      </w:r>
      <w:r>
        <w:t xml:space="preserve">необходимых</w:t>
      </w:r>
      <w:r>
        <w:rPr>
          <w:spacing w:val="-11"/>
        </w:rPr>
        <w:t xml:space="preserve"> </w:t>
      </w:r>
      <w:r>
        <w:t xml:space="preserve">инвестиций,</w:t>
      </w:r>
      <w:r>
        <w:rPr>
          <w:spacing w:val="-13"/>
        </w:rPr>
        <w:t xml:space="preserve"> </w:t>
      </w:r>
      <w:r>
        <w:t xml:space="preserve">обеспечивающих</w:t>
      </w:r>
      <w:r>
        <w:rPr>
          <w:spacing w:val="-10"/>
        </w:rPr>
        <w:t xml:space="preserve"> </w:t>
      </w:r>
      <w:r>
        <w:t xml:space="preserve">финансовые</w:t>
      </w:r>
      <w:r>
        <w:rPr>
          <w:spacing w:val="-11"/>
        </w:rPr>
        <w:t xml:space="preserve"> </w:t>
      </w:r>
      <w:r>
        <w:t xml:space="preserve">потребности</w:t>
      </w:r>
      <w:r>
        <w:rPr>
          <w:spacing w:val="-11"/>
        </w:rPr>
        <w:t xml:space="preserve"> </w:t>
      </w:r>
      <w:r>
        <w:t xml:space="preserve">для строительства котельных, планируются областной</w:t>
      </w:r>
      <w:r>
        <w:t xml:space="preserve"> и</w:t>
      </w:r>
      <w:r>
        <w:t xml:space="preserve"> местный бюджеты и внебюджетные источники, для реконструкции и </w:t>
      </w:r>
      <w:r>
        <w:t xml:space="preserve">ремонта</w:t>
      </w:r>
      <w:r>
        <w:t xml:space="preserve"> теплов</w:t>
      </w:r>
      <w:r>
        <w:t xml:space="preserve">ой изоляции и</w:t>
      </w:r>
      <w:r>
        <w:t xml:space="preserve"> сетей – областной</w:t>
      </w:r>
      <w:r>
        <w:t xml:space="preserve"> и</w:t>
      </w:r>
      <w:r>
        <w:t xml:space="preserve"> местный бюджеты и внебюджетные источники.</w:t>
      </w:r>
      <w:r/>
    </w:p>
    <w:p>
      <w:pPr>
        <w:pStyle w:val="1247"/>
        <w:spacing w:before="6"/>
        <w:rPr>
          <w:sz w:val="16"/>
        </w:rPr>
      </w:pPr>
      <w:r>
        <w:rPr>
          <w:sz w:val="16"/>
        </w:rPr>
      </w:r>
      <w:r>
        <w:rPr>
          <w:sz w:val="16"/>
        </w:rPr>
      </w:r>
      <w:r>
        <w:rPr>
          <w:sz w:val="16"/>
        </w:rPr>
      </w:r>
    </w:p>
    <w:p>
      <w:pPr>
        <w:pStyle w:val="1248"/>
        <w:ind w:firstLine="733"/>
      </w:pPr>
      <w:r/>
      <w:bookmarkStart w:id="609" w:name="_bookmark315"/>
      <w:r/>
      <w:bookmarkStart w:id="610" w:name="_Toc130232062"/>
      <w:r/>
      <w:bookmarkStart w:id="611" w:name="_Toc165540841"/>
      <w:r/>
      <w:bookmarkEnd w:id="609"/>
      <w:r>
        <w:rPr>
          <w:lang w:eastAsia="ru-RU"/>
        </w:rPr>
        <w:t xml:space="preserve">12.3 </w:t>
      </w:r>
      <w:r>
        <w:t xml:space="preserve">Расчёты</w:t>
      </w:r>
      <w:r>
        <w:rPr>
          <w:spacing w:val="-5"/>
        </w:rPr>
        <w:t xml:space="preserve"> </w:t>
      </w:r>
      <w:r>
        <w:t xml:space="preserve">экономической</w:t>
      </w:r>
      <w:r>
        <w:rPr>
          <w:spacing w:val="-4"/>
        </w:rPr>
        <w:t xml:space="preserve"> </w:t>
      </w:r>
      <w:r>
        <w:t xml:space="preserve">эффективности</w:t>
      </w:r>
      <w:r>
        <w:rPr>
          <w:spacing w:val="-6"/>
        </w:rPr>
        <w:t xml:space="preserve"> </w:t>
      </w:r>
      <w:r>
        <w:rPr>
          <w:spacing w:val="-2"/>
        </w:rPr>
        <w:t xml:space="preserve">инвестиций</w:t>
      </w:r>
      <w:bookmarkEnd w:id="610"/>
      <w:r/>
      <w:bookmarkEnd w:id="611"/>
      <w:r/>
      <w:r/>
    </w:p>
    <w:p>
      <w:pPr>
        <w:ind w:firstLine="851"/>
        <w:jc w:val="both"/>
        <w:tabs>
          <w:tab w:val="left" w:pos="142" w:leader="none"/>
        </w:tabs>
        <w:rPr>
          <w:sz w:val="24"/>
          <w:szCs w:val="24"/>
        </w:rPr>
      </w:pPr>
      <w:r>
        <w:rPr>
          <w:sz w:val="24"/>
          <w:szCs w:val="24"/>
        </w:rPr>
        <w:t xml:space="preserve">Экономический эффект мероприятий достигается за счёт сокращения аварий – издержек на ликвидацию, снижения потерь теплоносителя и потребления энергии котельных.</w:t>
      </w:r>
      <w:r>
        <w:rPr>
          <w:sz w:val="24"/>
          <w:szCs w:val="24"/>
        </w:rPr>
      </w:r>
      <w:r>
        <w:rPr>
          <w:sz w:val="24"/>
          <w:szCs w:val="24"/>
        </w:rPr>
      </w:r>
    </w:p>
    <w:p>
      <w:pPr>
        <w:ind w:firstLine="851"/>
        <w:jc w:val="both"/>
        <w:tabs>
          <w:tab w:val="left" w:pos="142" w:leader="none"/>
        </w:tabs>
        <w:rPr>
          <w:sz w:val="24"/>
          <w:szCs w:val="24"/>
        </w:rPr>
      </w:pPr>
      <w:r>
        <w:rPr>
          <w:sz w:val="24"/>
          <w:szCs w:val="24"/>
        </w:rPr>
        <w:t xml:space="preserve">Успешное выполнение запланированных мероприятий позволит:</w:t>
      </w:r>
      <w:r>
        <w:rPr>
          <w:sz w:val="24"/>
          <w:szCs w:val="24"/>
        </w:rPr>
      </w:r>
      <w:r>
        <w:rPr>
          <w:sz w:val="24"/>
          <w:szCs w:val="24"/>
        </w:rPr>
      </w:r>
    </w:p>
    <w:p>
      <w:pPr>
        <w:pStyle w:val="1250"/>
        <w:numPr>
          <w:ilvl w:val="0"/>
          <w:numId w:val="39"/>
        </w:numPr>
        <w:ind w:left="142" w:firstLine="709"/>
        <w:tabs>
          <w:tab w:val="left" w:pos="142" w:leader="none"/>
          <w:tab w:val="left" w:pos="993" w:leader="none"/>
        </w:tabs>
        <w:rPr>
          <w:sz w:val="24"/>
          <w:szCs w:val="24"/>
        </w:rPr>
      </w:pPr>
      <w:r>
        <w:rPr>
          <w:sz w:val="24"/>
          <w:szCs w:val="24"/>
        </w:rPr>
        <w:t xml:space="preserve">снизить степень износа сетей;</w:t>
      </w:r>
      <w:r>
        <w:rPr>
          <w:sz w:val="24"/>
          <w:szCs w:val="24"/>
        </w:rPr>
      </w:r>
      <w:r>
        <w:rPr>
          <w:sz w:val="24"/>
          <w:szCs w:val="24"/>
        </w:rPr>
      </w:r>
    </w:p>
    <w:p>
      <w:pPr>
        <w:pStyle w:val="1250"/>
        <w:numPr>
          <w:ilvl w:val="0"/>
          <w:numId w:val="39"/>
        </w:numPr>
        <w:ind w:left="142" w:firstLine="709"/>
        <w:tabs>
          <w:tab w:val="left" w:pos="142" w:leader="none"/>
          <w:tab w:val="left" w:pos="993" w:leader="none"/>
        </w:tabs>
        <w:rPr>
          <w:sz w:val="24"/>
          <w:szCs w:val="24"/>
        </w:rPr>
      </w:pPr>
      <w:r>
        <w:rPr>
          <w:sz w:val="24"/>
          <w:szCs w:val="24"/>
        </w:rPr>
        <w:t xml:space="preserve">обеспечить бесперебойную работу систем теплоснабжения;</w:t>
      </w:r>
      <w:r>
        <w:rPr>
          <w:sz w:val="24"/>
          <w:szCs w:val="24"/>
        </w:rPr>
      </w:r>
      <w:r>
        <w:rPr>
          <w:sz w:val="24"/>
          <w:szCs w:val="24"/>
        </w:rPr>
      </w:r>
    </w:p>
    <w:p>
      <w:pPr>
        <w:pStyle w:val="1250"/>
        <w:numPr>
          <w:ilvl w:val="0"/>
          <w:numId w:val="39"/>
        </w:numPr>
        <w:ind w:left="142" w:firstLine="709"/>
        <w:tabs>
          <w:tab w:val="left" w:pos="142" w:leader="none"/>
          <w:tab w:val="left" w:pos="993" w:leader="none"/>
        </w:tabs>
        <w:rPr>
          <w:sz w:val="24"/>
          <w:szCs w:val="24"/>
        </w:rPr>
      </w:pPr>
      <w:r>
        <w:rPr>
          <w:sz w:val="24"/>
          <w:szCs w:val="24"/>
        </w:rPr>
        <w:t xml:space="preserve">улучшить качество предоставления коммунальных услуг населению;</w:t>
      </w:r>
      <w:r>
        <w:rPr>
          <w:sz w:val="24"/>
          <w:szCs w:val="24"/>
        </w:rPr>
      </w:r>
      <w:r>
        <w:rPr>
          <w:sz w:val="24"/>
          <w:szCs w:val="24"/>
        </w:rPr>
      </w:r>
    </w:p>
    <w:p>
      <w:pPr>
        <w:pStyle w:val="1250"/>
        <w:numPr>
          <w:ilvl w:val="0"/>
          <w:numId w:val="39"/>
        </w:numPr>
        <w:ind w:left="142" w:firstLine="709"/>
        <w:tabs>
          <w:tab w:val="left" w:pos="142" w:leader="none"/>
          <w:tab w:val="left" w:pos="993" w:leader="none"/>
        </w:tabs>
        <w:rPr>
          <w:sz w:val="24"/>
          <w:szCs w:val="24"/>
        </w:rPr>
      </w:pPr>
      <w:r>
        <w:rPr>
          <w:sz w:val="24"/>
          <w:szCs w:val="24"/>
        </w:rPr>
        <w:t xml:space="preserve">улучшить экологическую и санитарно-эпидемиологическую ситуацию на территории муниципального образования.</w:t>
      </w:r>
      <w:r>
        <w:rPr>
          <w:sz w:val="24"/>
          <w:szCs w:val="24"/>
        </w:rPr>
      </w:r>
      <w:r>
        <w:rPr>
          <w:sz w:val="24"/>
          <w:szCs w:val="24"/>
        </w:rPr>
      </w:r>
    </w:p>
    <w:p>
      <w:pPr>
        <w:ind w:firstLine="851"/>
        <w:jc w:val="both"/>
        <w:tabs>
          <w:tab w:val="left" w:pos="142" w:leader="none"/>
        </w:tabs>
        <w:rPr>
          <w:sz w:val="24"/>
          <w:szCs w:val="24"/>
        </w:rPr>
      </w:pPr>
      <w:r>
        <w:rPr>
          <w:sz w:val="24"/>
          <w:szCs w:val="24"/>
        </w:rPr>
        <w:t xml:space="preserve">Оценка эффективности реализации мероприятий по развитию системы теплоснабжения может проводиться ежегодно по окончании отчетного периода по следующим критериям:</w:t>
      </w:r>
      <w:r>
        <w:rPr>
          <w:sz w:val="24"/>
          <w:szCs w:val="24"/>
        </w:rPr>
      </w:r>
      <w:r>
        <w:rPr>
          <w:sz w:val="24"/>
          <w:szCs w:val="24"/>
        </w:rPr>
      </w:r>
    </w:p>
    <w:p>
      <w:pPr>
        <w:ind w:firstLine="851"/>
        <w:jc w:val="both"/>
        <w:tabs>
          <w:tab w:val="left" w:pos="142" w:leader="none"/>
        </w:tabs>
        <w:rPr>
          <w:sz w:val="24"/>
          <w:szCs w:val="24"/>
        </w:rPr>
      </w:pPr>
      <w:r>
        <w:rPr>
          <w:sz w:val="24"/>
          <w:szCs w:val="24"/>
        </w:rPr>
        <w:t xml:space="preserve">- полнота выполнения программных мероприятий;</w:t>
      </w:r>
      <w:r>
        <w:rPr>
          <w:sz w:val="24"/>
          <w:szCs w:val="24"/>
        </w:rPr>
      </w:r>
      <w:r>
        <w:rPr>
          <w:sz w:val="24"/>
          <w:szCs w:val="24"/>
        </w:rPr>
      </w:r>
    </w:p>
    <w:p>
      <w:pPr>
        <w:ind w:firstLine="851"/>
        <w:jc w:val="both"/>
        <w:tabs>
          <w:tab w:val="left" w:pos="142" w:leader="none"/>
        </w:tabs>
        <w:rPr>
          <w:sz w:val="24"/>
          <w:szCs w:val="24"/>
        </w:rPr>
      </w:pPr>
      <w:r>
        <w:rPr>
          <w:sz w:val="24"/>
          <w:szCs w:val="24"/>
        </w:rPr>
        <w:t xml:space="preserve">- эффективность расходования выделенных финансовых средств;</w:t>
      </w:r>
      <w:r>
        <w:rPr>
          <w:sz w:val="24"/>
          <w:szCs w:val="24"/>
        </w:rPr>
      </w:r>
      <w:r>
        <w:rPr>
          <w:sz w:val="24"/>
          <w:szCs w:val="24"/>
        </w:rPr>
      </w:r>
    </w:p>
    <w:p>
      <w:pPr>
        <w:ind w:firstLine="851"/>
        <w:jc w:val="both"/>
        <w:tabs>
          <w:tab w:val="left" w:pos="142" w:leader="none"/>
        </w:tabs>
        <w:rPr>
          <w:sz w:val="24"/>
          <w:szCs w:val="24"/>
        </w:rPr>
      </w:pPr>
      <w:r>
        <w:rPr>
          <w:sz w:val="24"/>
          <w:szCs w:val="24"/>
        </w:rPr>
        <w:t xml:space="preserve">- степень достижения целей и решения задач;</w:t>
      </w:r>
      <w:r>
        <w:rPr>
          <w:sz w:val="24"/>
          <w:szCs w:val="24"/>
        </w:rPr>
      </w:r>
      <w:r>
        <w:rPr>
          <w:sz w:val="24"/>
          <w:szCs w:val="24"/>
        </w:rPr>
      </w:r>
    </w:p>
    <w:p>
      <w:pPr>
        <w:ind w:firstLine="851"/>
        <w:jc w:val="both"/>
        <w:tabs>
          <w:tab w:val="left" w:pos="142" w:leader="none"/>
        </w:tabs>
        <w:rPr>
          <w:sz w:val="24"/>
          <w:szCs w:val="24"/>
        </w:rPr>
      </w:pPr>
      <w:r>
        <w:rPr>
          <w:sz w:val="24"/>
          <w:szCs w:val="24"/>
        </w:rPr>
        <w:t xml:space="preserve">- социально-экономический эффект от реализации мероприятий.</w:t>
      </w:r>
      <w:r>
        <w:rPr>
          <w:sz w:val="24"/>
          <w:szCs w:val="24"/>
        </w:rPr>
      </w:r>
      <w:r>
        <w:rPr>
          <w:sz w:val="24"/>
          <w:szCs w:val="24"/>
        </w:rPr>
      </w:r>
    </w:p>
    <w:p>
      <w:pPr>
        <w:ind w:firstLine="851"/>
        <w:jc w:val="both"/>
        <w:tabs>
          <w:tab w:val="left" w:pos="142" w:leader="none"/>
        </w:tabs>
        <w:rPr>
          <w:sz w:val="24"/>
          <w:szCs w:val="24"/>
        </w:rPr>
      </w:pPr>
      <w:r>
        <w:rPr>
          <w:sz w:val="24"/>
          <w:szCs w:val="24"/>
        </w:rPr>
        <w:t xml:space="preserve">Оценка эффективности реализации муниципальной программы может быть рассчитана по формуле:</w:t>
      </w:r>
      <w:r>
        <w:rPr>
          <w:sz w:val="24"/>
          <w:szCs w:val="24"/>
        </w:rPr>
      </w:r>
      <w:r>
        <w:rPr>
          <w:sz w:val="24"/>
          <w:szCs w:val="24"/>
        </w:rPr>
      </w:r>
    </w:p>
    <w:p>
      <w:pPr>
        <w:pStyle w:val="1230"/>
        <w:ind w:left="142" w:firstLine="709"/>
        <w:jc w:val="center"/>
        <w:spacing w:before="90" w:line="274" w:lineRule="exact"/>
        <w:rPr>
          <w:rFonts w:ascii="Times New Roman" w:hAnsi="Times New Roman" w:cs="Times New Roman"/>
          <w:i w:val="0"/>
          <w:color w:val="auto"/>
          <w:sz w:val="24"/>
          <w:szCs w:val="24"/>
        </w:rPr>
      </w:pPr>
      <w:r/>
      <w:hyperlink r:id="rId80" w:tooltip="consultantplus://offline/main?base=RLAW087%3Bn%3D29985%3Bfld%3D134%3Bdst%3D7" w:history="1">
        <w:r>
          <w:rPr>
            <w:rFonts w:ascii="Times New Roman" w:hAnsi="Times New Roman" w:cs="Times New Roman"/>
            <w:i w:val="0"/>
            <w:color w:val="auto"/>
            <w:sz w:val="24"/>
            <w:szCs w:val="24"/>
          </w:rPr>
          <w:t xml:space="preserve">ДПИ</w:t>
        </w:r>
        <w:r>
          <w:rPr>
            <w:rFonts w:ascii="Times New Roman" w:hAnsi="Times New Roman" w:cs="Times New Roman"/>
            <w:i w:val="0"/>
            <w:color w:val="auto"/>
            <w:spacing w:val="-1"/>
            <w:sz w:val="24"/>
            <w:szCs w:val="24"/>
          </w:rPr>
          <w:t xml:space="preserve"> </w:t>
        </w:r>
      </w:hyperlink>
      <w:r>
        <w:rPr>
          <w:rFonts w:ascii="Times New Roman" w:hAnsi="Times New Roman" w:cs="Times New Roman"/>
          <w:i w:val="0"/>
          <w:color w:val="auto"/>
          <w:sz w:val="24"/>
          <w:szCs w:val="24"/>
        </w:rPr>
        <w:t xml:space="preserve">= SUM</w:t>
      </w:r>
      <w:r>
        <w:rPr>
          <w:rFonts w:ascii="Times New Roman" w:hAnsi="Times New Roman" w:cs="Times New Roman"/>
          <w:i w:val="0"/>
          <w:color w:val="auto"/>
          <w:spacing w:val="-2"/>
          <w:sz w:val="24"/>
          <w:szCs w:val="24"/>
        </w:rPr>
        <w:t xml:space="preserve"> </w:t>
      </w:r>
      <w:hyperlink r:id="rId81" w:tooltip="consultantplus://offline/main?base=RLAW087%3Bn%3D29985%3Bfld%3D134%3Bdst%3D4" w:history="1">
        <w:r>
          <w:rPr>
            <w:rFonts w:ascii="Times New Roman" w:hAnsi="Times New Roman" w:cs="Times New Roman"/>
            <w:i w:val="0"/>
            <w:color w:val="auto"/>
            <w:sz w:val="24"/>
            <w:szCs w:val="24"/>
          </w:rPr>
          <w:t xml:space="preserve">П</w:t>
        </w:r>
        <w:r>
          <w:rPr>
            <w:rFonts w:ascii="Times New Roman" w:hAnsi="Times New Roman" w:cs="Times New Roman"/>
            <w:i w:val="0"/>
            <w:color w:val="auto"/>
            <w:spacing w:val="-1"/>
            <w:sz w:val="24"/>
            <w:szCs w:val="24"/>
          </w:rPr>
          <w:t xml:space="preserve"> </w:t>
        </w:r>
        <w:r>
          <w:rPr>
            <w:rFonts w:ascii="Times New Roman" w:hAnsi="Times New Roman" w:cs="Times New Roman"/>
            <w:i w:val="0"/>
            <w:color w:val="auto"/>
            <w:sz w:val="24"/>
            <w:szCs w:val="24"/>
          </w:rPr>
          <w:t xml:space="preserve">(n)</w:t>
        </w:r>
        <w:r>
          <w:rPr>
            <w:rFonts w:ascii="Times New Roman" w:hAnsi="Times New Roman" w:cs="Times New Roman"/>
            <w:i w:val="0"/>
            <w:color w:val="auto"/>
            <w:spacing w:val="-1"/>
            <w:sz w:val="24"/>
            <w:szCs w:val="24"/>
          </w:rPr>
          <w:t xml:space="preserve"> </w:t>
        </w:r>
      </w:hyperlink>
      <w:r>
        <w:rPr>
          <w:rFonts w:ascii="Times New Roman" w:hAnsi="Times New Roman" w:cs="Times New Roman"/>
          <w:i w:val="0"/>
          <w:color w:val="auto"/>
          <w:sz w:val="24"/>
          <w:szCs w:val="24"/>
        </w:rPr>
        <w:t xml:space="preserve">/ </w:t>
      </w:r>
      <w:hyperlink r:id="rId82" w:tooltip="consultantplus://offline/main?base=RLAW087%3Bn%3D29985%3Bfld%3D134%3Bdst%3D3" w:history="1">
        <w:r>
          <w:rPr>
            <w:rFonts w:ascii="Times New Roman" w:hAnsi="Times New Roman" w:cs="Times New Roman"/>
            <w:i w:val="0"/>
            <w:color w:val="auto"/>
            <w:sz w:val="24"/>
            <w:szCs w:val="24"/>
          </w:rPr>
          <w:t xml:space="preserve">Ф</w:t>
        </w:r>
        <w:r>
          <w:rPr>
            <w:rFonts w:ascii="Times New Roman" w:hAnsi="Times New Roman" w:cs="Times New Roman"/>
            <w:i w:val="0"/>
            <w:color w:val="auto"/>
            <w:spacing w:val="-3"/>
            <w:sz w:val="24"/>
            <w:szCs w:val="24"/>
          </w:rPr>
          <w:t xml:space="preserve"> </w:t>
        </w:r>
        <w:r>
          <w:rPr>
            <w:rFonts w:ascii="Times New Roman" w:hAnsi="Times New Roman" w:cs="Times New Roman"/>
            <w:i w:val="0"/>
            <w:color w:val="auto"/>
            <w:sz w:val="24"/>
            <w:szCs w:val="24"/>
          </w:rPr>
          <w:t xml:space="preserve">(n)</w:t>
        </w:r>
      </w:hyperlink>
      <w:r>
        <w:rPr>
          <w:rFonts w:ascii="Times New Roman" w:hAnsi="Times New Roman" w:cs="Times New Roman"/>
          <w:i w:val="0"/>
          <w:color w:val="auto"/>
          <w:sz w:val="24"/>
          <w:szCs w:val="24"/>
        </w:rPr>
        <w:t xml:space="preserve">,</w:t>
      </w:r>
      <w:r>
        <w:rPr>
          <w:rFonts w:ascii="Times New Roman" w:hAnsi="Times New Roman" w:cs="Times New Roman"/>
          <w:i w:val="0"/>
          <w:color w:val="auto"/>
          <w:sz w:val="24"/>
          <w:szCs w:val="24"/>
        </w:rPr>
      </w:r>
      <w:r>
        <w:rPr>
          <w:rFonts w:ascii="Times New Roman" w:hAnsi="Times New Roman" w:cs="Times New Roman"/>
          <w:i w:val="0"/>
          <w:color w:val="auto"/>
          <w:sz w:val="24"/>
          <w:szCs w:val="24"/>
        </w:rPr>
      </w:r>
    </w:p>
    <w:p>
      <w:pPr>
        <w:pStyle w:val="1247"/>
        <w:ind w:left="142" w:firstLine="709"/>
        <w:spacing w:line="274" w:lineRule="exact"/>
      </w:pPr>
      <w:r>
        <w:t xml:space="preserve">где:</w:t>
      </w:r>
      <w:r/>
    </w:p>
    <w:p>
      <w:pPr>
        <w:pStyle w:val="1247"/>
        <w:ind w:left="851" w:right="89"/>
        <w:jc w:val="both"/>
        <w:rPr>
          <w:spacing w:val="-57"/>
        </w:rPr>
      </w:pPr>
      <w:r>
        <w:t xml:space="preserve">Ф(n)</w:t>
      </w:r>
      <w:r>
        <w:rPr>
          <w:spacing w:val="-3"/>
        </w:rPr>
        <w:t xml:space="preserve"> </w:t>
      </w:r>
      <w:r>
        <w:t xml:space="preserve">–</w:t>
      </w:r>
      <w:r>
        <w:rPr>
          <w:spacing w:val="-2"/>
        </w:rPr>
        <w:t xml:space="preserve"> </w:t>
      </w:r>
      <w:r>
        <w:t xml:space="preserve">фактически</w:t>
      </w:r>
      <w:r>
        <w:rPr>
          <w:spacing w:val="-2"/>
        </w:rPr>
        <w:t xml:space="preserve"> </w:t>
      </w:r>
      <w:r>
        <w:t xml:space="preserve">достигнутое</w:t>
      </w:r>
      <w:r>
        <w:rPr>
          <w:spacing w:val="-3"/>
        </w:rPr>
        <w:t xml:space="preserve"> </w:t>
      </w:r>
      <w:r>
        <w:t xml:space="preserve">в</w:t>
      </w:r>
      <w:r>
        <w:rPr>
          <w:spacing w:val="-3"/>
        </w:rPr>
        <w:t xml:space="preserve"> </w:t>
      </w:r>
      <w:r>
        <w:t xml:space="preserve">отчетном</w:t>
      </w:r>
      <w:r>
        <w:rPr>
          <w:spacing w:val="-2"/>
        </w:rPr>
        <w:t xml:space="preserve"> </w:t>
      </w:r>
      <w:r>
        <w:t xml:space="preserve">году</w:t>
      </w:r>
      <w:r>
        <w:rPr>
          <w:spacing w:val="-5"/>
        </w:rPr>
        <w:t xml:space="preserve"> </w:t>
      </w:r>
      <w:r>
        <w:t xml:space="preserve">значение</w:t>
      </w:r>
      <w:r>
        <w:rPr>
          <w:spacing w:val="-3"/>
        </w:rPr>
        <w:t xml:space="preserve"> </w:t>
      </w:r>
      <w:r>
        <w:t xml:space="preserve">индикатора</w:t>
      </w:r>
      <w:r>
        <w:rPr>
          <w:spacing w:val="-6"/>
        </w:rPr>
        <w:t xml:space="preserve"> </w:t>
      </w:r>
      <w:r>
        <w:t xml:space="preserve">n;</w:t>
      </w:r>
      <w:r>
        <w:rPr>
          <w:spacing w:val="-57"/>
        </w:rPr>
        <w:t xml:space="preserve"> </w:t>
      </w:r>
      <w:r>
        <w:rPr>
          <w:spacing w:val="-57"/>
        </w:rPr>
      </w:r>
      <w:r>
        <w:rPr>
          <w:spacing w:val="-57"/>
        </w:rPr>
      </w:r>
    </w:p>
    <w:p>
      <w:pPr>
        <w:pStyle w:val="1247"/>
        <w:ind w:left="851" w:right="89"/>
        <w:jc w:val="both"/>
      </w:pPr>
      <w:r>
        <w:t xml:space="preserve">П</w:t>
      </w:r>
      <w:r>
        <w:rPr>
          <w:spacing w:val="-2"/>
        </w:rPr>
        <w:t xml:space="preserve"> </w:t>
      </w:r>
      <w:r>
        <w:t xml:space="preserve">(n)</w:t>
      </w:r>
      <w:r>
        <w:rPr>
          <w:spacing w:val="-1"/>
        </w:rPr>
        <w:t xml:space="preserve"> </w:t>
      </w:r>
      <w:r>
        <w:t xml:space="preserve">–</w:t>
      </w:r>
      <w:r>
        <w:rPr>
          <w:spacing w:val="-1"/>
        </w:rPr>
        <w:t xml:space="preserve"> </w:t>
      </w:r>
      <w:r>
        <w:t xml:space="preserve">планируемое</w:t>
      </w:r>
      <w:r>
        <w:rPr>
          <w:spacing w:val="-1"/>
        </w:rPr>
        <w:t xml:space="preserve"> </w:t>
      </w:r>
      <w:r>
        <w:t xml:space="preserve">в</w:t>
      </w:r>
      <w:r>
        <w:rPr>
          <w:spacing w:val="-2"/>
        </w:rPr>
        <w:t xml:space="preserve"> </w:t>
      </w:r>
      <w:r>
        <w:t xml:space="preserve">отчетном</w:t>
      </w:r>
      <w:r>
        <w:rPr>
          <w:spacing w:val="-1"/>
        </w:rPr>
        <w:t xml:space="preserve"> </w:t>
      </w:r>
      <w:r>
        <w:t xml:space="preserve">году</w:t>
      </w:r>
      <w:r>
        <w:rPr>
          <w:spacing w:val="-6"/>
        </w:rPr>
        <w:t xml:space="preserve"> </w:t>
      </w:r>
      <w:r>
        <w:t xml:space="preserve">значение</w:t>
      </w:r>
      <w:r>
        <w:rPr>
          <w:spacing w:val="-1"/>
        </w:rPr>
        <w:t xml:space="preserve"> </w:t>
      </w:r>
      <w:r>
        <w:t xml:space="preserve">индикатора</w:t>
      </w:r>
      <w:r>
        <w:rPr>
          <w:spacing w:val="-2"/>
        </w:rPr>
        <w:t xml:space="preserve"> </w:t>
      </w:r>
      <w:r>
        <w:t xml:space="preserve">n;</w:t>
      </w:r>
      <w:r/>
    </w:p>
    <w:p>
      <w:pPr>
        <w:pStyle w:val="1247"/>
        <w:ind w:left="851" w:right="89"/>
        <w:jc w:val="both"/>
        <w:spacing w:before="3" w:line="237" w:lineRule="auto"/>
        <w:rPr>
          <w:spacing w:val="1"/>
        </w:rPr>
      </w:pPr>
      <w:r>
        <w:t xml:space="preserve">n – количество индикаторов программы;</w:t>
      </w:r>
      <w:r>
        <w:rPr>
          <w:spacing w:val="1"/>
        </w:rPr>
        <w:t xml:space="preserve"> </w:t>
      </w:r>
      <w:r>
        <w:rPr>
          <w:spacing w:val="1"/>
        </w:rPr>
      </w:r>
      <w:r>
        <w:rPr>
          <w:spacing w:val="1"/>
        </w:rPr>
      </w:r>
    </w:p>
    <w:p>
      <w:pPr>
        <w:pStyle w:val="1247"/>
        <w:ind w:left="851" w:right="89"/>
        <w:jc w:val="both"/>
        <w:spacing w:before="3" w:line="237" w:lineRule="auto"/>
      </w:pPr>
      <w:r>
        <w:t xml:space="preserve">ДПИ</w:t>
      </w:r>
      <w:r>
        <w:rPr>
          <w:spacing w:val="-4"/>
        </w:rPr>
        <w:t xml:space="preserve"> </w:t>
      </w:r>
      <w:r>
        <w:t xml:space="preserve">–</w:t>
      </w:r>
      <w:r>
        <w:rPr>
          <w:spacing w:val="-3"/>
        </w:rPr>
        <w:t xml:space="preserve"> </w:t>
      </w:r>
      <w:r>
        <w:t xml:space="preserve">достижение</w:t>
      </w:r>
      <w:r>
        <w:rPr>
          <w:spacing w:val="-3"/>
        </w:rPr>
        <w:t xml:space="preserve"> </w:t>
      </w:r>
      <w:r>
        <w:t xml:space="preserve">плановых</w:t>
      </w:r>
      <w:r>
        <w:rPr>
          <w:spacing w:val="-4"/>
        </w:rPr>
        <w:t xml:space="preserve"> </w:t>
      </w:r>
      <w:r>
        <w:t xml:space="preserve">индикаторов.</w:t>
      </w:r>
      <w:r/>
    </w:p>
    <w:p>
      <w:pPr>
        <w:pStyle w:val="1247"/>
        <w:spacing w:before="5"/>
      </w:pPr>
      <w:r/>
      <w:r/>
    </w:p>
    <w:p>
      <w:pPr>
        <w:ind w:left="626" w:right="738"/>
        <w:jc w:val="center"/>
        <w:spacing w:before="1"/>
        <w:rPr>
          <w:sz w:val="24"/>
        </w:rPr>
      </w:pPr>
      <w:r>
        <w:rPr>
          <w:sz w:val="24"/>
        </w:rPr>
        <w:t xml:space="preserve">Шкала</w:t>
      </w:r>
      <w:r>
        <w:rPr>
          <w:spacing w:val="-4"/>
          <w:sz w:val="24"/>
        </w:rPr>
        <w:t xml:space="preserve"> </w:t>
      </w:r>
      <w:r>
        <w:rPr>
          <w:sz w:val="24"/>
        </w:rPr>
        <w:t xml:space="preserve">оценки</w:t>
      </w:r>
      <w:r>
        <w:rPr>
          <w:spacing w:val="-4"/>
          <w:sz w:val="24"/>
        </w:rPr>
        <w:t xml:space="preserve"> </w:t>
      </w:r>
      <w:r>
        <w:rPr>
          <w:sz w:val="24"/>
        </w:rPr>
        <w:t xml:space="preserve">результативности мероприятий:</w:t>
      </w:r>
      <w:r>
        <w:rPr>
          <w:sz w:val="24"/>
        </w:rPr>
      </w:r>
      <w:r>
        <w:rPr>
          <w:sz w:val="24"/>
        </w:rPr>
      </w:r>
    </w:p>
    <w:tbl>
      <w:tblPr>
        <w:tblStyle w:val="1237"/>
        <w:tblW w:w="9640" w:type="dxa"/>
        <w:tblInd w:w="134"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Look w:val="01E0" w:firstRow="1" w:lastRow="1" w:firstColumn="1" w:lastColumn="1" w:noHBand="0" w:noVBand="0"/>
      </w:tblPr>
      <w:tblGrid>
        <w:gridCol w:w="3404"/>
        <w:gridCol w:w="6236"/>
      </w:tblGrid>
      <w:tr>
        <w:tblPrEx/>
        <w:trPr>
          <w:trHeight w:val="277"/>
        </w:trPr>
        <w:tc>
          <w:tcPr>
            <w:tcW w:w="3404" w:type="dxa"/>
            <w:vAlign w:val="center"/>
            <w:textDirection w:val="lrTb"/>
            <w:noWrap w:val="false"/>
          </w:tcPr>
          <w:p>
            <w:pPr>
              <w:pStyle w:val="1251"/>
              <w:ind w:left="69"/>
              <w:spacing w:line="258" w:lineRule="exact"/>
              <w:rPr>
                <w:sz w:val="20"/>
                <w:szCs w:val="20"/>
              </w:rPr>
            </w:pPr>
            <w:r>
              <w:rPr>
                <w:sz w:val="20"/>
                <w:szCs w:val="20"/>
              </w:rPr>
              <w:t xml:space="preserve">Значение</w:t>
            </w:r>
            <w:r>
              <w:rPr>
                <w:spacing w:val="-2"/>
                <w:sz w:val="20"/>
                <w:szCs w:val="20"/>
              </w:rPr>
              <w:t xml:space="preserve"> </w:t>
            </w:r>
            <w:r>
              <w:rPr>
                <w:sz w:val="20"/>
                <w:szCs w:val="20"/>
              </w:rPr>
              <w:t xml:space="preserve">ДИП</w:t>
            </w:r>
            <w:r>
              <w:rPr>
                <w:sz w:val="20"/>
                <w:szCs w:val="20"/>
              </w:rPr>
            </w:r>
            <w:r>
              <w:rPr>
                <w:sz w:val="20"/>
                <w:szCs w:val="20"/>
              </w:rPr>
            </w:r>
          </w:p>
        </w:tc>
        <w:tc>
          <w:tcPr>
            <w:tcW w:w="6236" w:type="dxa"/>
            <w:vAlign w:val="center"/>
            <w:textDirection w:val="lrTb"/>
            <w:noWrap w:val="false"/>
          </w:tcPr>
          <w:p>
            <w:pPr>
              <w:pStyle w:val="1251"/>
              <w:ind w:left="66"/>
              <w:spacing w:line="258" w:lineRule="exact"/>
              <w:rPr>
                <w:sz w:val="20"/>
                <w:szCs w:val="20"/>
              </w:rPr>
            </w:pPr>
            <w:r>
              <w:rPr>
                <w:sz w:val="20"/>
                <w:szCs w:val="20"/>
              </w:rPr>
              <w:t xml:space="preserve">Оценка</w:t>
            </w:r>
            <w:r>
              <w:rPr>
                <w:sz w:val="20"/>
                <w:szCs w:val="20"/>
              </w:rPr>
            </w:r>
            <w:r>
              <w:rPr>
                <w:sz w:val="20"/>
                <w:szCs w:val="20"/>
              </w:rPr>
            </w:r>
          </w:p>
        </w:tc>
      </w:tr>
      <w:tr>
        <w:tblPrEx/>
        <w:trPr>
          <w:trHeight w:val="275"/>
        </w:trPr>
        <w:tc>
          <w:tcPr>
            <w:tcW w:w="3404" w:type="dxa"/>
            <w:vAlign w:val="center"/>
            <w:textDirection w:val="lrTb"/>
            <w:noWrap w:val="false"/>
          </w:tcPr>
          <w:p>
            <w:pPr>
              <w:pStyle w:val="1251"/>
              <w:ind w:left="69"/>
              <w:spacing w:line="255" w:lineRule="exact"/>
              <w:rPr>
                <w:sz w:val="20"/>
                <w:szCs w:val="20"/>
              </w:rPr>
            </w:pPr>
            <w:r>
              <w:rPr>
                <w:sz w:val="20"/>
                <w:szCs w:val="20"/>
              </w:rPr>
              <w:t xml:space="preserve">0,95 и более</w:t>
            </w:r>
            <w:r>
              <w:rPr>
                <w:sz w:val="20"/>
                <w:szCs w:val="20"/>
              </w:rPr>
            </w:r>
            <w:r>
              <w:rPr>
                <w:sz w:val="20"/>
                <w:szCs w:val="20"/>
              </w:rPr>
            </w:r>
          </w:p>
        </w:tc>
        <w:tc>
          <w:tcPr>
            <w:tcW w:w="6236" w:type="dxa"/>
            <w:vAlign w:val="center"/>
            <w:textDirection w:val="lrTb"/>
            <w:noWrap w:val="false"/>
          </w:tcPr>
          <w:p>
            <w:pPr>
              <w:pStyle w:val="1251"/>
              <w:ind w:left="66"/>
              <w:spacing w:line="255" w:lineRule="exact"/>
              <w:rPr>
                <w:sz w:val="20"/>
                <w:szCs w:val="20"/>
              </w:rPr>
            </w:pPr>
            <w:r>
              <w:rPr>
                <w:sz w:val="20"/>
                <w:szCs w:val="20"/>
              </w:rPr>
              <w:t xml:space="preserve">высокая</w:t>
            </w:r>
            <w:r>
              <w:rPr>
                <w:spacing w:val="-4"/>
                <w:sz w:val="20"/>
                <w:szCs w:val="20"/>
              </w:rPr>
              <w:t xml:space="preserve"> </w:t>
            </w:r>
            <w:r>
              <w:rPr>
                <w:sz w:val="20"/>
                <w:szCs w:val="20"/>
              </w:rPr>
              <w:t xml:space="preserve">результативность</w:t>
            </w:r>
            <w:r>
              <w:rPr>
                <w:spacing w:val="-3"/>
                <w:sz w:val="20"/>
                <w:szCs w:val="20"/>
              </w:rPr>
              <w:t xml:space="preserve"> </w:t>
            </w:r>
            <w:r>
              <w:rPr>
                <w:sz w:val="20"/>
                <w:szCs w:val="20"/>
              </w:rPr>
              <w:t xml:space="preserve">ДПИ</w:t>
            </w:r>
            <w:r>
              <w:rPr>
                <w:sz w:val="20"/>
                <w:szCs w:val="20"/>
              </w:rPr>
            </w:r>
            <w:r>
              <w:rPr>
                <w:sz w:val="20"/>
                <w:szCs w:val="20"/>
              </w:rPr>
            </w:r>
          </w:p>
        </w:tc>
      </w:tr>
      <w:tr>
        <w:tblPrEx/>
        <w:trPr>
          <w:trHeight w:val="275"/>
        </w:trPr>
        <w:tc>
          <w:tcPr>
            <w:tcW w:w="3404" w:type="dxa"/>
            <w:vAlign w:val="center"/>
            <w:textDirection w:val="lrTb"/>
            <w:noWrap w:val="false"/>
          </w:tcPr>
          <w:p>
            <w:pPr>
              <w:pStyle w:val="1251"/>
              <w:ind w:left="69"/>
              <w:spacing w:line="255" w:lineRule="exact"/>
              <w:rPr>
                <w:sz w:val="20"/>
                <w:szCs w:val="20"/>
              </w:rPr>
            </w:pPr>
            <w:r>
              <w:rPr>
                <w:sz w:val="20"/>
                <w:szCs w:val="20"/>
              </w:rPr>
              <w:t xml:space="preserve">от</w:t>
            </w:r>
            <w:r>
              <w:rPr>
                <w:spacing w:val="-2"/>
                <w:sz w:val="20"/>
                <w:szCs w:val="20"/>
              </w:rPr>
              <w:t xml:space="preserve"> </w:t>
            </w:r>
            <w:r>
              <w:rPr>
                <w:sz w:val="20"/>
                <w:szCs w:val="20"/>
              </w:rPr>
              <w:t xml:space="preserve">0,7</w:t>
            </w:r>
            <w:r>
              <w:rPr>
                <w:spacing w:val="-1"/>
                <w:sz w:val="20"/>
                <w:szCs w:val="20"/>
              </w:rPr>
              <w:t xml:space="preserve"> </w:t>
            </w:r>
            <w:r>
              <w:rPr>
                <w:sz w:val="20"/>
                <w:szCs w:val="20"/>
              </w:rPr>
              <w:t xml:space="preserve">по</w:t>
            </w:r>
            <w:r>
              <w:rPr>
                <w:spacing w:val="-1"/>
                <w:sz w:val="20"/>
                <w:szCs w:val="20"/>
              </w:rPr>
              <w:t xml:space="preserve"> </w:t>
            </w:r>
            <w:r>
              <w:rPr>
                <w:sz w:val="20"/>
                <w:szCs w:val="20"/>
              </w:rPr>
              <w:t xml:space="preserve">0,94</w:t>
            </w:r>
            <w:r>
              <w:rPr>
                <w:spacing w:val="-2"/>
                <w:sz w:val="20"/>
                <w:szCs w:val="20"/>
              </w:rPr>
              <w:t xml:space="preserve"> </w:t>
            </w:r>
            <w:r>
              <w:rPr>
                <w:sz w:val="20"/>
                <w:szCs w:val="20"/>
              </w:rPr>
              <w:t xml:space="preserve">(включительно)</w:t>
            </w:r>
            <w:r>
              <w:rPr>
                <w:sz w:val="20"/>
                <w:szCs w:val="20"/>
              </w:rPr>
            </w:r>
            <w:r>
              <w:rPr>
                <w:sz w:val="20"/>
                <w:szCs w:val="20"/>
              </w:rPr>
            </w:r>
          </w:p>
        </w:tc>
        <w:tc>
          <w:tcPr>
            <w:tcW w:w="6236" w:type="dxa"/>
            <w:vAlign w:val="center"/>
            <w:textDirection w:val="lrTb"/>
            <w:noWrap w:val="false"/>
          </w:tcPr>
          <w:p>
            <w:pPr>
              <w:pStyle w:val="1251"/>
              <w:ind w:left="66"/>
              <w:spacing w:line="255" w:lineRule="exact"/>
              <w:rPr>
                <w:sz w:val="20"/>
                <w:szCs w:val="20"/>
              </w:rPr>
            </w:pPr>
            <w:r>
              <w:rPr>
                <w:sz w:val="20"/>
                <w:szCs w:val="20"/>
              </w:rPr>
              <w:t xml:space="preserve">средняя</w:t>
            </w:r>
            <w:r>
              <w:rPr>
                <w:spacing w:val="-3"/>
                <w:sz w:val="20"/>
                <w:szCs w:val="20"/>
              </w:rPr>
              <w:t xml:space="preserve"> </w:t>
            </w:r>
            <w:r>
              <w:rPr>
                <w:sz w:val="20"/>
                <w:szCs w:val="20"/>
              </w:rPr>
              <w:t xml:space="preserve">результативность</w:t>
            </w:r>
            <w:r>
              <w:rPr>
                <w:spacing w:val="-2"/>
                <w:sz w:val="20"/>
                <w:szCs w:val="20"/>
              </w:rPr>
              <w:t xml:space="preserve"> </w:t>
            </w:r>
            <w:r>
              <w:rPr>
                <w:sz w:val="20"/>
                <w:szCs w:val="20"/>
              </w:rPr>
              <w:t xml:space="preserve">ДПИ</w:t>
            </w:r>
            <w:r>
              <w:rPr>
                <w:spacing w:val="-3"/>
                <w:sz w:val="20"/>
                <w:szCs w:val="20"/>
              </w:rPr>
              <w:t xml:space="preserve"> </w:t>
            </w:r>
            <w:r>
              <w:rPr>
                <w:sz w:val="20"/>
                <w:szCs w:val="20"/>
              </w:rPr>
              <w:t xml:space="preserve">(недовыполнение</w:t>
            </w:r>
            <w:r>
              <w:rPr>
                <w:spacing w:val="-3"/>
                <w:sz w:val="20"/>
                <w:szCs w:val="20"/>
              </w:rPr>
              <w:t xml:space="preserve"> </w:t>
            </w:r>
            <w:r>
              <w:rPr>
                <w:sz w:val="20"/>
                <w:szCs w:val="20"/>
              </w:rPr>
              <w:t xml:space="preserve">плана)</w:t>
            </w:r>
            <w:r>
              <w:rPr>
                <w:sz w:val="20"/>
                <w:szCs w:val="20"/>
              </w:rPr>
            </w:r>
            <w:r>
              <w:rPr>
                <w:sz w:val="20"/>
                <w:szCs w:val="20"/>
              </w:rPr>
            </w:r>
          </w:p>
        </w:tc>
      </w:tr>
      <w:tr>
        <w:tblPrEx/>
        <w:trPr>
          <w:trHeight w:val="72"/>
        </w:trPr>
        <w:tc>
          <w:tcPr>
            <w:tcW w:w="3404" w:type="dxa"/>
            <w:vAlign w:val="center"/>
            <w:textDirection w:val="lrTb"/>
            <w:noWrap w:val="false"/>
          </w:tcPr>
          <w:p>
            <w:pPr>
              <w:pStyle w:val="1251"/>
              <w:ind w:left="69"/>
              <w:spacing w:line="268" w:lineRule="exact"/>
              <w:rPr>
                <w:sz w:val="20"/>
                <w:szCs w:val="20"/>
              </w:rPr>
            </w:pPr>
            <w:r>
              <w:rPr>
                <w:sz w:val="20"/>
                <w:szCs w:val="20"/>
              </w:rPr>
              <w:t xml:space="preserve">менее</w:t>
            </w:r>
            <w:r>
              <w:rPr>
                <w:spacing w:val="-3"/>
                <w:sz w:val="20"/>
                <w:szCs w:val="20"/>
              </w:rPr>
              <w:t xml:space="preserve"> </w:t>
            </w:r>
            <w:r>
              <w:rPr>
                <w:sz w:val="20"/>
                <w:szCs w:val="20"/>
              </w:rPr>
              <w:t xml:space="preserve">0,7</w:t>
            </w:r>
            <w:r>
              <w:rPr>
                <w:sz w:val="20"/>
                <w:szCs w:val="20"/>
              </w:rPr>
            </w:r>
            <w:r>
              <w:rPr>
                <w:sz w:val="20"/>
                <w:szCs w:val="20"/>
              </w:rPr>
            </w:r>
          </w:p>
        </w:tc>
        <w:tc>
          <w:tcPr>
            <w:tcW w:w="6236" w:type="dxa"/>
            <w:vAlign w:val="center"/>
            <w:textDirection w:val="lrTb"/>
            <w:noWrap w:val="false"/>
          </w:tcPr>
          <w:p>
            <w:pPr>
              <w:pStyle w:val="1251"/>
              <w:ind w:left="66"/>
              <w:spacing w:line="268" w:lineRule="exact"/>
              <w:tabs>
                <w:tab w:val="left" w:pos="1282" w:leader="none"/>
                <w:tab w:val="left" w:pos="3611" w:leader="none"/>
                <w:tab w:val="left" w:pos="4651" w:leader="none"/>
              </w:tabs>
              <w:rPr>
                <w:sz w:val="20"/>
                <w:szCs w:val="20"/>
              </w:rPr>
            </w:pPr>
            <w:r>
              <w:rPr>
                <w:sz w:val="20"/>
                <w:szCs w:val="20"/>
              </w:rPr>
              <w:t xml:space="preserve">низкая результативность ДПИ (существенное недовыполнение</w:t>
            </w:r>
            <w:r>
              <w:rPr>
                <w:spacing w:val="-6"/>
                <w:sz w:val="20"/>
                <w:szCs w:val="20"/>
              </w:rPr>
              <w:t xml:space="preserve"> </w:t>
            </w:r>
            <w:r>
              <w:rPr>
                <w:sz w:val="20"/>
                <w:szCs w:val="20"/>
              </w:rPr>
              <w:t xml:space="preserve">плана)</w:t>
            </w:r>
            <w:r>
              <w:rPr>
                <w:sz w:val="20"/>
                <w:szCs w:val="20"/>
              </w:rPr>
            </w:r>
            <w:r>
              <w:rPr>
                <w:sz w:val="20"/>
                <w:szCs w:val="20"/>
              </w:rPr>
            </w:r>
          </w:p>
        </w:tc>
      </w:tr>
    </w:tbl>
    <w:p>
      <w:pPr>
        <w:pStyle w:val="1247"/>
        <w:spacing w:before="7"/>
        <w:rPr>
          <w:sz w:val="16"/>
        </w:rPr>
      </w:pPr>
      <w:r>
        <w:rPr>
          <w:sz w:val="16"/>
        </w:rPr>
      </w:r>
      <w:r>
        <w:rPr>
          <w:sz w:val="16"/>
        </w:rPr>
      </w:r>
      <w:r>
        <w:rPr>
          <w:sz w:val="16"/>
        </w:rPr>
      </w:r>
    </w:p>
    <w:p>
      <w:pPr>
        <w:pStyle w:val="1248"/>
        <w:ind w:right="108" w:firstLine="733"/>
      </w:pPr>
      <w:r/>
      <w:bookmarkStart w:id="612" w:name="_bookmark317"/>
      <w:r/>
      <w:bookmarkStart w:id="613" w:name="_Toc130232063"/>
      <w:r/>
      <w:bookmarkStart w:id="614" w:name="_Toc165540842"/>
      <w:r/>
      <w:bookmarkEnd w:id="612"/>
      <w:r>
        <w:rPr>
          <w:lang w:eastAsia="ru-RU"/>
        </w:rPr>
        <w:t xml:space="preserve">12.4 </w:t>
      </w:r>
      <w:r>
        <w:t xml:space="preserve">Расчёты</w:t>
      </w:r>
      <w:r>
        <w:rPr>
          <w:spacing w:val="-7"/>
        </w:rPr>
        <w:t xml:space="preserve"> </w:t>
      </w:r>
      <w:r>
        <w:t xml:space="preserve">ценовых</w:t>
      </w:r>
      <w:r>
        <w:rPr>
          <w:spacing w:val="-7"/>
        </w:rPr>
        <w:t xml:space="preserve"> </w:t>
      </w:r>
      <w:r>
        <w:t xml:space="preserve">(тарифных)</w:t>
      </w:r>
      <w:r>
        <w:rPr>
          <w:spacing w:val="-8"/>
        </w:rPr>
        <w:t xml:space="preserve"> </w:t>
      </w:r>
      <w:r>
        <w:t xml:space="preserve">последствий</w:t>
      </w:r>
      <w:r>
        <w:rPr>
          <w:spacing w:val="-6"/>
        </w:rPr>
        <w:t xml:space="preserve"> </w:t>
      </w:r>
      <w:r>
        <w:t xml:space="preserve">для</w:t>
      </w:r>
      <w:r>
        <w:rPr>
          <w:spacing w:val="-7"/>
        </w:rPr>
        <w:t xml:space="preserve"> </w:t>
      </w:r>
      <w:r>
        <w:t xml:space="preserve">потребителей</w:t>
      </w:r>
      <w:r>
        <w:rPr>
          <w:spacing w:val="-6"/>
        </w:rPr>
        <w:t xml:space="preserve"> </w:t>
      </w:r>
      <w:r>
        <w:t xml:space="preserve">при</w:t>
      </w:r>
      <w:r>
        <w:rPr>
          <w:spacing w:val="-9"/>
        </w:rPr>
        <w:t xml:space="preserve"> </w:t>
      </w:r>
      <w:r>
        <w:t xml:space="preserve">реализации программ строительства, реконструкции, технического перевооружения и (или) модернизации систем теплоснабжения</w:t>
      </w:r>
      <w:bookmarkEnd w:id="613"/>
      <w:r/>
      <w:bookmarkEnd w:id="614"/>
      <w:r/>
      <w:r/>
    </w:p>
    <w:p>
      <w:pPr>
        <w:pStyle w:val="1247"/>
        <w:ind w:left="142" w:firstLine="684"/>
        <w:jc w:val="both"/>
        <w:spacing w:before="115"/>
      </w:pPr>
      <w:r>
        <w:rPr>
          <w:spacing w:val="-5"/>
        </w:rPr>
        <w:t xml:space="preserve">Ценовые последствия разрабатываются при формировании инвестиционный программ и утверждении в управлении по государственному регулированию тарифов Курганской области.</w:t>
      </w:r>
      <w:r/>
    </w:p>
    <w:p>
      <w:pPr>
        <w:pStyle w:val="1247"/>
        <w:spacing w:before="7"/>
        <w:rPr>
          <w:sz w:val="16"/>
        </w:rPr>
      </w:pPr>
      <w:r>
        <w:rPr>
          <w:sz w:val="16"/>
        </w:rPr>
      </w:r>
      <w:r>
        <w:rPr>
          <w:sz w:val="16"/>
        </w:rPr>
      </w:r>
      <w:r>
        <w:rPr>
          <w:sz w:val="16"/>
        </w:rPr>
      </w:r>
    </w:p>
    <w:p>
      <w:pPr>
        <w:rPr>
          <w:b/>
          <w:bCs/>
          <w:sz w:val="24"/>
          <w:szCs w:val="24"/>
          <w:lang w:eastAsia="ru-RU"/>
        </w:rPr>
      </w:pPr>
      <w:r/>
      <w:bookmarkStart w:id="615" w:name="_bookmark318"/>
      <w:r/>
      <w:bookmarkStart w:id="616" w:name="_Toc130232064"/>
      <w:r/>
      <w:bookmarkStart w:id="617" w:name="_Toc165540843"/>
      <w:r/>
      <w:bookmarkEnd w:id="615"/>
      <w:r>
        <w:rPr>
          <w:lang w:eastAsia="ru-RU"/>
        </w:rPr>
        <w:br w:type="page" w:clear="all"/>
      </w:r>
      <w:r>
        <w:rPr>
          <w:b/>
          <w:bCs/>
          <w:sz w:val="24"/>
          <w:szCs w:val="24"/>
          <w:lang w:eastAsia="ru-RU"/>
        </w:rPr>
      </w:r>
      <w:r>
        <w:rPr>
          <w:b/>
          <w:bCs/>
          <w:sz w:val="24"/>
          <w:szCs w:val="24"/>
          <w:lang w:eastAsia="ru-RU"/>
        </w:rPr>
      </w:r>
    </w:p>
    <w:p>
      <w:pPr>
        <w:pStyle w:val="1248"/>
        <w:ind w:right="111" w:firstLine="733"/>
      </w:pPr>
      <w:r>
        <w:rPr>
          <w:lang w:eastAsia="ru-RU"/>
        </w:rPr>
        <w:t xml:space="preserve">12.5 </w:t>
      </w:r>
      <w:r>
        <w:t xml:space="preserve">Расчёт экономической эффективности инвестиций в стро</w:t>
      </w:r>
      <w:r>
        <w:t xml:space="preserve">ительство источников тепловой энергии, функционирующих в режиме комбинированной выработки электрической и тепловой энергии, по которым имеются источники финансирования, выполненный в соответствии с методическими указаниями по разработке схем теплоснабжения</w:t>
      </w:r>
      <w:bookmarkEnd w:id="616"/>
      <w:r/>
      <w:bookmarkEnd w:id="617"/>
      <w:r/>
      <w:r/>
    </w:p>
    <w:p>
      <w:pPr>
        <w:pStyle w:val="1247"/>
        <w:ind w:left="118" w:right="110" w:firstLine="707"/>
        <w:jc w:val="both"/>
        <w:spacing w:before="116"/>
      </w:pPr>
      <w:r>
        <w:t xml:space="preserve">Строительство источников тепловой энергии, функционирующих в режиме комбинированной выработки электрической и тепловой энергии, на территории </w:t>
      </w:r>
      <w:r>
        <w:t xml:space="preserve">Юргамышского </w:t>
      </w:r>
      <w:r>
        <w:t xml:space="preserve">муниципального округа</w:t>
      </w:r>
      <w:r>
        <w:t xml:space="preserve"> не предполагается.</w:t>
      </w:r>
      <w:r/>
    </w:p>
    <w:p>
      <w:pPr>
        <w:pStyle w:val="1247"/>
        <w:ind w:left="119" w:right="108" w:firstLine="709"/>
        <w:jc w:val="both"/>
      </w:pPr>
      <w:r/>
      <w:r/>
    </w:p>
    <w:p>
      <w:pPr>
        <w:pStyle w:val="1248"/>
        <w:ind w:right="105" w:firstLine="733"/>
        <w:spacing w:before="71"/>
      </w:pPr>
      <w:r/>
      <w:bookmarkStart w:id="618" w:name="_bookmark319"/>
      <w:r/>
      <w:bookmarkStart w:id="619" w:name="_Toc130232065"/>
      <w:r/>
      <w:bookmarkStart w:id="620" w:name="_Toc165540844"/>
      <w:r/>
      <w:bookmarkEnd w:id="618"/>
      <w:r>
        <w:rPr>
          <w:lang w:eastAsia="ru-RU"/>
        </w:rPr>
        <w:t xml:space="preserve">12.6 </w:t>
      </w:r>
      <w:r>
        <w:t xml:space="preserve">Описание изменений в обосновании инвестиций (оценке финансовых потребностей, предложениях по источникам инвестиций) в строительство, реконструкцию, техническое перевооружение и (или) модернизацию источников тепловой</w:t>
      </w:r>
      <w:r>
        <w:rPr>
          <w:spacing w:val="-7"/>
        </w:rPr>
        <w:t xml:space="preserve"> </w:t>
      </w:r>
      <w:r>
        <w:t xml:space="preserve">энергии</w:t>
      </w:r>
      <w:r>
        <w:rPr>
          <w:spacing w:val="-6"/>
        </w:rPr>
        <w:t xml:space="preserve"> </w:t>
      </w:r>
      <w:r>
        <w:t xml:space="preserve">и</w:t>
      </w:r>
      <w:r>
        <w:rPr>
          <w:spacing w:val="-9"/>
        </w:rPr>
        <w:t xml:space="preserve"> </w:t>
      </w:r>
      <w:r>
        <w:t xml:space="preserve">тепловых</w:t>
      </w:r>
      <w:r>
        <w:rPr>
          <w:spacing w:val="-8"/>
        </w:rPr>
        <w:t xml:space="preserve"> </w:t>
      </w:r>
      <w:r>
        <w:t xml:space="preserve">сетей</w:t>
      </w:r>
      <w:r>
        <w:rPr>
          <w:spacing w:val="-7"/>
        </w:rPr>
        <w:t xml:space="preserve"> </w:t>
      </w:r>
      <w:r>
        <w:t xml:space="preserve">с</w:t>
      </w:r>
      <w:r>
        <w:rPr>
          <w:spacing w:val="-8"/>
        </w:rPr>
        <w:t xml:space="preserve"> </w:t>
      </w:r>
      <w:r>
        <w:t xml:space="preserve">учётом</w:t>
      </w:r>
      <w:r>
        <w:rPr>
          <w:spacing w:val="-8"/>
        </w:rPr>
        <w:t xml:space="preserve"> </w:t>
      </w:r>
      <w:r>
        <w:t xml:space="preserve">фактически</w:t>
      </w:r>
      <w:r>
        <w:rPr>
          <w:spacing w:val="-7"/>
        </w:rPr>
        <w:t xml:space="preserve"> </w:t>
      </w:r>
      <w:r>
        <w:t xml:space="preserve">осуществлённых</w:t>
      </w:r>
      <w:r>
        <w:rPr>
          <w:spacing w:val="-7"/>
        </w:rPr>
        <w:t xml:space="preserve"> </w:t>
      </w:r>
      <w:r>
        <w:t xml:space="preserve">инвестиций</w:t>
      </w:r>
      <w:r>
        <w:rPr>
          <w:spacing w:val="-7"/>
        </w:rPr>
        <w:t xml:space="preserve"> </w:t>
      </w:r>
      <w:r>
        <w:t xml:space="preserve">и показателей их фактической эффективности</w:t>
      </w:r>
      <w:bookmarkEnd w:id="619"/>
      <w:r/>
      <w:bookmarkEnd w:id="620"/>
      <w:r/>
      <w:r/>
    </w:p>
    <w:p>
      <w:pPr>
        <w:pStyle w:val="1247"/>
        <w:ind w:left="118" w:right="105" w:firstLine="707"/>
        <w:jc w:val="both"/>
        <w:spacing w:before="116"/>
      </w:pPr>
      <w:r>
        <w:t xml:space="preserve">Ранее схема теплоснабжения </w:t>
      </w:r>
      <w:r>
        <w:t xml:space="preserve">Юргамышского</w:t>
      </w:r>
      <w:r>
        <w:t xml:space="preserve"> муниципального округа не была разработана</w:t>
      </w:r>
      <w:r>
        <w:t xml:space="preserve">.</w:t>
      </w:r>
      <w:r/>
    </w:p>
    <w:p>
      <w:pPr>
        <w:pStyle w:val="1247"/>
        <w:ind w:left="119" w:right="108" w:firstLine="709"/>
        <w:jc w:val="both"/>
      </w:pPr>
      <w:r/>
      <w:r/>
    </w:p>
    <w:p>
      <w:pPr>
        <w:pStyle w:val="1248"/>
        <w:ind w:left="826"/>
        <w:jc w:val="left"/>
        <w:spacing w:before="71"/>
      </w:pPr>
      <w:r/>
      <w:bookmarkStart w:id="621" w:name="_bookmark320"/>
      <w:r/>
      <w:bookmarkStart w:id="622" w:name="_Toc130232066"/>
      <w:r/>
      <w:bookmarkStart w:id="623" w:name="_Toc165540845"/>
      <w:r/>
      <w:bookmarkEnd w:id="621"/>
      <w:r>
        <w:t xml:space="preserve">Глава</w:t>
      </w:r>
      <w:r>
        <w:rPr>
          <w:spacing w:val="-7"/>
        </w:rPr>
        <w:t xml:space="preserve"> </w:t>
      </w:r>
      <w:r>
        <w:t xml:space="preserve">13</w:t>
      </w:r>
      <w:r>
        <w:rPr>
          <w:spacing w:val="4"/>
        </w:rPr>
        <w:t xml:space="preserve"> </w:t>
      </w:r>
      <w:r>
        <w:t xml:space="preserve">Индикаторы</w:t>
      </w:r>
      <w:r>
        <w:rPr>
          <w:spacing w:val="-4"/>
        </w:rPr>
        <w:t xml:space="preserve"> </w:t>
      </w:r>
      <w:r>
        <w:t xml:space="preserve">развития</w:t>
      </w:r>
      <w:r>
        <w:rPr>
          <w:spacing w:val="-3"/>
        </w:rPr>
        <w:t xml:space="preserve"> </w:t>
      </w:r>
      <w:r>
        <w:t xml:space="preserve">систем</w:t>
      </w:r>
      <w:r>
        <w:rPr>
          <w:spacing w:val="-4"/>
        </w:rPr>
        <w:t xml:space="preserve"> </w:t>
      </w:r>
      <w:r>
        <w:t xml:space="preserve">теплоснабжения</w:t>
      </w:r>
      <w:r>
        <w:rPr>
          <w:spacing w:val="-3"/>
        </w:rPr>
        <w:t xml:space="preserve"> </w:t>
      </w:r>
      <w:r>
        <w:rPr>
          <w:spacing w:val="-2"/>
        </w:rPr>
        <w:t xml:space="preserve">поселения</w:t>
      </w:r>
      <w:bookmarkEnd w:id="622"/>
      <w:r/>
      <w:bookmarkEnd w:id="623"/>
      <w:r/>
      <w:r/>
    </w:p>
    <w:p>
      <w:pPr>
        <w:pStyle w:val="1248"/>
        <w:ind w:firstLine="733"/>
        <w:jc w:val="left"/>
        <w:spacing w:before="120"/>
      </w:pPr>
      <w:r/>
      <w:bookmarkStart w:id="624" w:name="_bookmark321"/>
      <w:r/>
      <w:bookmarkStart w:id="625" w:name="_Toc130232067"/>
      <w:r/>
      <w:bookmarkStart w:id="626" w:name="_Toc165540846"/>
      <w:r/>
      <w:bookmarkEnd w:id="624"/>
      <w:r>
        <w:rPr>
          <w:lang w:eastAsia="ru-RU"/>
        </w:rPr>
        <w:t xml:space="preserve">13.1 </w:t>
      </w:r>
      <w:r>
        <w:t xml:space="preserve">Результаты оценки существующих и перспективных значений индикаторов развития систем теплоснабжения</w:t>
      </w:r>
      <w:bookmarkEnd w:id="625"/>
      <w:r/>
      <w:bookmarkEnd w:id="626"/>
      <w:r/>
      <w:r/>
    </w:p>
    <w:p>
      <w:pPr>
        <w:pStyle w:val="1247"/>
        <w:ind w:left="118" w:firstLine="707"/>
        <w:jc w:val="both"/>
        <w:spacing w:before="116"/>
      </w:pPr>
      <w:r>
        <w:t xml:space="preserve">Индикаторы развития систем теплоснабжения поселения, городского округа, города федерального значения" содержит результаты оценки существующих и перспективных значений следующих индикаторов развития с</w:t>
      </w:r>
      <w:r>
        <w:t xml:space="preserve">истем теплоснабжения, рассчитанных в соответствии с методическими указаниями по разработке схем теплоснабжения согласно постановлению правительства РФ от 22 февраля 2012 г. N 154 "О требованиях к схемам теплоснабжения, порядку их разработки и утверждения".</w:t>
      </w:r>
      <w:r/>
    </w:p>
    <w:p>
      <w:pPr>
        <w:pStyle w:val="1247"/>
        <w:ind w:left="119" w:firstLine="709"/>
        <w:jc w:val="both"/>
      </w:pPr>
      <w:r>
        <w:t xml:space="preserve">В данной схеме теплоснабжения не представляется возможным рассчитать индикаторы развития всех систем теплоснабжения, так как частично не предоставлены исходные данные.</w:t>
      </w:r>
      <w:r/>
    </w:p>
    <w:p>
      <w:pPr>
        <w:pStyle w:val="1247"/>
        <w:ind w:left="119" w:firstLine="709"/>
        <w:jc w:val="both"/>
      </w:pPr>
      <w:r>
        <w:t xml:space="preserve">Индикаторы развития систем теплоснабжения </w:t>
      </w:r>
      <w:r>
        <w:t xml:space="preserve">Юргамышского</w:t>
      </w:r>
      <w:r>
        <w:t xml:space="preserve"> муниципального округа</w:t>
      </w:r>
      <w:r>
        <w:t xml:space="preserve"> в соответствии с методическими указаниями по разработке схем теплоснабжения на начало и конец расчётного периода, приведены в следующей таблице</w:t>
      </w:r>
      <w:r>
        <w:t xml:space="preserve"> </w:t>
      </w:r>
      <w:r>
        <w:t xml:space="preserve">13.</w:t>
      </w:r>
      <w:r>
        <w:t xml:space="preserve">1</w:t>
      </w:r>
      <w:r>
        <w:t xml:space="preserve">.1</w:t>
      </w:r>
      <w:r>
        <w:t xml:space="preserve">.</w:t>
      </w:r>
      <w:r/>
    </w:p>
    <w:p>
      <w:pPr>
        <w:pStyle w:val="1247"/>
        <w:ind w:left="119" w:firstLine="709"/>
        <w:jc w:val="both"/>
      </w:pPr>
      <w:r/>
      <w:r/>
    </w:p>
    <w:p>
      <w:pPr>
        <w:pStyle w:val="1248"/>
        <w:ind w:right="108" w:firstLine="733"/>
        <w:spacing w:before="71"/>
      </w:pPr>
      <w:r/>
      <w:bookmarkStart w:id="627" w:name="_Toc130232068"/>
      <w:r/>
      <w:bookmarkStart w:id="628" w:name="_Toc165540847"/>
      <w:r>
        <w:rPr>
          <w:lang w:eastAsia="ru-RU"/>
        </w:rPr>
        <w:t xml:space="preserve">13.2 </w:t>
      </w:r>
      <w:r>
        <w:t xml:space="preserve">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w:t>
      </w:r>
      <w:r>
        <w:t xml:space="preserve">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bookmarkEnd w:id="627"/>
      <w:r/>
      <w:bookmarkEnd w:id="628"/>
      <w:r/>
      <w:r/>
    </w:p>
    <w:p>
      <w:pPr>
        <w:pStyle w:val="1247"/>
        <w:ind w:left="118" w:right="108" w:firstLine="707"/>
        <w:jc w:val="both"/>
        <w:spacing w:before="116"/>
      </w:pPr>
      <w:r>
        <w:t xml:space="preserve">Факты нарушения антимонопольного законодательства (выданные предупреждения, предписания), а также санкции, предусмотренные Кодексом Российской Федерации об административных</w:t>
      </w:r>
      <w:r>
        <w:rPr>
          <w:spacing w:val="-11"/>
        </w:rPr>
        <w:t xml:space="preserve"> </w:t>
      </w:r>
      <w:r>
        <w:t xml:space="preserve">правонарушениях,</w:t>
      </w:r>
      <w:r>
        <w:rPr>
          <w:spacing w:val="-13"/>
        </w:rPr>
        <w:t xml:space="preserve"> </w:t>
      </w:r>
      <w:r>
        <w:t xml:space="preserve">за</w:t>
      </w:r>
      <w:r>
        <w:rPr>
          <w:spacing w:val="-14"/>
        </w:rPr>
        <w:t xml:space="preserve"> </w:t>
      </w:r>
      <w:r>
        <w:t xml:space="preserve">нарушение</w:t>
      </w:r>
      <w:r>
        <w:rPr>
          <w:spacing w:val="-11"/>
        </w:rPr>
        <w:t xml:space="preserve"> </w:t>
      </w:r>
      <w:r>
        <w:t xml:space="preserve">законодательства</w:t>
      </w:r>
      <w:r>
        <w:rPr>
          <w:spacing w:val="-11"/>
        </w:rPr>
        <w:t xml:space="preserve"> </w:t>
      </w:r>
      <w:r>
        <w:t xml:space="preserve">Российской</w:t>
      </w:r>
      <w:r>
        <w:rPr>
          <w:spacing w:val="-10"/>
        </w:rPr>
        <w:t xml:space="preserve"> </w:t>
      </w:r>
      <w:r>
        <w:t xml:space="preserve">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 – отсутствуют.</w:t>
      </w:r>
      <w:r/>
    </w:p>
    <w:p>
      <w:pPr>
        <w:pStyle w:val="1247"/>
        <w:spacing w:before="7"/>
      </w:pPr>
      <w:r/>
      <w:r/>
    </w:p>
    <w:p>
      <w:pPr>
        <w:pStyle w:val="1248"/>
        <w:ind w:right="111" w:firstLine="733"/>
      </w:pPr>
      <w:r/>
      <w:bookmarkStart w:id="629" w:name="_bookmark324"/>
      <w:r/>
      <w:bookmarkStart w:id="630" w:name="_Toc130232069"/>
      <w:r/>
      <w:bookmarkStart w:id="631" w:name="_Toc165540848"/>
      <w:r/>
      <w:bookmarkEnd w:id="629"/>
      <w:r>
        <w:rPr>
          <w:lang w:eastAsia="ru-RU"/>
        </w:rPr>
        <w:t xml:space="preserve">13.3 </w:t>
      </w:r>
      <w:r>
        <w:t xml:space="preserve">Целевые значения ключевых показателей, отражающих результаты внедрения целевой модели рынка тепловой энергии</w:t>
      </w:r>
      <w:bookmarkEnd w:id="630"/>
      <w:r/>
      <w:bookmarkEnd w:id="631"/>
      <w:r/>
      <w:r/>
    </w:p>
    <w:p>
      <w:pPr>
        <w:pStyle w:val="1247"/>
        <w:ind w:left="118" w:right="113" w:firstLine="707"/>
        <w:jc w:val="both"/>
        <w:spacing w:before="115"/>
      </w:pPr>
      <w:r>
        <w:t xml:space="preserve">Муниципальное образование не отнесено к ценовой зоне теплоснабжения. В связи с этим, на основании п.79.1 постановления Правительства РФ № 154, значения показателей не </w:t>
      </w:r>
      <w:r>
        <w:rPr>
          <w:spacing w:val="-2"/>
        </w:rPr>
        <w:t xml:space="preserve">приводятся.</w:t>
      </w:r>
      <w:r/>
    </w:p>
    <w:p>
      <w:pPr>
        <w:pStyle w:val="1247"/>
        <w:spacing w:before="7"/>
        <w:rPr>
          <w:sz w:val="16"/>
        </w:rPr>
      </w:pPr>
      <w:r>
        <w:rPr>
          <w:sz w:val="16"/>
        </w:rPr>
      </w:r>
      <w:r>
        <w:rPr>
          <w:sz w:val="16"/>
        </w:rPr>
      </w:r>
      <w:r>
        <w:rPr>
          <w:sz w:val="16"/>
        </w:rPr>
      </w:r>
    </w:p>
    <w:p>
      <w:pPr>
        <w:sectPr>
          <w:footnotePr/>
          <w:endnotePr/>
          <w:type w:val="nextPage"/>
          <w:pgSz w:w="11910" w:h="16840" w:orient="portrait"/>
          <w:pgMar w:top="1040" w:right="740" w:bottom="940" w:left="1300" w:header="0" w:footer="758" w:gutter="0"/>
          <w:cols w:num="1" w:sep="0" w:space="720" w:equalWidth="1"/>
          <w:docGrid w:linePitch="360"/>
        </w:sectPr>
      </w:pPr>
      <w:r/>
      <w:bookmarkStart w:id="632" w:name="_bookmark325"/>
      <w:r/>
      <w:bookmarkEnd w:id="632"/>
      <w:r/>
      <w:r/>
    </w:p>
    <w:p>
      <w:pPr>
        <w:ind w:left="3128" w:right="369"/>
        <w:jc w:val="right"/>
        <w:spacing w:before="79"/>
        <w:rPr>
          <w:sz w:val="24"/>
          <w:szCs w:val="24"/>
        </w:rPr>
      </w:pPr>
      <w:r/>
      <w:bookmarkStart w:id="633" w:name="_bookmark322"/>
      <w:r/>
      <w:bookmarkEnd w:id="633"/>
      <w:r>
        <w:rPr>
          <w:sz w:val="24"/>
          <w:szCs w:val="24"/>
        </w:rPr>
        <w:t xml:space="preserve">Таблица</w:t>
      </w:r>
      <w:r>
        <w:rPr>
          <w:spacing w:val="-8"/>
          <w:sz w:val="24"/>
          <w:szCs w:val="24"/>
        </w:rPr>
        <w:t xml:space="preserve"> </w:t>
      </w:r>
      <w:r>
        <w:rPr>
          <w:sz w:val="24"/>
          <w:szCs w:val="24"/>
        </w:rPr>
        <w:t xml:space="preserve">13.</w:t>
      </w:r>
      <w:r>
        <w:rPr>
          <w:sz w:val="24"/>
          <w:szCs w:val="24"/>
        </w:rPr>
        <w:t xml:space="preserve">1</w:t>
      </w:r>
      <w:r>
        <w:rPr>
          <w:sz w:val="24"/>
          <w:szCs w:val="24"/>
        </w:rPr>
        <w:t xml:space="preserve">.1</w:t>
      </w:r>
      <w:r>
        <w:rPr>
          <w:sz w:val="24"/>
          <w:szCs w:val="24"/>
        </w:rPr>
      </w:r>
      <w:r>
        <w:rPr>
          <w:sz w:val="24"/>
          <w:szCs w:val="24"/>
        </w:rPr>
      </w:r>
    </w:p>
    <w:p>
      <w:pPr>
        <w:ind w:left="142" w:right="369"/>
        <w:jc w:val="center"/>
        <w:spacing w:before="79"/>
        <w:rPr>
          <w:sz w:val="24"/>
          <w:szCs w:val="24"/>
        </w:rPr>
      </w:pPr>
      <w:r>
        <w:rPr>
          <w:sz w:val="24"/>
          <w:szCs w:val="24"/>
        </w:rPr>
        <w:t xml:space="preserve">Индикаторы</w:t>
      </w:r>
      <w:r>
        <w:rPr>
          <w:spacing w:val="-9"/>
          <w:sz w:val="24"/>
          <w:szCs w:val="24"/>
        </w:rPr>
        <w:t xml:space="preserve"> </w:t>
      </w:r>
      <w:r>
        <w:rPr>
          <w:sz w:val="24"/>
          <w:szCs w:val="24"/>
        </w:rPr>
        <w:t xml:space="preserve">развития</w:t>
      </w:r>
      <w:r>
        <w:rPr>
          <w:spacing w:val="-9"/>
          <w:sz w:val="24"/>
          <w:szCs w:val="24"/>
        </w:rPr>
        <w:t xml:space="preserve"> </w:t>
      </w:r>
      <w:r>
        <w:rPr>
          <w:spacing w:val="-9"/>
          <w:sz w:val="24"/>
          <w:szCs w:val="24"/>
        </w:rPr>
        <w:t xml:space="preserve">централизованных </w:t>
      </w:r>
      <w:r>
        <w:rPr>
          <w:sz w:val="24"/>
          <w:szCs w:val="24"/>
        </w:rPr>
        <w:t xml:space="preserve">систем</w:t>
      </w:r>
      <w:r>
        <w:rPr>
          <w:spacing w:val="-11"/>
          <w:sz w:val="24"/>
          <w:szCs w:val="24"/>
        </w:rPr>
        <w:t xml:space="preserve"> </w:t>
      </w:r>
      <w:r>
        <w:rPr>
          <w:sz w:val="24"/>
          <w:szCs w:val="24"/>
        </w:rPr>
        <w:t xml:space="preserve">теплоснабжения</w:t>
      </w:r>
      <w:r>
        <w:rPr>
          <w:spacing w:val="-9"/>
          <w:sz w:val="24"/>
          <w:szCs w:val="24"/>
        </w:rPr>
        <w:t xml:space="preserve"> </w:t>
      </w:r>
      <w:r>
        <w:rPr>
          <w:sz w:val="24"/>
          <w:szCs w:val="24"/>
        </w:rPr>
      </w:r>
      <w:r>
        <w:rPr>
          <w:sz w:val="24"/>
          <w:szCs w:val="24"/>
        </w:rPr>
      </w:r>
    </w:p>
    <w:p>
      <w:pPr>
        <w:pStyle w:val="1247"/>
        <w:spacing w:before="8"/>
        <w:rPr>
          <w:b/>
          <w:sz w:val="10"/>
        </w:rPr>
      </w:pPr>
      <w:r>
        <w:rPr>
          <w:b/>
          <w:sz w:val="10"/>
        </w:rPr>
      </w:r>
      <w:r>
        <w:rPr>
          <w:b/>
          <w:sz w:val="10"/>
        </w:rPr>
      </w:r>
      <w:r>
        <w:rPr>
          <w:b/>
          <w:sz w:val="10"/>
        </w:rPr>
      </w:r>
    </w:p>
    <w:tbl>
      <w:tblPr>
        <w:tblW w:w="4885" w:type="pct"/>
        <w:tblInd w:w="137"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40" w:type="dxa"/>
          <w:right w:w="40" w:type="dxa"/>
        </w:tblCellMar>
        <w:tblLook w:val="04A0" w:firstRow="1" w:lastRow="0" w:firstColumn="1" w:lastColumn="0" w:noHBand="0" w:noVBand="1"/>
      </w:tblPr>
      <w:tblGrid>
        <w:gridCol w:w="718"/>
        <w:gridCol w:w="6439"/>
        <w:gridCol w:w="1070"/>
        <w:gridCol w:w="1409"/>
        <w:gridCol w:w="2125"/>
        <w:gridCol w:w="2125"/>
        <w:gridCol w:w="1560"/>
      </w:tblGrid>
      <w:tr>
        <w:tblPrEx/>
        <w:trPr>
          <w:tblHeader/>
        </w:trPr>
        <w:tc>
          <w:tcPr>
            <w:shd w:val="clear" w:color="auto" w:fill="auto"/>
            <w:tcW w:w="232" w:type="pct"/>
            <w:vAlign w:val="center"/>
            <w:textDirection w:val="lrTb"/>
            <w:noWrap w:val="false"/>
          </w:tcPr>
          <w:p>
            <w:pPr>
              <w:ind w:left="10" w:hanging="10"/>
              <w:widowControl/>
              <w:rPr>
                <w:sz w:val="20"/>
                <w:szCs w:val="20"/>
                <w:lang w:eastAsia="ru-RU"/>
              </w:rPr>
            </w:pPr>
            <w:r>
              <w:rPr>
                <w:sz w:val="20"/>
                <w:szCs w:val="20"/>
                <w:lang w:eastAsia="ru-RU"/>
              </w:rPr>
              <w:t xml:space="preserve">№ п/п</w:t>
            </w:r>
            <w:r>
              <w:rPr>
                <w:sz w:val="20"/>
                <w:szCs w:val="20"/>
                <w:lang w:eastAsia="ru-RU"/>
              </w:rPr>
            </w:r>
            <w:r>
              <w:rPr>
                <w:sz w:val="20"/>
                <w:szCs w:val="20"/>
                <w:lang w:eastAsia="ru-RU"/>
              </w:rPr>
            </w:r>
          </w:p>
        </w:tc>
        <w:tc>
          <w:tcPr>
            <w:shd w:val="clear" w:color="auto" w:fill="auto"/>
            <w:tcW w:w="2084" w:type="pct"/>
            <w:vAlign w:val="center"/>
            <w:textDirection w:val="lrTb"/>
            <w:noWrap w:val="false"/>
          </w:tcPr>
          <w:p>
            <w:pPr>
              <w:jc w:val="center"/>
              <w:widowControl/>
              <w:tabs>
                <w:tab w:val="left" w:pos="5222" w:leader="hyphen"/>
                <w:tab w:val="left" w:pos="5717" w:leader="underscore"/>
              </w:tabs>
              <w:rPr>
                <w:sz w:val="20"/>
                <w:szCs w:val="20"/>
                <w:lang w:eastAsia="ru-RU"/>
              </w:rPr>
            </w:pPr>
            <w:r>
              <w:rPr>
                <w:sz w:val="20"/>
                <w:szCs w:val="20"/>
                <w:lang w:eastAsia="ru-RU"/>
              </w:rPr>
              <w:t xml:space="preserve">Наименование показателя</w:t>
            </w:r>
            <w:r>
              <w:rPr>
                <w:sz w:val="20"/>
                <w:szCs w:val="20"/>
                <w:lang w:eastAsia="ru-RU"/>
              </w:rPr>
            </w:r>
            <w:r>
              <w:rPr>
                <w:sz w:val="20"/>
                <w:szCs w:val="20"/>
                <w:lang w:eastAsia="ru-RU"/>
              </w:rPr>
            </w:r>
          </w:p>
        </w:tc>
        <w:tc>
          <w:tcPr>
            <w:shd w:val="clear" w:color="auto" w:fill="auto"/>
            <w:tcW w:w="346" w:type="pct"/>
            <w:vAlign w:val="center"/>
            <w:textDirection w:val="lrTb"/>
            <w:noWrap w:val="false"/>
          </w:tcPr>
          <w:p>
            <w:pPr>
              <w:jc w:val="center"/>
              <w:widowControl/>
              <w:rPr>
                <w:sz w:val="20"/>
                <w:szCs w:val="20"/>
                <w:lang w:eastAsia="ru-RU"/>
              </w:rPr>
            </w:pPr>
            <w:r>
              <w:rPr>
                <w:sz w:val="20"/>
                <w:szCs w:val="20"/>
                <w:lang w:eastAsia="ru-RU"/>
              </w:rPr>
              <w:t xml:space="preserve">Единица измерения</w:t>
            </w:r>
            <w:r>
              <w:rPr>
                <w:sz w:val="20"/>
                <w:szCs w:val="20"/>
                <w:lang w:eastAsia="ru-RU"/>
              </w:rPr>
            </w:r>
            <w:r>
              <w:rPr>
                <w:sz w:val="20"/>
                <w:szCs w:val="20"/>
                <w:lang w:eastAsia="ru-RU"/>
              </w:rPr>
            </w:r>
          </w:p>
        </w:tc>
        <w:tc>
          <w:tcPr>
            <w:shd w:val="clear" w:color="auto" w:fill="auto"/>
            <w:tcW w:w="456" w:type="pct"/>
            <w:vAlign w:val="center"/>
            <w:textDirection w:val="lrTb"/>
            <w:noWrap w:val="false"/>
          </w:tcPr>
          <w:p>
            <w:pPr>
              <w:jc w:val="center"/>
              <w:widowControl/>
              <w:rPr>
                <w:sz w:val="20"/>
                <w:szCs w:val="20"/>
                <w:lang w:eastAsia="ru-RU"/>
              </w:rPr>
            </w:pPr>
            <w:r>
              <w:rPr>
                <w:color w:val="000000"/>
                <w:sz w:val="20"/>
                <w:szCs w:val="20"/>
              </w:rPr>
              <w:t xml:space="preserve">Котельная </w:t>
            </w:r>
            <w:r>
              <w:rPr>
                <w:rFonts w:ascii="Liberation Serif" w:hAnsi="Liberation Serif" w:cs="Calibri"/>
                <w:color w:val="000000"/>
                <w:sz w:val="20"/>
                <w:szCs w:val="20"/>
              </w:rPr>
              <w:t xml:space="preserve">п. Новый Мир, ЛПДС «Юргамыш»</w:t>
            </w:r>
            <w:r>
              <w:rPr>
                <w:sz w:val="20"/>
                <w:szCs w:val="20"/>
                <w:lang w:eastAsia="ru-RU"/>
              </w:rPr>
            </w:r>
            <w:r>
              <w:rPr>
                <w:sz w:val="20"/>
                <w:szCs w:val="20"/>
                <w:lang w:eastAsia="ru-RU"/>
              </w:rPr>
            </w:r>
          </w:p>
        </w:tc>
        <w:tc>
          <w:tcPr>
            <w:shd w:val="clear" w:color="auto" w:fill="auto"/>
            <w:tcW w:w="688" w:type="pct"/>
            <w:vAlign w:val="center"/>
            <w:textDirection w:val="lrTb"/>
            <w:noWrap w:val="false"/>
          </w:tcPr>
          <w:p>
            <w:pPr>
              <w:jc w:val="center"/>
              <w:widowControl/>
              <w:rPr>
                <w:sz w:val="20"/>
                <w:szCs w:val="20"/>
                <w:lang w:eastAsia="ru-RU"/>
              </w:rPr>
            </w:pPr>
            <w:r>
              <w:rPr>
                <w:color w:val="000000"/>
                <w:sz w:val="20"/>
                <w:szCs w:val="20"/>
              </w:rPr>
              <w:t xml:space="preserve">Котельная </w:t>
            </w:r>
            <w:r>
              <w:rPr>
                <w:rFonts w:ascii="Liberation Serif" w:hAnsi="Liberation Serif" w:cs="Calibri"/>
                <w:color w:val="000000"/>
                <w:sz w:val="20"/>
                <w:szCs w:val="20"/>
              </w:rPr>
              <w:t xml:space="preserve">р.п.  Юргамыш, ул. Железнодорожная, территория тягловой подстанции ОАО «РЖД»</w:t>
            </w:r>
            <w:r>
              <w:rPr>
                <w:sz w:val="20"/>
                <w:szCs w:val="20"/>
                <w:lang w:eastAsia="ru-RU"/>
              </w:rPr>
            </w:r>
            <w:r>
              <w:rPr>
                <w:sz w:val="20"/>
                <w:szCs w:val="20"/>
                <w:lang w:eastAsia="ru-RU"/>
              </w:rPr>
            </w:r>
          </w:p>
        </w:tc>
        <w:tc>
          <w:tcPr>
            <w:shd w:val="clear" w:color="auto" w:fill="auto"/>
            <w:tcW w:w="688" w:type="pct"/>
            <w:vAlign w:val="center"/>
            <w:textDirection w:val="lrTb"/>
            <w:noWrap w:val="false"/>
          </w:tcPr>
          <w:p>
            <w:pPr>
              <w:jc w:val="center"/>
              <w:widowControl/>
              <w:rPr>
                <w:sz w:val="20"/>
                <w:szCs w:val="20"/>
                <w:lang w:eastAsia="ru-RU"/>
              </w:rPr>
            </w:pPr>
            <w:r>
              <w:rPr>
                <w:sz w:val="20"/>
                <w:szCs w:val="20"/>
              </w:rPr>
              <w:t xml:space="preserve">Котельная ФКУ ИК №7 УФСИН России по Курганской области,</w:t>
            </w:r>
            <w:r>
              <w:rPr>
                <w:rFonts w:ascii="Liberation Serif" w:hAnsi="Liberation Serif" w:cs="Calibri"/>
                <w:color w:val="000000"/>
                <w:sz w:val="20"/>
                <w:szCs w:val="20"/>
              </w:rPr>
              <w:t xml:space="preserve"> Курганская область, р.п. Юргамыш, ул. Труда, 147</w:t>
            </w:r>
            <w:r>
              <w:rPr>
                <w:sz w:val="20"/>
                <w:szCs w:val="20"/>
                <w:lang w:eastAsia="ru-RU"/>
              </w:rPr>
            </w:r>
            <w:r>
              <w:rPr>
                <w:sz w:val="20"/>
                <w:szCs w:val="20"/>
                <w:lang w:eastAsia="ru-RU"/>
              </w:rPr>
            </w:r>
          </w:p>
        </w:tc>
        <w:tc>
          <w:tcPr>
            <w:shd w:val="clear" w:color="auto" w:fill="auto"/>
            <w:tcW w:w="505" w:type="pct"/>
            <w:vAlign w:val="center"/>
            <w:textDirection w:val="lrTb"/>
            <w:noWrap w:val="false"/>
          </w:tcPr>
          <w:p>
            <w:pPr>
              <w:jc w:val="center"/>
              <w:widowControl/>
              <w:rPr>
                <w:sz w:val="20"/>
                <w:szCs w:val="20"/>
                <w:lang w:eastAsia="ru-RU"/>
              </w:rPr>
            </w:pPr>
            <w:r>
              <w:rPr>
                <w:sz w:val="20"/>
                <w:szCs w:val="20"/>
              </w:rPr>
              <w:t xml:space="preserve">Котельная </w:t>
            </w:r>
            <w:r>
              <w:rPr>
                <w:rFonts w:ascii="Liberation Serif" w:hAnsi="Liberation Serif" w:cs="Calibri"/>
                <w:color w:val="000000"/>
                <w:sz w:val="20"/>
                <w:szCs w:val="20"/>
              </w:rPr>
              <w:t xml:space="preserve">р.п. Юргамыш, ул. Ленина, 47а</w:t>
            </w:r>
            <w:r>
              <w:rPr>
                <w:sz w:val="20"/>
                <w:szCs w:val="20"/>
                <w:lang w:eastAsia="ru-RU"/>
              </w:rPr>
            </w:r>
            <w:r>
              <w:rPr>
                <w:sz w:val="20"/>
                <w:szCs w:val="20"/>
                <w:lang w:eastAsia="ru-RU"/>
              </w:rPr>
            </w:r>
          </w:p>
        </w:tc>
      </w:tr>
      <w:tr>
        <w:tblPrEx/>
        <w:trPr/>
        <w:tc>
          <w:tcPr>
            <w:shd w:val="clear" w:color="auto" w:fill="auto"/>
            <w:tcW w:w="232" w:type="pct"/>
            <w:vAlign w:val="center"/>
            <w:textDirection w:val="lrTb"/>
            <w:noWrap w:val="false"/>
          </w:tcPr>
          <w:p>
            <w:pPr>
              <w:jc w:val="center"/>
              <w:widowControl/>
              <w:rPr>
                <w:sz w:val="20"/>
                <w:szCs w:val="20"/>
                <w:lang w:eastAsia="ru-RU"/>
              </w:rPr>
            </w:pPr>
            <w:r>
              <w:rPr>
                <w:sz w:val="20"/>
                <w:szCs w:val="20"/>
                <w:lang w:eastAsia="ru-RU"/>
              </w:rPr>
              <w:t xml:space="preserve">1</w:t>
            </w:r>
            <w:r>
              <w:rPr>
                <w:sz w:val="20"/>
                <w:szCs w:val="20"/>
                <w:lang w:eastAsia="ru-RU"/>
              </w:rPr>
            </w:r>
            <w:r>
              <w:rPr>
                <w:sz w:val="20"/>
                <w:szCs w:val="20"/>
                <w:lang w:eastAsia="ru-RU"/>
              </w:rPr>
            </w:r>
          </w:p>
        </w:tc>
        <w:tc>
          <w:tcPr>
            <w:shd w:val="clear" w:color="auto" w:fill="auto"/>
            <w:tcW w:w="2084" w:type="pct"/>
            <w:textDirection w:val="lrTb"/>
            <w:noWrap w:val="false"/>
          </w:tcPr>
          <w:p>
            <w:pPr>
              <w:ind w:firstLine="5"/>
              <w:widowControl/>
              <w:rPr>
                <w:sz w:val="20"/>
                <w:szCs w:val="20"/>
                <w:lang w:eastAsia="ru-RU"/>
              </w:rPr>
            </w:pPr>
            <w:r>
              <w:rPr>
                <w:sz w:val="20"/>
                <w:szCs w:val="20"/>
                <w:lang w:eastAsia="ru-RU"/>
              </w:rPr>
              <w:t xml:space="preserve">Количество прекращений подачи тепловой энергии, теплоносителя в результате технологических нарушений на тепловых сетях</w:t>
            </w:r>
            <w:r>
              <w:rPr>
                <w:sz w:val="20"/>
                <w:szCs w:val="20"/>
                <w:lang w:eastAsia="ru-RU"/>
              </w:rPr>
            </w:r>
            <w:r>
              <w:rPr>
                <w:sz w:val="20"/>
                <w:szCs w:val="20"/>
                <w:lang w:eastAsia="ru-RU"/>
              </w:rPr>
            </w:r>
          </w:p>
        </w:tc>
        <w:tc>
          <w:tcPr>
            <w:shd w:val="clear" w:color="auto" w:fill="auto"/>
            <w:tcW w:w="346" w:type="pct"/>
            <w:vAlign w:val="center"/>
            <w:textDirection w:val="lrTb"/>
            <w:noWrap w:val="false"/>
          </w:tcPr>
          <w:p>
            <w:pPr>
              <w:jc w:val="center"/>
              <w:widowControl/>
              <w:rPr>
                <w:sz w:val="20"/>
                <w:szCs w:val="20"/>
                <w:lang w:eastAsia="ru-RU"/>
              </w:rPr>
            </w:pPr>
            <w:r>
              <w:rPr>
                <w:sz w:val="20"/>
                <w:szCs w:val="20"/>
                <w:lang w:eastAsia="ru-RU"/>
              </w:rPr>
              <w:t xml:space="preserve">Ед.</w:t>
            </w:r>
            <w:r>
              <w:rPr>
                <w:sz w:val="20"/>
                <w:szCs w:val="20"/>
                <w:lang w:eastAsia="ru-RU"/>
              </w:rPr>
            </w:r>
            <w:r>
              <w:rPr>
                <w:sz w:val="20"/>
                <w:szCs w:val="20"/>
                <w:lang w:eastAsia="ru-RU"/>
              </w:rPr>
            </w:r>
          </w:p>
        </w:tc>
        <w:tc>
          <w:tcPr>
            <w:shd w:val="clear" w:color="auto" w:fill="auto"/>
            <w:tcW w:w="456" w:type="pct"/>
            <w:vAlign w:val="center"/>
            <w:textDirection w:val="lrTb"/>
            <w:noWrap w:val="false"/>
          </w:tcPr>
          <w:p>
            <w:pPr>
              <w:jc w:val="center"/>
              <w:widowControl/>
              <w:rPr>
                <w:sz w:val="20"/>
                <w:szCs w:val="20"/>
                <w:lang w:eastAsia="ru-RU"/>
              </w:rPr>
            </w:pPr>
            <w:r>
              <w:rPr>
                <w:sz w:val="20"/>
                <w:szCs w:val="20"/>
                <w:lang w:eastAsia="ru-RU"/>
              </w:rPr>
              <w:t xml:space="preserve">0</w:t>
            </w:r>
            <w:r>
              <w:rPr>
                <w:sz w:val="20"/>
                <w:szCs w:val="20"/>
                <w:lang w:eastAsia="ru-RU"/>
              </w:rPr>
            </w:r>
            <w:r>
              <w:rPr>
                <w:sz w:val="20"/>
                <w:szCs w:val="20"/>
                <w:lang w:eastAsia="ru-RU"/>
              </w:rPr>
            </w:r>
          </w:p>
        </w:tc>
        <w:tc>
          <w:tcPr>
            <w:shd w:val="clear" w:color="auto" w:fill="auto"/>
            <w:tcW w:w="688" w:type="pct"/>
            <w:vAlign w:val="center"/>
            <w:textDirection w:val="lrTb"/>
            <w:noWrap w:val="false"/>
          </w:tcPr>
          <w:p>
            <w:pPr>
              <w:jc w:val="center"/>
              <w:widowControl/>
              <w:rPr>
                <w:sz w:val="20"/>
                <w:szCs w:val="20"/>
                <w:lang w:eastAsia="ru-RU"/>
              </w:rPr>
            </w:pPr>
            <w:r>
              <w:rPr>
                <w:sz w:val="20"/>
                <w:szCs w:val="20"/>
                <w:lang w:eastAsia="ru-RU"/>
              </w:rPr>
              <w:t xml:space="preserve">0</w:t>
            </w:r>
            <w:r>
              <w:rPr>
                <w:sz w:val="20"/>
                <w:szCs w:val="20"/>
                <w:lang w:eastAsia="ru-RU"/>
              </w:rPr>
            </w:r>
            <w:r>
              <w:rPr>
                <w:sz w:val="20"/>
                <w:szCs w:val="20"/>
                <w:lang w:eastAsia="ru-RU"/>
              </w:rPr>
            </w:r>
          </w:p>
        </w:tc>
        <w:tc>
          <w:tcPr>
            <w:shd w:val="clear" w:color="auto" w:fill="auto"/>
            <w:tcW w:w="688" w:type="pct"/>
            <w:vAlign w:val="center"/>
            <w:textDirection w:val="lrTb"/>
            <w:noWrap w:val="false"/>
          </w:tcPr>
          <w:p>
            <w:pPr>
              <w:jc w:val="center"/>
              <w:widowControl/>
              <w:rPr>
                <w:sz w:val="20"/>
                <w:szCs w:val="20"/>
                <w:lang w:eastAsia="ru-RU"/>
              </w:rPr>
            </w:pPr>
            <w:r>
              <w:rPr>
                <w:sz w:val="20"/>
                <w:szCs w:val="20"/>
                <w:lang w:eastAsia="ru-RU"/>
              </w:rPr>
              <w:t xml:space="preserve">0</w:t>
            </w:r>
            <w:r>
              <w:rPr>
                <w:sz w:val="20"/>
                <w:szCs w:val="20"/>
                <w:lang w:eastAsia="ru-RU"/>
              </w:rPr>
            </w:r>
            <w:r>
              <w:rPr>
                <w:sz w:val="20"/>
                <w:szCs w:val="20"/>
                <w:lang w:eastAsia="ru-RU"/>
              </w:rPr>
            </w:r>
          </w:p>
        </w:tc>
        <w:tc>
          <w:tcPr>
            <w:shd w:val="clear" w:color="auto" w:fill="auto"/>
            <w:tcW w:w="505" w:type="pct"/>
            <w:vAlign w:val="center"/>
            <w:textDirection w:val="lrTb"/>
            <w:noWrap w:val="false"/>
          </w:tcPr>
          <w:p>
            <w:pPr>
              <w:jc w:val="center"/>
              <w:widowControl/>
              <w:rPr>
                <w:sz w:val="20"/>
                <w:szCs w:val="20"/>
                <w:lang w:eastAsia="ru-RU"/>
              </w:rPr>
            </w:pPr>
            <w:r>
              <w:rPr>
                <w:sz w:val="20"/>
                <w:szCs w:val="20"/>
                <w:lang w:eastAsia="ru-RU"/>
              </w:rPr>
              <w:t xml:space="preserve">0</w:t>
            </w:r>
            <w:r>
              <w:rPr>
                <w:sz w:val="20"/>
                <w:szCs w:val="20"/>
                <w:lang w:eastAsia="ru-RU"/>
              </w:rPr>
            </w:r>
            <w:r>
              <w:rPr>
                <w:sz w:val="20"/>
                <w:szCs w:val="20"/>
                <w:lang w:eastAsia="ru-RU"/>
              </w:rPr>
            </w:r>
          </w:p>
        </w:tc>
      </w:tr>
      <w:tr>
        <w:tblPrEx/>
        <w:trPr>
          <w:trHeight w:val="705"/>
        </w:trPr>
        <w:tc>
          <w:tcPr>
            <w:shd w:val="clear" w:color="auto" w:fill="auto"/>
            <w:tcW w:w="232" w:type="pct"/>
            <w:vAlign w:val="center"/>
            <w:textDirection w:val="lrTb"/>
            <w:noWrap w:val="false"/>
          </w:tcPr>
          <w:p>
            <w:pPr>
              <w:jc w:val="center"/>
              <w:widowControl/>
              <w:rPr>
                <w:sz w:val="20"/>
                <w:szCs w:val="20"/>
                <w:lang w:eastAsia="ru-RU"/>
              </w:rPr>
            </w:pPr>
            <w:r>
              <w:rPr>
                <w:sz w:val="20"/>
                <w:szCs w:val="20"/>
                <w:lang w:eastAsia="ru-RU"/>
              </w:rPr>
              <w:t xml:space="preserve">2</w:t>
            </w:r>
            <w:r>
              <w:rPr>
                <w:sz w:val="20"/>
                <w:szCs w:val="20"/>
                <w:lang w:eastAsia="ru-RU"/>
              </w:rPr>
            </w:r>
            <w:r>
              <w:rPr>
                <w:sz w:val="20"/>
                <w:szCs w:val="20"/>
                <w:lang w:eastAsia="ru-RU"/>
              </w:rPr>
            </w:r>
          </w:p>
        </w:tc>
        <w:tc>
          <w:tcPr>
            <w:shd w:val="clear" w:color="auto" w:fill="auto"/>
            <w:tcW w:w="2084" w:type="pct"/>
            <w:textDirection w:val="lrTb"/>
            <w:noWrap w:val="false"/>
          </w:tcPr>
          <w:p>
            <w:pPr>
              <w:widowControl/>
              <w:rPr>
                <w:sz w:val="20"/>
                <w:szCs w:val="20"/>
                <w:lang w:eastAsia="ru-RU"/>
              </w:rPr>
            </w:pPr>
            <w:r>
              <w:rPr>
                <w:sz w:val="20"/>
                <w:szCs w:val="20"/>
                <w:lang w:eastAsia="ru-RU"/>
              </w:rPr>
              <w:t xml:space="preserve">Количество прекращений подачи тепловой энергии, </w:t>
            </w:r>
            <w:r>
              <w:rPr>
                <w:sz w:val="20"/>
                <w:szCs w:val="20"/>
                <w:lang w:eastAsia="ru-RU"/>
              </w:rPr>
            </w:r>
            <w:r>
              <w:rPr>
                <w:sz w:val="20"/>
                <w:szCs w:val="20"/>
                <w:lang w:eastAsia="ru-RU"/>
              </w:rPr>
            </w:r>
          </w:p>
          <w:p>
            <w:pPr>
              <w:widowControl/>
              <w:rPr>
                <w:sz w:val="20"/>
                <w:szCs w:val="20"/>
                <w:lang w:eastAsia="ru-RU"/>
              </w:rPr>
            </w:pPr>
            <w:r>
              <w:rPr>
                <w:sz w:val="20"/>
                <w:szCs w:val="20"/>
                <w:lang w:eastAsia="ru-RU"/>
              </w:rPr>
              <w:t xml:space="preserve">теплоносителя в результате технологических нарушений на </w:t>
            </w:r>
            <w:r>
              <w:rPr>
                <w:sz w:val="20"/>
                <w:szCs w:val="20"/>
                <w:lang w:eastAsia="ru-RU"/>
              </w:rPr>
            </w:r>
            <w:r>
              <w:rPr>
                <w:sz w:val="20"/>
                <w:szCs w:val="20"/>
                <w:lang w:eastAsia="ru-RU"/>
              </w:rPr>
            </w:r>
          </w:p>
          <w:p>
            <w:pPr>
              <w:widowControl/>
              <w:rPr>
                <w:sz w:val="20"/>
                <w:szCs w:val="20"/>
                <w:lang w:eastAsia="ru-RU"/>
              </w:rPr>
            </w:pPr>
            <w:r>
              <w:rPr>
                <w:sz w:val="20"/>
                <w:szCs w:val="20"/>
                <w:lang w:eastAsia="ru-RU"/>
              </w:rPr>
              <w:t xml:space="preserve">источниках тепловой энергии</w:t>
            </w:r>
            <w:r>
              <w:rPr>
                <w:sz w:val="20"/>
                <w:szCs w:val="20"/>
                <w:lang w:eastAsia="ru-RU"/>
              </w:rPr>
            </w:r>
            <w:r>
              <w:rPr>
                <w:sz w:val="20"/>
                <w:szCs w:val="20"/>
                <w:lang w:eastAsia="ru-RU"/>
              </w:rPr>
            </w:r>
          </w:p>
        </w:tc>
        <w:tc>
          <w:tcPr>
            <w:shd w:val="clear" w:color="auto" w:fill="auto"/>
            <w:tcW w:w="346" w:type="pct"/>
            <w:vAlign w:val="center"/>
            <w:textDirection w:val="lrTb"/>
            <w:noWrap w:val="false"/>
          </w:tcPr>
          <w:p>
            <w:pPr>
              <w:jc w:val="center"/>
              <w:rPr>
                <w:sz w:val="20"/>
                <w:szCs w:val="20"/>
                <w:lang w:eastAsia="ru-RU"/>
              </w:rPr>
            </w:pPr>
            <w:r>
              <w:rPr>
                <w:sz w:val="20"/>
                <w:szCs w:val="20"/>
                <w:lang w:eastAsia="ru-RU"/>
              </w:rPr>
              <w:t xml:space="preserve">Ед.</w:t>
            </w:r>
            <w:r>
              <w:rPr>
                <w:sz w:val="20"/>
                <w:szCs w:val="20"/>
                <w:lang w:eastAsia="ru-RU"/>
              </w:rPr>
            </w:r>
            <w:r>
              <w:rPr>
                <w:sz w:val="20"/>
                <w:szCs w:val="20"/>
                <w:lang w:eastAsia="ru-RU"/>
              </w:rPr>
            </w:r>
          </w:p>
        </w:tc>
        <w:tc>
          <w:tcPr>
            <w:shd w:val="clear" w:color="auto" w:fill="auto"/>
            <w:tcW w:w="456" w:type="pct"/>
            <w:vAlign w:val="center"/>
            <w:textDirection w:val="lrTb"/>
            <w:noWrap w:val="false"/>
          </w:tcPr>
          <w:p>
            <w:pPr>
              <w:jc w:val="center"/>
              <w:rPr>
                <w:sz w:val="20"/>
                <w:szCs w:val="20"/>
                <w:lang w:eastAsia="ru-RU"/>
              </w:rPr>
            </w:pPr>
            <w:r>
              <w:rPr>
                <w:sz w:val="20"/>
                <w:szCs w:val="20"/>
                <w:lang w:eastAsia="ru-RU"/>
              </w:rPr>
              <w:t xml:space="preserve">0</w:t>
            </w:r>
            <w:r>
              <w:rPr>
                <w:sz w:val="20"/>
                <w:szCs w:val="20"/>
                <w:lang w:eastAsia="ru-RU"/>
              </w:rPr>
            </w:r>
            <w:r>
              <w:rPr>
                <w:sz w:val="20"/>
                <w:szCs w:val="20"/>
                <w:lang w:eastAsia="ru-RU"/>
              </w:rPr>
            </w:r>
          </w:p>
        </w:tc>
        <w:tc>
          <w:tcPr>
            <w:shd w:val="clear" w:color="auto" w:fill="auto"/>
            <w:tcW w:w="688" w:type="pct"/>
            <w:vAlign w:val="center"/>
            <w:textDirection w:val="lrTb"/>
            <w:noWrap w:val="false"/>
          </w:tcPr>
          <w:p>
            <w:pPr>
              <w:jc w:val="center"/>
              <w:rPr>
                <w:sz w:val="20"/>
                <w:szCs w:val="20"/>
                <w:lang w:eastAsia="ru-RU"/>
              </w:rPr>
            </w:pPr>
            <w:r>
              <w:rPr>
                <w:sz w:val="20"/>
                <w:szCs w:val="20"/>
                <w:lang w:eastAsia="ru-RU"/>
              </w:rPr>
              <w:t xml:space="preserve">0</w:t>
            </w:r>
            <w:r>
              <w:rPr>
                <w:sz w:val="20"/>
                <w:szCs w:val="20"/>
                <w:lang w:eastAsia="ru-RU"/>
              </w:rPr>
            </w:r>
            <w:r>
              <w:rPr>
                <w:sz w:val="20"/>
                <w:szCs w:val="20"/>
                <w:lang w:eastAsia="ru-RU"/>
              </w:rPr>
            </w:r>
          </w:p>
        </w:tc>
        <w:tc>
          <w:tcPr>
            <w:shd w:val="clear" w:color="auto" w:fill="auto"/>
            <w:tcW w:w="688" w:type="pct"/>
            <w:vAlign w:val="center"/>
            <w:textDirection w:val="lrTb"/>
            <w:noWrap w:val="false"/>
          </w:tcPr>
          <w:p>
            <w:pPr>
              <w:jc w:val="center"/>
              <w:rPr>
                <w:sz w:val="20"/>
                <w:szCs w:val="20"/>
                <w:lang w:eastAsia="ru-RU"/>
              </w:rPr>
            </w:pPr>
            <w:r>
              <w:rPr>
                <w:sz w:val="20"/>
                <w:szCs w:val="20"/>
                <w:lang w:eastAsia="ru-RU"/>
              </w:rPr>
              <w:t xml:space="preserve">0</w:t>
            </w:r>
            <w:r>
              <w:rPr>
                <w:sz w:val="20"/>
                <w:szCs w:val="20"/>
                <w:lang w:eastAsia="ru-RU"/>
              </w:rPr>
            </w:r>
            <w:r>
              <w:rPr>
                <w:sz w:val="20"/>
                <w:szCs w:val="20"/>
                <w:lang w:eastAsia="ru-RU"/>
              </w:rPr>
            </w:r>
          </w:p>
        </w:tc>
        <w:tc>
          <w:tcPr>
            <w:shd w:val="clear" w:color="auto" w:fill="auto"/>
            <w:tcW w:w="505" w:type="pct"/>
            <w:vAlign w:val="center"/>
            <w:textDirection w:val="lrTb"/>
            <w:noWrap w:val="false"/>
          </w:tcPr>
          <w:p>
            <w:pPr>
              <w:jc w:val="center"/>
              <w:rPr>
                <w:sz w:val="20"/>
                <w:szCs w:val="20"/>
                <w:lang w:eastAsia="ru-RU"/>
              </w:rPr>
            </w:pPr>
            <w:r>
              <w:rPr>
                <w:sz w:val="20"/>
                <w:szCs w:val="20"/>
                <w:lang w:eastAsia="ru-RU"/>
              </w:rPr>
              <w:t xml:space="preserve">0</w:t>
            </w:r>
            <w:r>
              <w:rPr>
                <w:sz w:val="20"/>
                <w:szCs w:val="20"/>
                <w:lang w:eastAsia="ru-RU"/>
              </w:rPr>
            </w:r>
            <w:r>
              <w:rPr>
                <w:sz w:val="20"/>
                <w:szCs w:val="20"/>
                <w:lang w:eastAsia="ru-RU"/>
              </w:rPr>
            </w:r>
          </w:p>
        </w:tc>
      </w:tr>
      <w:tr>
        <w:tblPrEx/>
        <w:trPr/>
        <w:tc>
          <w:tcPr>
            <w:shd w:val="clear" w:color="auto" w:fill="auto"/>
            <w:tcW w:w="232" w:type="pct"/>
            <w:vAlign w:val="center"/>
            <w:textDirection w:val="lrTb"/>
            <w:noWrap w:val="false"/>
          </w:tcPr>
          <w:p>
            <w:pPr>
              <w:jc w:val="center"/>
              <w:widowControl/>
              <w:rPr>
                <w:sz w:val="20"/>
                <w:szCs w:val="20"/>
                <w:lang w:eastAsia="ru-RU"/>
              </w:rPr>
            </w:pPr>
            <w:r>
              <w:rPr>
                <w:sz w:val="20"/>
                <w:szCs w:val="20"/>
                <w:lang w:eastAsia="ru-RU"/>
              </w:rPr>
              <w:t xml:space="preserve">3</w:t>
            </w:r>
            <w:r>
              <w:rPr>
                <w:sz w:val="20"/>
                <w:szCs w:val="20"/>
                <w:lang w:eastAsia="ru-RU"/>
              </w:rPr>
            </w:r>
            <w:r>
              <w:rPr>
                <w:sz w:val="20"/>
                <w:szCs w:val="20"/>
                <w:lang w:eastAsia="ru-RU"/>
              </w:rPr>
            </w:r>
          </w:p>
        </w:tc>
        <w:tc>
          <w:tcPr>
            <w:shd w:val="clear" w:color="auto" w:fill="auto"/>
            <w:tcW w:w="2084" w:type="pct"/>
            <w:textDirection w:val="lrTb"/>
            <w:noWrap w:val="false"/>
          </w:tcPr>
          <w:p>
            <w:pPr>
              <w:widowControl/>
              <w:rPr>
                <w:sz w:val="20"/>
                <w:szCs w:val="20"/>
                <w:lang w:eastAsia="ru-RU"/>
              </w:rPr>
            </w:pPr>
            <w:r>
              <w:rPr>
                <w:sz w:val="20"/>
                <w:szCs w:val="20"/>
                <w:lang w:eastAsia="ru-RU"/>
              </w:rPr>
              <w:t xml:space="preserve">Удельный расход условного топлива на единицу тепловой энергии, отпускаемой с коллекторов источников тепловой энергии</w:t>
            </w:r>
            <w:r>
              <w:rPr>
                <w:sz w:val="20"/>
                <w:szCs w:val="20"/>
                <w:lang w:eastAsia="ru-RU"/>
              </w:rPr>
            </w:r>
            <w:r>
              <w:rPr>
                <w:sz w:val="20"/>
                <w:szCs w:val="20"/>
                <w:lang w:eastAsia="ru-RU"/>
              </w:rPr>
            </w:r>
          </w:p>
        </w:tc>
        <w:tc>
          <w:tcPr>
            <w:shd w:val="clear" w:color="auto" w:fill="auto"/>
            <w:tcW w:w="346" w:type="pct"/>
            <w:vAlign w:val="center"/>
            <w:textDirection w:val="lrTb"/>
            <w:noWrap w:val="false"/>
          </w:tcPr>
          <w:p>
            <w:pPr>
              <w:jc w:val="center"/>
              <w:widowControl/>
              <w:rPr>
                <w:sz w:val="20"/>
                <w:szCs w:val="20"/>
                <w:lang w:eastAsia="ru-RU"/>
              </w:rPr>
            </w:pPr>
            <w:r>
              <w:rPr>
                <w:sz w:val="20"/>
                <w:szCs w:val="20"/>
                <w:lang w:eastAsia="ru-RU"/>
              </w:rPr>
              <w:t xml:space="preserve">тут/Гкал</w:t>
            </w:r>
            <w:r>
              <w:rPr>
                <w:sz w:val="20"/>
                <w:szCs w:val="20"/>
                <w:lang w:eastAsia="ru-RU"/>
              </w:rPr>
            </w:r>
            <w:r>
              <w:rPr>
                <w:sz w:val="20"/>
                <w:szCs w:val="20"/>
                <w:lang w:eastAsia="ru-RU"/>
              </w:rPr>
            </w:r>
          </w:p>
        </w:tc>
        <w:tc>
          <w:tcPr>
            <w:shd w:val="clear" w:color="auto" w:fill="auto"/>
            <w:tcW w:w="456" w:type="pct"/>
            <w:vAlign w:val="center"/>
            <w:textDirection w:val="lrTb"/>
            <w:noWrap w:val="false"/>
          </w:tcPr>
          <w:p>
            <w:pPr>
              <w:jc w:val="center"/>
              <w:widowControl/>
              <w:rPr>
                <w:sz w:val="20"/>
                <w:szCs w:val="20"/>
                <w:lang w:eastAsia="ru-RU"/>
              </w:rPr>
            </w:pPr>
            <w:r>
              <w:rPr>
                <w:sz w:val="20"/>
                <w:szCs w:val="20"/>
                <w:lang w:eastAsia="ru-RU"/>
              </w:rPr>
              <w:t xml:space="preserve">0,210</w:t>
            </w:r>
            <w:r>
              <w:rPr>
                <w:sz w:val="20"/>
                <w:szCs w:val="20"/>
                <w:lang w:eastAsia="ru-RU"/>
              </w:rPr>
            </w:r>
            <w:r>
              <w:rPr>
                <w:sz w:val="20"/>
                <w:szCs w:val="20"/>
                <w:lang w:eastAsia="ru-RU"/>
              </w:rPr>
            </w:r>
          </w:p>
        </w:tc>
        <w:tc>
          <w:tcPr>
            <w:shd w:val="clear" w:color="auto" w:fill="auto"/>
            <w:tcW w:w="688" w:type="pct"/>
            <w:vAlign w:val="center"/>
            <w:textDirection w:val="lrTb"/>
            <w:noWrap w:val="false"/>
          </w:tcPr>
          <w:p>
            <w:pPr>
              <w:jc w:val="center"/>
              <w:widowControl/>
              <w:rPr>
                <w:sz w:val="20"/>
                <w:szCs w:val="20"/>
                <w:lang w:eastAsia="ru-RU"/>
              </w:rPr>
            </w:pPr>
            <w:r>
              <w:rPr>
                <w:sz w:val="20"/>
                <w:szCs w:val="20"/>
                <w:lang w:eastAsia="ru-RU"/>
              </w:rPr>
              <w:t xml:space="preserve">0,229</w:t>
            </w:r>
            <w:r>
              <w:rPr>
                <w:sz w:val="20"/>
                <w:szCs w:val="20"/>
                <w:lang w:eastAsia="ru-RU"/>
              </w:rPr>
            </w:r>
            <w:r>
              <w:rPr>
                <w:sz w:val="20"/>
                <w:szCs w:val="20"/>
                <w:lang w:eastAsia="ru-RU"/>
              </w:rPr>
            </w:r>
          </w:p>
        </w:tc>
        <w:tc>
          <w:tcPr>
            <w:shd w:val="clear" w:color="auto" w:fill="auto"/>
            <w:tcW w:w="688" w:type="pct"/>
            <w:vAlign w:val="center"/>
            <w:textDirection w:val="lrTb"/>
            <w:noWrap w:val="false"/>
          </w:tcPr>
          <w:p>
            <w:pPr>
              <w:jc w:val="center"/>
              <w:widowControl/>
              <w:rPr>
                <w:sz w:val="20"/>
                <w:szCs w:val="20"/>
                <w:lang w:eastAsia="ru-RU"/>
              </w:rPr>
            </w:pPr>
            <w:r>
              <w:rPr>
                <w:sz w:val="20"/>
                <w:szCs w:val="20"/>
                <w:lang w:eastAsia="ru-RU"/>
              </w:rPr>
              <w:t xml:space="preserve">н/д</w:t>
            </w:r>
            <w:r>
              <w:rPr>
                <w:sz w:val="20"/>
                <w:szCs w:val="20"/>
                <w:lang w:eastAsia="ru-RU"/>
              </w:rPr>
            </w:r>
            <w:r>
              <w:rPr>
                <w:sz w:val="20"/>
                <w:szCs w:val="20"/>
                <w:lang w:eastAsia="ru-RU"/>
              </w:rPr>
            </w:r>
          </w:p>
        </w:tc>
        <w:tc>
          <w:tcPr>
            <w:shd w:val="clear" w:color="auto" w:fill="auto"/>
            <w:tcW w:w="505" w:type="pct"/>
            <w:vAlign w:val="center"/>
            <w:textDirection w:val="lrTb"/>
            <w:noWrap w:val="false"/>
          </w:tcPr>
          <w:p>
            <w:pPr>
              <w:jc w:val="center"/>
              <w:widowControl/>
              <w:rPr>
                <w:sz w:val="20"/>
                <w:szCs w:val="20"/>
                <w:lang w:eastAsia="ru-RU"/>
              </w:rPr>
            </w:pPr>
            <w:r>
              <w:rPr>
                <w:sz w:val="20"/>
                <w:szCs w:val="20"/>
                <w:lang w:eastAsia="ru-RU"/>
              </w:rPr>
              <w:t xml:space="preserve">0,169</w:t>
            </w:r>
            <w:r>
              <w:rPr>
                <w:sz w:val="20"/>
                <w:szCs w:val="20"/>
                <w:lang w:eastAsia="ru-RU"/>
              </w:rPr>
            </w:r>
            <w:r>
              <w:rPr>
                <w:sz w:val="20"/>
                <w:szCs w:val="20"/>
                <w:lang w:eastAsia="ru-RU"/>
              </w:rPr>
            </w:r>
          </w:p>
        </w:tc>
      </w:tr>
      <w:tr>
        <w:tblPrEx/>
        <w:trPr/>
        <w:tc>
          <w:tcPr>
            <w:shd w:val="clear" w:color="auto" w:fill="auto"/>
            <w:tcW w:w="232" w:type="pct"/>
            <w:vAlign w:val="center"/>
            <w:textDirection w:val="lrTb"/>
            <w:noWrap w:val="false"/>
          </w:tcPr>
          <w:p>
            <w:pPr>
              <w:jc w:val="center"/>
              <w:widowControl/>
              <w:rPr>
                <w:sz w:val="20"/>
                <w:szCs w:val="20"/>
                <w:lang w:eastAsia="ru-RU"/>
              </w:rPr>
            </w:pPr>
            <w:r>
              <w:rPr>
                <w:sz w:val="20"/>
                <w:szCs w:val="20"/>
                <w:lang w:eastAsia="ru-RU"/>
              </w:rPr>
              <w:t xml:space="preserve">4</w:t>
            </w:r>
            <w:r>
              <w:rPr>
                <w:sz w:val="20"/>
                <w:szCs w:val="20"/>
                <w:lang w:eastAsia="ru-RU"/>
              </w:rPr>
            </w:r>
            <w:r>
              <w:rPr>
                <w:sz w:val="20"/>
                <w:szCs w:val="20"/>
                <w:lang w:eastAsia="ru-RU"/>
              </w:rPr>
            </w:r>
          </w:p>
        </w:tc>
        <w:tc>
          <w:tcPr>
            <w:shd w:val="clear" w:color="auto" w:fill="auto"/>
            <w:tcW w:w="2084" w:type="pct"/>
            <w:textDirection w:val="lrTb"/>
            <w:noWrap w:val="false"/>
          </w:tcPr>
          <w:p>
            <w:pPr>
              <w:ind w:firstLine="5"/>
              <w:widowControl/>
              <w:rPr>
                <w:sz w:val="20"/>
                <w:szCs w:val="20"/>
                <w:lang w:eastAsia="ru-RU"/>
              </w:rPr>
            </w:pPr>
            <w:r>
              <w:rPr>
                <w:sz w:val="20"/>
                <w:szCs w:val="20"/>
                <w:lang w:eastAsia="ru-RU"/>
              </w:rPr>
              <w:t xml:space="preserve">Отношение величины технологических потерь тепловой энергии, теплоносителя к материальной характеристике тепловой сети</w:t>
            </w:r>
            <w:r>
              <w:rPr>
                <w:sz w:val="20"/>
                <w:szCs w:val="20"/>
                <w:lang w:eastAsia="ru-RU"/>
              </w:rPr>
            </w:r>
            <w:r>
              <w:rPr>
                <w:sz w:val="20"/>
                <w:szCs w:val="20"/>
                <w:lang w:eastAsia="ru-RU"/>
              </w:rPr>
            </w:r>
          </w:p>
        </w:tc>
        <w:tc>
          <w:tcPr>
            <w:shd w:val="clear" w:color="auto" w:fill="auto"/>
            <w:tcW w:w="346" w:type="pct"/>
            <w:vAlign w:val="center"/>
            <w:textDirection w:val="lrTb"/>
            <w:noWrap w:val="false"/>
          </w:tcPr>
          <w:p>
            <w:pPr>
              <w:jc w:val="center"/>
              <w:widowControl/>
              <w:rPr>
                <w:sz w:val="20"/>
                <w:szCs w:val="20"/>
                <w:lang w:eastAsia="ru-RU"/>
              </w:rPr>
            </w:pPr>
            <w:r>
              <w:rPr>
                <w:sz w:val="20"/>
                <w:szCs w:val="20"/>
                <w:lang w:eastAsia="ru-RU"/>
              </w:rPr>
              <w:t xml:space="preserve">Гкал/м</w:t>
            </w:r>
            <w:r>
              <w:rPr>
                <w:sz w:val="20"/>
                <w:szCs w:val="20"/>
                <w:vertAlign w:val="superscript"/>
                <w:lang w:eastAsia="ru-RU"/>
              </w:rPr>
              <w:t xml:space="preserve">2</w:t>
            </w:r>
            <w:r>
              <w:rPr>
                <w:sz w:val="20"/>
                <w:szCs w:val="20"/>
                <w:lang w:eastAsia="ru-RU"/>
              </w:rPr>
            </w:r>
            <w:r>
              <w:rPr>
                <w:sz w:val="20"/>
                <w:szCs w:val="20"/>
                <w:lang w:eastAsia="ru-RU"/>
              </w:rPr>
            </w:r>
          </w:p>
        </w:tc>
        <w:tc>
          <w:tcPr>
            <w:shd w:val="clear" w:color="auto" w:fill="auto"/>
            <w:tcW w:w="456" w:type="pct"/>
            <w:vAlign w:val="center"/>
            <w:textDirection w:val="lrTb"/>
            <w:noWrap w:val="false"/>
          </w:tcPr>
          <w:p>
            <w:pPr>
              <w:jc w:val="center"/>
              <w:rPr>
                <w:sz w:val="20"/>
                <w:szCs w:val="20"/>
                <w:lang w:eastAsia="ru-RU"/>
              </w:rPr>
            </w:pPr>
            <w:r>
              <w:rPr>
                <w:sz w:val="20"/>
                <w:szCs w:val="20"/>
                <w:lang w:eastAsia="ru-RU"/>
              </w:rPr>
              <w:t xml:space="preserve">6,578</w:t>
            </w:r>
            <w:r>
              <w:rPr>
                <w:sz w:val="20"/>
                <w:szCs w:val="20"/>
                <w:lang w:eastAsia="ru-RU"/>
              </w:rPr>
            </w:r>
            <w:r>
              <w:rPr>
                <w:sz w:val="20"/>
                <w:szCs w:val="20"/>
                <w:lang w:eastAsia="ru-RU"/>
              </w:rPr>
            </w:r>
          </w:p>
        </w:tc>
        <w:tc>
          <w:tcPr>
            <w:shd w:val="clear" w:color="auto" w:fill="auto"/>
            <w:tcW w:w="688" w:type="pct"/>
            <w:vAlign w:val="center"/>
            <w:textDirection w:val="lrTb"/>
            <w:noWrap w:val="false"/>
          </w:tcPr>
          <w:p>
            <w:pPr>
              <w:jc w:val="center"/>
              <w:rPr>
                <w:sz w:val="20"/>
                <w:szCs w:val="20"/>
                <w:lang w:eastAsia="ru-RU"/>
              </w:rPr>
            </w:pPr>
            <w:r>
              <w:rPr>
                <w:sz w:val="20"/>
                <w:szCs w:val="20"/>
                <w:lang w:eastAsia="ru-RU"/>
              </w:rPr>
              <w:t xml:space="preserve">0,193</w:t>
            </w:r>
            <w:r>
              <w:rPr>
                <w:sz w:val="20"/>
                <w:szCs w:val="20"/>
                <w:lang w:eastAsia="ru-RU"/>
              </w:rPr>
            </w:r>
            <w:r>
              <w:rPr>
                <w:sz w:val="20"/>
                <w:szCs w:val="20"/>
                <w:lang w:eastAsia="ru-RU"/>
              </w:rPr>
            </w:r>
          </w:p>
        </w:tc>
        <w:tc>
          <w:tcPr>
            <w:shd w:val="clear" w:color="auto" w:fill="auto"/>
            <w:tcW w:w="688" w:type="pct"/>
            <w:vAlign w:val="center"/>
            <w:textDirection w:val="lrTb"/>
            <w:noWrap w:val="false"/>
          </w:tcPr>
          <w:p>
            <w:pPr>
              <w:jc w:val="center"/>
              <w:rPr>
                <w:sz w:val="20"/>
                <w:szCs w:val="20"/>
                <w:lang w:eastAsia="ru-RU"/>
              </w:rPr>
            </w:pPr>
            <w:r>
              <w:rPr>
                <w:sz w:val="20"/>
                <w:szCs w:val="20"/>
                <w:lang w:eastAsia="ru-RU"/>
              </w:rPr>
              <w:t xml:space="preserve">н/д</w:t>
            </w:r>
            <w:r>
              <w:rPr>
                <w:sz w:val="20"/>
                <w:szCs w:val="20"/>
                <w:lang w:eastAsia="ru-RU"/>
              </w:rPr>
            </w:r>
            <w:r>
              <w:rPr>
                <w:sz w:val="20"/>
                <w:szCs w:val="20"/>
                <w:lang w:eastAsia="ru-RU"/>
              </w:rPr>
            </w:r>
          </w:p>
        </w:tc>
        <w:tc>
          <w:tcPr>
            <w:shd w:val="clear" w:color="auto" w:fill="auto"/>
            <w:tcW w:w="505" w:type="pct"/>
            <w:vAlign w:val="center"/>
            <w:textDirection w:val="lrTb"/>
            <w:noWrap w:val="false"/>
          </w:tcPr>
          <w:p>
            <w:pPr>
              <w:jc w:val="center"/>
              <w:rPr>
                <w:sz w:val="20"/>
                <w:szCs w:val="20"/>
                <w:lang w:eastAsia="ru-RU"/>
              </w:rPr>
            </w:pPr>
            <w:r>
              <w:rPr>
                <w:sz w:val="20"/>
                <w:szCs w:val="20"/>
                <w:lang w:eastAsia="ru-RU"/>
              </w:rPr>
              <w:t xml:space="preserve">5,424</w:t>
            </w:r>
            <w:r>
              <w:rPr>
                <w:sz w:val="20"/>
                <w:szCs w:val="20"/>
                <w:lang w:eastAsia="ru-RU"/>
              </w:rPr>
            </w:r>
            <w:r>
              <w:rPr>
                <w:sz w:val="20"/>
                <w:szCs w:val="20"/>
                <w:lang w:eastAsia="ru-RU"/>
              </w:rPr>
            </w:r>
          </w:p>
        </w:tc>
      </w:tr>
      <w:tr>
        <w:tblPrEx/>
        <w:trPr/>
        <w:tc>
          <w:tcPr>
            <w:shd w:val="clear" w:color="auto" w:fill="auto"/>
            <w:tcW w:w="232" w:type="pct"/>
            <w:vAlign w:val="center"/>
            <w:textDirection w:val="lrTb"/>
            <w:noWrap w:val="false"/>
          </w:tcPr>
          <w:p>
            <w:pPr>
              <w:jc w:val="center"/>
              <w:widowControl/>
              <w:rPr>
                <w:sz w:val="20"/>
                <w:szCs w:val="20"/>
                <w:lang w:eastAsia="ru-RU"/>
              </w:rPr>
            </w:pPr>
            <w:r>
              <w:rPr>
                <w:sz w:val="20"/>
                <w:szCs w:val="20"/>
                <w:lang w:eastAsia="ru-RU"/>
              </w:rPr>
              <w:t xml:space="preserve">5</w:t>
            </w:r>
            <w:r>
              <w:rPr>
                <w:sz w:val="20"/>
                <w:szCs w:val="20"/>
                <w:lang w:eastAsia="ru-RU"/>
              </w:rPr>
            </w:r>
            <w:r>
              <w:rPr>
                <w:sz w:val="20"/>
                <w:szCs w:val="20"/>
                <w:lang w:eastAsia="ru-RU"/>
              </w:rPr>
            </w:r>
          </w:p>
        </w:tc>
        <w:tc>
          <w:tcPr>
            <w:shd w:val="clear" w:color="auto" w:fill="auto"/>
            <w:tcW w:w="2084" w:type="pct"/>
            <w:textDirection w:val="lrTb"/>
            <w:noWrap w:val="false"/>
          </w:tcPr>
          <w:p>
            <w:pPr>
              <w:widowControl/>
              <w:rPr>
                <w:sz w:val="20"/>
                <w:szCs w:val="20"/>
                <w:lang w:eastAsia="ru-RU"/>
              </w:rPr>
            </w:pPr>
            <w:r>
              <w:rPr>
                <w:sz w:val="20"/>
                <w:szCs w:val="20"/>
                <w:lang w:eastAsia="ru-RU"/>
              </w:rPr>
              <w:t xml:space="preserve">Коэффициент использования установленной тепловой мощности</w:t>
            </w:r>
            <w:r>
              <w:rPr>
                <w:sz w:val="20"/>
                <w:szCs w:val="20"/>
                <w:lang w:eastAsia="ru-RU"/>
              </w:rPr>
            </w:r>
            <w:r>
              <w:rPr>
                <w:sz w:val="20"/>
                <w:szCs w:val="20"/>
                <w:lang w:eastAsia="ru-RU"/>
              </w:rPr>
            </w:r>
          </w:p>
        </w:tc>
        <w:tc>
          <w:tcPr>
            <w:shd w:val="clear" w:color="auto" w:fill="auto"/>
            <w:tcW w:w="346" w:type="pct"/>
            <w:vAlign w:val="center"/>
            <w:textDirection w:val="lrTb"/>
            <w:noWrap w:val="false"/>
          </w:tcPr>
          <w:p>
            <w:pPr>
              <w:jc w:val="center"/>
              <w:widowControl/>
              <w:rPr>
                <w:sz w:val="20"/>
                <w:szCs w:val="20"/>
                <w:lang w:eastAsia="ru-RU"/>
              </w:rPr>
            </w:pPr>
            <w:r>
              <w:rPr>
                <w:sz w:val="20"/>
                <w:szCs w:val="20"/>
                <w:lang w:eastAsia="ru-RU"/>
              </w:rPr>
            </w:r>
            <w:r>
              <w:rPr>
                <w:sz w:val="20"/>
                <w:szCs w:val="20"/>
                <w:lang w:eastAsia="ru-RU"/>
              </w:rPr>
            </w:r>
            <w:r>
              <w:rPr>
                <w:sz w:val="20"/>
                <w:szCs w:val="20"/>
                <w:lang w:eastAsia="ru-RU"/>
              </w:rPr>
            </w:r>
          </w:p>
        </w:tc>
        <w:tc>
          <w:tcPr>
            <w:shd w:val="clear" w:color="auto" w:fill="auto"/>
            <w:tcW w:w="456" w:type="pct"/>
            <w:vAlign w:val="center"/>
            <w:textDirection w:val="lrTb"/>
            <w:noWrap w:val="false"/>
          </w:tcPr>
          <w:p>
            <w:pPr>
              <w:jc w:val="center"/>
              <w:rPr>
                <w:sz w:val="20"/>
                <w:szCs w:val="20"/>
              </w:rPr>
            </w:pPr>
            <w:r>
              <w:rPr>
                <w:sz w:val="20"/>
                <w:szCs w:val="20"/>
              </w:rPr>
              <w:t xml:space="preserve">0,339</w:t>
            </w:r>
            <w:r>
              <w:rPr>
                <w:sz w:val="20"/>
                <w:szCs w:val="20"/>
              </w:rPr>
            </w:r>
            <w:r>
              <w:rPr>
                <w:sz w:val="20"/>
                <w:szCs w:val="20"/>
              </w:rPr>
            </w:r>
          </w:p>
        </w:tc>
        <w:tc>
          <w:tcPr>
            <w:shd w:val="clear" w:color="auto" w:fill="auto"/>
            <w:tcW w:w="688" w:type="pct"/>
            <w:vAlign w:val="center"/>
            <w:textDirection w:val="lrTb"/>
            <w:noWrap w:val="false"/>
          </w:tcPr>
          <w:p>
            <w:pPr>
              <w:jc w:val="center"/>
              <w:rPr>
                <w:sz w:val="20"/>
                <w:szCs w:val="20"/>
              </w:rPr>
            </w:pPr>
            <w:r>
              <w:rPr>
                <w:sz w:val="20"/>
                <w:szCs w:val="20"/>
              </w:rPr>
              <w:t xml:space="preserve">0,329</w:t>
            </w:r>
            <w:r>
              <w:rPr>
                <w:sz w:val="20"/>
                <w:szCs w:val="20"/>
              </w:rPr>
            </w:r>
            <w:r>
              <w:rPr>
                <w:sz w:val="20"/>
                <w:szCs w:val="20"/>
              </w:rPr>
            </w:r>
          </w:p>
        </w:tc>
        <w:tc>
          <w:tcPr>
            <w:shd w:val="clear" w:color="auto" w:fill="auto"/>
            <w:tcW w:w="688" w:type="pct"/>
            <w:vAlign w:val="center"/>
            <w:textDirection w:val="lrTb"/>
            <w:noWrap w:val="false"/>
          </w:tcPr>
          <w:p>
            <w:pPr>
              <w:jc w:val="center"/>
              <w:rPr>
                <w:sz w:val="20"/>
                <w:szCs w:val="20"/>
              </w:rPr>
            </w:pPr>
            <w:r>
              <w:rPr>
                <w:sz w:val="20"/>
                <w:szCs w:val="20"/>
              </w:rPr>
              <w:t xml:space="preserve">0,329</w:t>
            </w:r>
            <w:r>
              <w:rPr>
                <w:sz w:val="20"/>
                <w:szCs w:val="20"/>
              </w:rPr>
            </w:r>
            <w:r>
              <w:rPr>
                <w:sz w:val="20"/>
                <w:szCs w:val="20"/>
              </w:rPr>
            </w:r>
          </w:p>
        </w:tc>
        <w:tc>
          <w:tcPr>
            <w:shd w:val="clear" w:color="auto" w:fill="auto"/>
            <w:tcW w:w="505" w:type="pct"/>
            <w:vAlign w:val="center"/>
            <w:textDirection w:val="lrTb"/>
            <w:noWrap w:val="false"/>
          </w:tcPr>
          <w:p>
            <w:pPr>
              <w:jc w:val="center"/>
              <w:rPr>
                <w:sz w:val="20"/>
                <w:szCs w:val="20"/>
              </w:rPr>
            </w:pPr>
            <w:r>
              <w:rPr>
                <w:sz w:val="20"/>
                <w:szCs w:val="20"/>
              </w:rPr>
              <w:t xml:space="preserve">0,339</w:t>
            </w:r>
            <w:r>
              <w:rPr>
                <w:sz w:val="20"/>
                <w:szCs w:val="20"/>
              </w:rPr>
            </w:r>
            <w:r>
              <w:rPr>
                <w:sz w:val="20"/>
                <w:szCs w:val="20"/>
              </w:rPr>
            </w:r>
          </w:p>
        </w:tc>
      </w:tr>
      <w:tr>
        <w:tblPrEx/>
        <w:trPr/>
        <w:tc>
          <w:tcPr>
            <w:shd w:val="clear" w:color="auto" w:fill="auto"/>
            <w:tcW w:w="232" w:type="pct"/>
            <w:vAlign w:val="center"/>
            <w:textDirection w:val="lrTb"/>
            <w:noWrap w:val="false"/>
          </w:tcPr>
          <w:p>
            <w:pPr>
              <w:jc w:val="center"/>
              <w:widowControl/>
              <w:rPr>
                <w:sz w:val="20"/>
                <w:szCs w:val="20"/>
                <w:lang w:eastAsia="ru-RU"/>
              </w:rPr>
            </w:pPr>
            <w:r>
              <w:rPr>
                <w:sz w:val="20"/>
                <w:szCs w:val="20"/>
                <w:lang w:eastAsia="ru-RU"/>
              </w:rPr>
              <w:t xml:space="preserve">6</w:t>
            </w:r>
            <w:r>
              <w:rPr>
                <w:sz w:val="20"/>
                <w:szCs w:val="20"/>
                <w:lang w:eastAsia="ru-RU"/>
              </w:rPr>
            </w:r>
            <w:r>
              <w:rPr>
                <w:sz w:val="20"/>
                <w:szCs w:val="20"/>
                <w:lang w:eastAsia="ru-RU"/>
              </w:rPr>
            </w:r>
          </w:p>
        </w:tc>
        <w:tc>
          <w:tcPr>
            <w:shd w:val="clear" w:color="auto" w:fill="auto"/>
            <w:tcW w:w="2084" w:type="pct"/>
            <w:textDirection w:val="lrTb"/>
            <w:noWrap w:val="false"/>
          </w:tcPr>
          <w:p>
            <w:pPr>
              <w:widowControl/>
              <w:rPr>
                <w:sz w:val="20"/>
                <w:szCs w:val="20"/>
                <w:lang w:eastAsia="ru-RU"/>
              </w:rPr>
            </w:pPr>
            <w:r>
              <w:rPr>
                <w:sz w:val="20"/>
                <w:szCs w:val="20"/>
                <w:lang w:eastAsia="ru-RU"/>
              </w:rPr>
              <w:t xml:space="preserve">Удельная материальная характеристика тепловых сетей, приведённая к расчётной тепловой нагрузке</w:t>
            </w:r>
            <w:r>
              <w:rPr>
                <w:sz w:val="20"/>
                <w:szCs w:val="20"/>
                <w:lang w:eastAsia="ru-RU"/>
              </w:rPr>
            </w:r>
            <w:r>
              <w:rPr>
                <w:sz w:val="20"/>
                <w:szCs w:val="20"/>
                <w:lang w:eastAsia="ru-RU"/>
              </w:rPr>
            </w:r>
          </w:p>
        </w:tc>
        <w:tc>
          <w:tcPr>
            <w:shd w:val="clear" w:color="auto" w:fill="auto"/>
            <w:tcW w:w="346" w:type="pct"/>
            <w:vAlign w:val="center"/>
            <w:textDirection w:val="lrTb"/>
            <w:noWrap w:val="false"/>
          </w:tcPr>
          <w:p>
            <w:pPr>
              <w:jc w:val="center"/>
              <w:widowControl/>
              <w:rPr>
                <w:sz w:val="20"/>
                <w:szCs w:val="20"/>
                <w:lang w:eastAsia="ru-RU"/>
              </w:rPr>
            </w:pPr>
            <w:r>
              <w:rPr>
                <w:sz w:val="20"/>
                <w:szCs w:val="20"/>
                <w:lang w:eastAsia="ru-RU"/>
              </w:rPr>
              <w:t xml:space="preserve">м</w:t>
            </w:r>
            <w:r>
              <w:rPr>
                <w:sz w:val="20"/>
                <w:szCs w:val="20"/>
                <w:vertAlign w:val="superscript"/>
                <w:lang w:eastAsia="ru-RU"/>
              </w:rPr>
              <w:t xml:space="preserve">2</w:t>
            </w:r>
            <w:r>
              <w:rPr>
                <w:sz w:val="20"/>
                <w:szCs w:val="20"/>
                <w:lang w:eastAsia="ru-RU"/>
              </w:rPr>
              <w:t xml:space="preserve">/Гкал</w:t>
            </w:r>
            <w:r>
              <w:rPr>
                <w:sz w:val="20"/>
                <w:szCs w:val="20"/>
                <w:lang w:eastAsia="ru-RU"/>
              </w:rPr>
            </w:r>
            <w:r>
              <w:rPr>
                <w:sz w:val="20"/>
                <w:szCs w:val="20"/>
                <w:lang w:eastAsia="ru-RU"/>
              </w:rPr>
            </w:r>
          </w:p>
        </w:tc>
        <w:tc>
          <w:tcPr>
            <w:shd w:val="clear" w:color="auto" w:fill="auto"/>
            <w:tcW w:w="456" w:type="pct"/>
            <w:vAlign w:val="center"/>
            <w:textDirection w:val="lrTb"/>
            <w:noWrap w:val="false"/>
          </w:tcPr>
          <w:p>
            <w:pPr>
              <w:jc w:val="center"/>
              <w:rPr>
                <w:sz w:val="20"/>
                <w:szCs w:val="20"/>
                <w:lang w:eastAsia="ru-RU"/>
              </w:rPr>
            </w:pPr>
            <w:r>
              <w:rPr>
                <w:sz w:val="20"/>
                <w:szCs w:val="20"/>
                <w:lang w:eastAsia="ru-RU"/>
              </w:rPr>
              <w:t xml:space="preserve">0,601</w:t>
            </w:r>
            <w:r>
              <w:rPr>
                <w:sz w:val="20"/>
                <w:szCs w:val="20"/>
                <w:lang w:eastAsia="ru-RU"/>
              </w:rPr>
            </w:r>
            <w:r>
              <w:rPr>
                <w:sz w:val="20"/>
                <w:szCs w:val="20"/>
                <w:lang w:eastAsia="ru-RU"/>
              </w:rPr>
            </w:r>
          </w:p>
        </w:tc>
        <w:tc>
          <w:tcPr>
            <w:shd w:val="clear" w:color="auto" w:fill="auto"/>
            <w:tcW w:w="688" w:type="pct"/>
            <w:vAlign w:val="center"/>
            <w:textDirection w:val="lrTb"/>
            <w:noWrap w:val="false"/>
          </w:tcPr>
          <w:p>
            <w:pPr>
              <w:jc w:val="center"/>
              <w:rPr>
                <w:sz w:val="20"/>
                <w:szCs w:val="20"/>
                <w:lang w:eastAsia="ru-RU"/>
              </w:rPr>
            </w:pPr>
            <w:r>
              <w:rPr>
                <w:sz w:val="20"/>
                <w:szCs w:val="20"/>
                <w:lang w:eastAsia="ru-RU"/>
              </w:rPr>
              <w:t xml:space="preserve">0,067</w:t>
            </w:r>
            <w:r>
              <w:rPr>
                <w:sz w:val="20"/>
                <w:szCs w:val="20"/>
                <w:lang w:eastAsia="ru-RU"/>
              </w:rPr>
            </w:r>
            <w:r>
              <w:rPr>
                <w:sz w:val="20"/>
                <w:szCs w:val="20"/>
                <w:lang w:eastAsia="ru-RU"/>
              </w:rPr>
            </w:r>
          </w:p>
        </w:tc>
        <w:tc>
          <w:tcPr>
            <w:shd w:val="clear" w:color="auto" w:fill="auto"/>
            <w:tcW w:w="688" w:type="pct"/>
            <w:vAlign w:val="center"/>
            <w:textDirection w:val="lrTb"/>
            <w:noWrap w:val="false"/>
          </w:tcPr>
          <w:p>
            <w:pPr>
              <w:jc w:val="center"/>
              <w:rPr>
                <w:sz w:val="20"/>
                <w:szCs w:val="20"/>
                <w:lang w:eastAsia="ru-RU"/>
              </w:rPr>
            </w:pPr>
            <w:r>
              <w:rPr>
                <w:sz w:val="20"/>
                <w:szCs w:val="20"/>
                <w:lang w:eastAsia="ru-RU"/>
              </w:rPr>
              <w:t xml:space="preserve">н/д</w:t>
            </w:r>
            <w:r>
              <w:rPr>
                <w:sz w:val="20"/>
                <w:szCs w:val="20"/>
                <w:lang w:eastAsia="ru-RU"/>
              </w:rPr>
            </w:r>
            <w:r>
              <w:rPr>
                <w:sz w:val="20"/>
                <w:szCs w:val="20"/>
                <w:lang w:eastAsia="ru-RU"/>
              </w:rPr>
            </w:r>
          </w:p>
        </w:tc>
        <w:tc>
          <w:tcPr>
            <w:shd w:val="clear" w:color="auto" w:fill="auto"/>
            <w:tcW w:w="505" w:type="pct"/>
            <w:vAlign w:val="center"/>
            <w:textDirection w:val="lrTb"/>
            <w:noWrap w:val="false"/>
          </w:tcPr>
          <w:p>
            <w:pPr>
              <w:jc w:val="center"/>
              <w:rPr>
                <w:sz w:val="20"/>
                <w:szCs w:val="20"/>
                <w:lang w:eastAsia="ru-RU"/>
              </w:rPr>
            </w:pPr>
            <w:r>
              <w:rPr>
                <w:sz w:val="20"/>
                <w:szCs w:val="20"/>
                <w:lang w:eastAsia="ru-RU"/>
              </w:rPr>
              <w:t xml:space="preserve">0,079</w:t>
            </w:r>
            <w:r>
              <w:rPr>
                <w:sz w:val="20"/>
                <w:szCs w:val="20"/>
                <w:lang w:eastAsia="ru-RU"/>
              </w:rPr>
            </w:r>
            <w:r>
              <w:rPr>
                <w:sz w:val="20"/>
                <w:szCs w:val="20"/>
                <w:lang w:eastAsia="ru-RU"/>
              </w:rPr>
            </w:r>
          </w:p>
        </w:tc>
      </w:tr>
      <w:tr>
        <w:tblPrEx/>
        <w:trPr/>
        <w:tc>
          <w:tcPr>
            <w:shd w:val="clear" w:color="auto" w:fill="auto"/>
            <w:tcW w:w="232" w:type="pct"/>
            <w:vAlign w:val="center"/>
            <w:textDirection w:val="lrTb"/>
            <w:noWrap w:val="false"/>
          </w:tcPr>
          <w:p>
            <w:pPr>
              <w:jc w:val="center"/>
              <w:widowControl/>
              <w:rPr>
                <w:sz w:val="20"/>
                <w:szCs w:val="20"/>
                <w:lang w:eastAsia="ru-RU"/>
              </w:rPr>
            </w:pPr>
            <w:r>
              <w:rPr>
                <w:sz w:val="20"/>
                <w:szCs w:val="20"/>
                <w:lang w:eastAsia="ru-RU"/>
              </w:rPr>
              <w:t xml:space="preserve">7</w:t>
            </w:r>
            <w:r>
              <w:rPr>
                <w:sz w:val="20"/>
                <w:szCs w:val="20"/>
                <w:lang w:eastAsia="ru-RU"/>
              </w:rPr>
            </w:r>
            <w:r>
              <w:rPr>
                <w:sz w:val="20"/>
                <w:szCs w:val="20"/>
                <w:lang w:eastAsia="ru-RU"/>
              </w:rPr>
            </w:r>
          </w:p>
        </w:tc>
        <w:tc>
          <w:tcPr>
            <w:shd w:val="clear" w:color="auto" w:fill="auto"/>
            <w:tcW w:w="2084" w:type="pct"/>
            <w:textDirection w:val="lrTb"/>
            <w:noWrap w:val="false"/>
          </w:tcPr>
          <w:p>
            <w:pPr>
              <w:widowControl/>
              <w:rPr>
                <w:sz w:val="20"/>
                <w:szCs w:val="20"/>
                <w:lang w:eastAsia="ru-RU"/>
              </w:rPr>
            </w:pPr>
            <w:r>
              <w:rPr>
                <w:sz w:val="20"/>
                <w:szCs w:val="20"/>
                <w:lang w:eastAsia="ru-RU"/>
              </w:rPr>
              <w:t xml:space="preserve">Доля тепловой энергии, выработанной в комбинированном режиме</w:t>
            </w:r>
            <w:r>
              <w:rPr>
                <w:sz w:val="20"/>
                <w:szCs w:val="20"/>
                <w:lang w:eastAsia="ru-RU"/>
              </w:rPr>
            </w:r>
            <w:r>
              <w:rPr>
                <w:sz w:val="20"/>
                <w:szCs w:val="20"/>
                <w:lang w:eastAsia="ru-RU"/>
              </w:rPr>
            </w:r>
          </w:p>
        </w:tc>
        <w:tc>
          <w:tcPr>
            <w:shd w:val="clear" w:color="auto" w:fill="auto"/>
            <w:tcW w:w="346" w:type="pct"/>
            <w:vAlign w:val="center"/>
            <w:textDirection w:val="lrTb"/>
            <w:noWrap w:val="false"/>
          </w:tcPr>
          <w:p>
            <w:pPr>
              <w:jc w:val="center"/>
              <w:widowControl/>
              <w:rPr>
                <w:sz w:val="20"/>
                <w:szCs w:val="20"/>
                <w:lang w:eastAsia="ru-RU"/>
              </w:rPr>
            </w:pPr>
            <w:r>
              <w:rPr>
                <w:sz w:val="20"/>
                <w:szCs w:val="20"/>
                <w:lang w:eastAsia="ru-RU"/>
              </w:rPr>
              <w:t xml:space="preserve">%</w:t>
            </w:r>
            <w:r>
              <w:rPr>
                <w:sz w:val="20"/>
                <w:szCs w:val="20"/>
                <w:lang w:eastAsia="ru-RU"/>
              </w:rPr>
            </w:r>
            <w:r>
              <w:rPr>
                <w:sz w:val="20"/>
                <w:szCs w:val="20"/>
                <w:lang w:eastAsia="ru-RU"/>
              </w:rPr>
            </w:r>
          </w:p>
        </w:tc>
        <w:tc>
          <w:tcPr>
            <w:shd w:val="clear" w:color="auto" w:fill="auto"/>
            <w:tcW w:w="456" w:type="pct"/>
            <w:vAlign w:val="center"/>
            <w:textDirection w:val="lrTb"/>
            <w:noWrap w:val="false"/>
          </w:tcPr>
          <w:p>
            <w:pPr>
              <w:jc w:val="center"/>
              <w:widowControl/>
              <w:rPr>
                <w:sz w:val="20"/>
                <w:szCs w:val="20"/>
                <w:lang w:eastAsia="ru-RU"/>
              </w:rPr>
            </w:pPr>
            <w:r>
              <w:rPr>
                <w:sz w:val="20"/>
                <w:szCs w:val="20"/>
                <w:lang w:eastAsia="ru-RU"/>
              </w:rPr>
              <w:t xml:space="preserve">0</w:t>
            </w:r>
            <w:r>
              <w:rPr>
                <w:sz w:val="20"/>
                <w:szCs w:val="20"/>
                <w:lang w:eastAsia="ru-RU"/>
              </w:rPr>
            </w:r>
            <w:r>
              <w:rPr>
                <w:sz w:val="20"/>
                <w:szCs w:val="20"/>
                <w:lang w:eastAsia="ru-RU"/>
              </w:rPr>
            </w:r>
          </w:p>
        </w:tc>
        <w:tc>
          <w:tcPr>
            <w:shd w:val="clear" w:color="auto" w:fill="auto"/>
            <w:tcW w:w="688" w:type="pct"/>
            <w:vAlign w:val="center"/>
            <w:textDirection w:val="lrTb"/>
            <w:noWrap w:val="false"/>
          </w:tcPr>
          <w:p>
            <w:pPr>
              <w:jc w:val="center"/>
              <w:widowControl/>
              <w:rPr>
                <w:sz w:val="20"/>
                <w:szCs w:val="20"/>
                <w:lang w:eastAsia="ru-RU"/>
              </w:rPr>
            </w:pPr>
            <w:r>
              <w:rPr>
                <w:sz w:val="20"/>
                <w:szCs w:val="20"/>
                <w:lang w:eastAsia="ru-RU"/>
              </w:rPr>
              <w:t xml:space="preserve">0</w:t>
            </w:r>
            <w:r>
              <w:rPr>
                <w:sz w:val="20"/>
                <w:szCs w:val="20"/>
                <w:lang w:eastAsia="ru-RU"/>
              </w:rPr>
            </w:r>
            <w:r>
              <w:rPr>
                <w:sz w:val="20"/>
                <w:szCs w:val="20"/>
                <w:lang w:eastAsia="ru-RU"/>
              </w:rPr>
            </w:r>
          </w:p>
        </w:tc>
        <w:tc>
          <w:tcPr>
            <w:shd w:val="clear" w:color="auto" w:fill="auto"/>
            <w:tcW w:w="688" w:type="pct"/>
            <w:vAlign w:val="center"/>
            <w:textDirection w:val="lrTb"/>
            <w:noWrap w:val="false"/>
          </w:tcPr>
          <w:p>
            <w:pPr>
              <w:jc w:val="center"/>
              <w:widowControl/>
              <w:rPr>
                <w:sz w:val="20"/>
                <w:szCs w:val="20"/>
                <w:lang w:eastAsia="ru-RU"/>
              </w:rPr>
            </w:pPr>
            <w:r>
              <w:rPr>
                <w:sz w:val="20"/>
                <w:szCs w:val="20"/>
                <w:lang w:eastAsia="ru-RU"/>
              </w:rPr>
              <w:t xml:space="preserve">0</w:t>
            </w:r>
            <w:r>
              <w:rPr>
                <w:sz w:val="20"/>
                <w:szCs w:val="20"/>
                <w:lang w:eastAsia="ru-RU"/>
              </w:rPr>
            </w:r>
            <w:r>
              <w:rPr>
                <w:sz w:val="20"/>
                <w:szCs w:val="20"/>
                <w:lang w:eastAsia="ru-RU"/>
              </w:rPr>
            </w:r>
          </w:p>
        </w:tc>
        <w:tc>
          <w:tcPr>
            <w:shd w:val="clear" w:color="auto" w:fill="auto"/>
            <w:tcW w:w="505" w:type="pct"/>
            <w:vAlign w:val="center"/>
            <w:textDirection w:val="lrTb"/>
            <w:noWrap w:val="false"/>
          </w:tcPr>
          <w:p>
            <w:pPr>
              <w:jc w:val="center"/>
              <w:widowControl/>
              <w:rPr>
                <w:sz w:val="20"/>
                <w:szCs w:val="20"/>
                <w:lang w:eastAsia="ru-RU"/>
              </w:rPr>
            </w:pPr>
            <w:r>
              <w:rPr>
                <w:sz w:val="20"/>
                <w:szCs w:val="20"/>
                <w:lang w:eastAsia="ru-RU"/>
              </w:rPr>
              <w:t xml:space="preserve">0</w:t>
            </w:r>
            <w:r>
              <w:rPr>
                <w:sz w:val="20"/>
                <w:szCs w:val="20"/>
                <w:lang w:eastAsia="ru-RU"/>
              </w:rPr>
            </w:r>
            <w:r>
              <w:rPr>
                <w:sz w:val="20"/>
                <w:szCs w:val="20"/>
                <w:lang w:eastAsia="ru-RU"/>
              </w:rPr>
            </w:r>
          </w:p>
        </w:tc>
      </w:tr>
      <w:tr>
        <w:tblPrEx/>
        <w:trPr/>
        <w:tc>
          <w:tcPr>
            <w:shd w:val="clear" w:color="auto" w:fill="auto"/>
            <w:tcW w:w="232" w:type="pct"/>
            <w:vAlign w:val="center"/>
            <w:textDirection w:val="lrTb"/>
            <w:noWrap w:val="false"/>
          </w:tcPr>
          <w:p>
            <w:pPr>
              <w:jc w:val="center"/>
              <w:widowControl/>
              <w:rPr>
                <w:sz w:val="20"/>
                <w:szCs w:val="20"/>
                <w:lang w:eastAsia="ru-RU"/>
              </w:rPr>
            </w:pPr>
            <w:r>
              <w:rPr>
                <w:sz w:val="20"/>
                <w:szCs w:val="20"/>
                <w:lang w:eastAsia="ru-RU"/>
              </w:rPr>
              <w:t xml:space="preserve">8</w:t>
            </w:r>
            <w:r>
              <w:rPr>
                <w:sz w:val="20"/>
                <w:szCs w:val="20"/>
                <w:lang w:eastAsia="ru-RU"/>
              </w:rPr>
            </w:r>
            <w:r>
              <w:rPr>
                <w:sz w:val="20"/>
                <w:szCs w:val="20"/>
                <w:lang w:eastAsia="ru-RU"/>
              </w:rPr>
            </w:r>
          </w:p>
        </w:tc>
        <w:tc>
          <w:tcPr>
            <w:shd w:val="clear" w:color="auto" w:fill="auto"/>
            <w:tcW w:w="2084" w:type="pct"/>
            <w:textDirection w:val="lrTb"/>
            <w:noWrap w:val="false"/>
          </w:tcPr>
          <w:p>
            <w:pPr>
              <w:widowControl/>
              <w:rPr>
                <w:sz w:val="20"/>
                <w:szCs w:val="20"/>
                <w:lang w:eastAsia="ru-RU"/>
              </w:rPr>
            </w:pPr>
            <w:r>
              <w:rPr>
                <w:sz w:val="20"/>
                <w:szCs w:val="20"/>
                <w:lang w:eastAsia="ru-RU"/>
              </w:rPr>
              <w:t xml:space="preserve">Удельный расход условного топлива на отпуск электрической энергии</w:t>
            </w:r>
            <w:r>
              <w:rPr>
                <w:sz w:val="20"/>
                <w:szCs w:val="20"/>
                <w:lang w:eastAsia="ru-RU"/>
              </w:rPr>
            </w:r>
            <w:r>
              <w:rPr>
                <w:sz w:val="20"/>
                <w:szCs w:val="20"/>
                <w:lang w:eastAsia="ru-RU"/>
              </w:rPr>
            </w:r>
          </w:p>
        </w:tc>
        <w:tc>
          <w:tcPr>
            <w:shd w:val="clear" w:color="auto" w:fill="auto"/>
            <w:tcW w:w="346" w:type="pct"/>
            <w:vAlign w:val="center"/>
            <w:textDirection w:val="lrTb"/>
            <w:noWrap w:val="false"/>
          </w:tcPr>
          <w:p>
            <w:pPr>
              <w:jc w:val="center"/>
              <w:widowControl/>
              <w:rPr>
                <w:sz w:val="20"/>
                <w:szCs w:val="20"/>
                <w:lang w:eastAsia="ru-RU"/>
              </w:rPr>
            </w:pPr>
            <w:r>
              <w:rPr>
                <w:sz w:val="20"/>
                <w:szCs w:val="20"/>
                <w:lang w:eastAsia="ru-RU"/>
              </w:rPr>
              <w:t xml:space="preserve">тут/кВт</w:t>
            </w:r>
            <w:r>
              <w:rPr>
                <w:sz w:val="20"/>
                <w:szCs w:val="20"/>
                <w:lang w:eastAsia="ru-RU"/>
              </w:rPr>
            </w:r>
            <w:r>
              <w:rPr>
                <w:sz w:val="20"/>
                <w:szCs w:val="20"/>
                <w:lang w:eastAsia="ru-RU"/>
              </w:rPr>
            </w:r>
          </w:p>
        </w:tc>
        <w:tc>
          <w:tcPr>
            <w:shd w:val="clear" w:color="auto" w:fill="auto"/>
            <w:tcW w:w="456" w:type="pct"/>
            <w:vAlign w:val="center"/>
            <w:textDirection w:val="lrTb"/>
            <w:noWrap w:val="false"/>
          </w:tcPr>
          <w:p>
            <w:pPr>
              <w:jc w:val="center"/>
              <w:widowControl/>
              <w:rPr>
                <w:sz w:val="20"/>
                <w:szCs w:val="20"/>
                <w:lang w:eastAsia="ru-RU"/>
              </w:rPr>
            </w:pPr>
            <w:r>
              <w:rPr>
                <w:sz w:val="20"/>
                <w:szCs w:val="20"/>
                <w:lang w:eastAsia="ru-RU"/>
              </w:rPr>
              <w:t xml:space="preserve">-</w:t>
            </w:r>
            <w:r>
              <w:rPr>
                <w:sz w:val="20"/>
                <w:szCs w:val="20"/>
                <w:lang w:eastAsia="ru-RU"/>
              </w:rPr>
            </w:r>
            <w:r>
              <w:rPr>
                <w:sz w:val="20"/>
                <w:szCs w:val="20"/>
                <w:lang w:eastAsia="ru-RU"/>
              </w:rPr>
            </w:r>
          </w:p>
        </w:tc>
        <w:tc>
          <w:tcPr>
            <w:shd w:val="clear" w:color="auto" w:fill="auto"/>
            <w:tcW w:w="688"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shd w:val="clear" w:color="auto" w:fill="auto"/>
            <w:tcW w:w="688" w:type="pct"/>
            <w:textDirection w:val="lrTb"/>
            <w:noWrap w:val="false"/>
          </w:tcPr>
          <w:p>
            <w:pPr>
              <w:jc w:val="center"/>
              <w:rPr>
                <w:sz w:val="20"/>
                <w:szCs w:val="20"/>
              </w:rPr>
            </w:pPr>
            <w:r>
              <w:rPr>
                <w:sz w:val="20"/>
                <w:szCs w:val="20"/>
              </w:rPr>
              <w:t xml:space="preserve">-</w:t>
            </w:r>
            <w:r>
              <w:rPr>
                <w:sz w:val="20"/>
                <w:szCs w:val="20"/>
              </w:rPr>
            </w:r>
            <w:r>
              <w:rPr>
                <w:sz w:val="20"/>
                <w:szCs w:val="20"/>
              </w:rPr>
            </w:r>
          </w:p>
        </w:tc>
        <w:tc>
          <w:tcPr>
            <w:shd w:val="clear" w:color="auto" w:fill="auto"/>
            <w:tcW w:w="505" w:type="pct"/>
            <w:textDirection w:val="lrTb"/>
            <w:noWrap w:val="false"/>
          </w:tcPr>
          <w:p>
            <w:pPr>
              <w:jc w:val="center"/>
              <w:rPr>
                <w:sz w:val="20"/>
                <w:szCs w:val="20"/>
              </w:rPr>
            </w:pPr>
            <w:r>
              <w:rPr>
                <w:sz w:val="20"/>
                <w:szCs w:val="20"/>
              </w:rPr>
              <w:t xml:space="preserve">-</w:t>
            </w:r>
            <w:r>
              <w:rPr>
                <w:sz w:val="20"/>
                <w:szCs w:val="20"/>
              </w:rPr>
            </w:r>
            <w:r>
              <w:rPr>
                <w:sz w:val="20"/>
                <w:szCs w:val="20"/>
              </w:rPr>
            </w:r>
          </w:p>
        </w:tc>
      </w:tr>
      <w:tr>
        <w:tblPrEx/>
        <w:trPr/>
        <w:tc>
          <w:tcPr>
            <w:shd w:val="clear" w:color="auto" w:fill="auto"/>
            <w:tcW w:w="232" w:type="pct"/>
            <w:vAlign w:val="center"/>
            <w:textDirection w:val="lrTb"/>
            <w:noWrap w:val="false"/>
          </w:tcPr>
          <w:p>
            <w:pPr>
              <w:jc w:val="center"/>
              <w:widowControl/>
              <w:rPr>
                <w:sz w:val="20"/>
                <w:szCs w:val="20"/>
                <w:lang w:eastAsia="ru-RU"/>
              </w:rPr>
            </w:pPr>
            <w:r>
              <w:rPr>
                <w:sz w:val="20"/>
                <w:szCs w:val="20"/>
                <w:lang w:eastAsia="ru-RU"/>
              </w:rPr>
              <w:t xml:space="preserve">9</w:t>
            </w:r>
            <w:r>
              <w:rPr>
                <w:sz w:val="20"/>
                <w:szCs w:val="20"/>
                <w:lang w:eastAsia="ru-RU"/>
              </w:rPr>
            </w:r>
            <w:r>
              <w:rPr>
                <w:sz w:val="20"/>
                <w:szCs w:val="20"/>
                <w:lang w:eastAsia="ru-RU"/>
              </w:rPr>
            </w:r>
          </w:p>
        </w:tc>
        <w:tc>
          <w:tcPr>
            <w:shd w:val="clear" w:color="auto" w:fill="auto"/>
            <w:tcW w:w="2084" w:type="pct"/>
            <w:textDirection w:val="lrTb"/>
            <w:noWrap w:val="false"/>
          </w:tcPr>
          <w:p>
            <w:pPr>
              <w:widowControl/>
              <w:rPr>
                <w:sz w:val="20"/>
                <w:szCs w:val="20"/>
                <w:lang w:eastAsia="ru-RU"/>
              </w:rPr>
            </w:pPr>
            <w:r>
              <w:rPr>
                <w:sz w:val="20"/>
                <w:szCs w:val="20"/>
                <w:lang w:eastAsia="ru-RU"/>
              </w:rPr>
              <w:t xml:space="preserve">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rPr>
                <w:sz w:val="20"/>
                <w:szCs w:val="20"/>
                <w:lang w:eastAsia="ru-RU"/>
              </w:rPr>
            </w:r>
            <w:r>
              <w:rPr>
                <w:sz w:val="20"/>
                <w:szCs w:val="20"/>
                <w:lang w:eastAsia="ru-RU"/>
              </w:rPr>
            </w:r>
          </w:p>
        </w:tc>
        <w:tc>
          <w:tcPr>
            <w:shd w:val="clear" w:color="auto" w:fill="auto"/>
            <w:tcW w:w="346" w:type="pct"/>
            <w:vAlign w:val="center"/>
            <w:textDirection w:val="lrTb"/>
            <w:noWrap w:val="false"/>
          </w:tcPr>
          <w:p>
            <w:pPr>
              <w:jc w:val="center"/>
              <w:widowControl/>
              <w:rPr>
                <w:sz w:val="20"/>
                <w:szCs w:val="20"/>
                <w:lang w:eastAsia="ru-RU"/>
              </w:rPr>
            </w:pPr>
            <w:r>
              <w:rPr>
                <w:sz w:val="20"/>
                <w:szCs w:val="20"/>
                <w:lang w:eastAsia="ru-RU"/>
              </w:rPr>
              <w:t xml:space="preserve">-</w:t>
            </w:r>
            <w:r>
              <w:rPr>
                <w:sz w:val="20"/>
                <w:szCs w:val="20"/>
                <w:lang w:eastAsia="ru-RU"/>
              </w:rPr>
            </w:r>
            <w:r>
              <w:rPr>
                <w:sz w:val="20"/>
                <w:szCs w:val="20"/>
                <w:lang w:eastAsia="ru-RU"/>
              </w:rPr>
            </w:r>
          </w:p>
        </w:tc>
        <w:tc>
          <w:tcPr>
            <w:shd w:val="clear" w:color="auto" w:fill="auto"/>
            <w:tcW w:w="456" w:type="pct"/>
            <w:vAlign w:val="center"/>
            <w:textDirection w:val="lrTb"/>
            <w:noWrap w:val="false"/>
          </w:tcPr>
          <w:p>
            <w:pPr>
              <w:jc w:val="center"/>
              <w:widowControl/>
              <w:rPr>
                <w:sz w:val="20"/>
                <w:szCs w:val="20"/>
                <w:lang w:eastAsia="ru-RU"/>
              </w:rPr>
            </w:pPr>
            <w:r>
              <w:rPr>
                <w:sz w:val="20"/>
                <w:szCs w:val="20"/>
                <w:lang w:eastAsia="ru-RU"/>
              </w:rPr>
              <w:t xml:space="preserve">-</w:t>
            </w:r>
            <w:r>
              <w:rPr>
                <w:sz w:val="20"/>
                <w:szCs w:val="20"/>
                <w:lang w:eastAsia="ru-RU"/>
              </w:rPr>
            </w:r>
            <w:r>
              <w:rPr>
                <w:sz w:val="20"/>
                <w:szCs w:val="20"/>
                <w:lang w:eastAsia="ru-RU"/>
              </w:rPr>
            </w:r>
          </w:p>
        </w:tc>
        <w:tc>
          <w:tcPr>
            <w:shd w:val="clear" w:color="auto" w:fill="auto"/>
            <w:tcW w:w="688" w:type="pct"/>
            <w:vAlign w:val="center"/>
            <w:textDirection w:val="lrTb"/>
            <w:noWrap w:val="false"/>
          </w:tcPr>
          <w:p>
            <w:pPr>
              <w:jc w:val="center"/>
              <w:widowControl/>
              <w:rPr>
                <w:sz w:val="20"/>
                <w:szCs w:val="20"/>
                <w:lang w:eastAsia="ru-RU"/>
              </w:rPr>
            </w:pPr>
            <w:r>
              <w:rPr>
                <w:sz w:val="20"/>
                <w:szCs w:val="20"/>
                <w:lang w:eastAsia="ru-RU"/>
              </w:rPr>
              <w:t xml:space="preserve">-</w:t>
            </w:r>
            <w:r>
              <w:rPr>
                <w:sz w:val="20"/>
                <w:szCs w:val="20"/>
                <w:lang w:eastAsia="ru-RU"/>
              </w:rPr>
            </w:r>
            <w:r>
              <w:rPr>
                <w:sz w:val="20"/>
                <w:szCs w:val="20"/>
                <w:lang w:eastAsia="ru-RU"/>
              </w:rPr>
            </w:r>
          </w:p>
        </w:tc>
        <w:tc>
          <w:tcPr>
            <w:shd w:val="clear" w:color="auto" w:fill="auto"/>
            <w:tcW w:w="688" w:type="pct"/>
            <w:vAlign w:val="center"/>
            <w:textDirection w:val="lrTb"/>
            <w:noWrap w:val="false"/>
          </w:tcPr>
          <w:p>
            <w:pPr>
              <w:jc w:val="center"/>
              <w:widowControl/>
              <w:rPr>
                <w:sz w:val="20"/>
                <w:szCs w:val="20"/>
                <w:lang w:eastAsia="ru-RU"/>
              </w:rPr>
            </w:pPr>
            <w:r>
              <w:rPr>
                <w:sz w:val="20"/>
                <w:szCs w:val="20"/>
                <w:lang w:eastAsia="ru-RU"/>
              </w:rPr>
              <w:t xml:space="preserve">-</w:t>
            </w:r>
            <w:r>
              <w:rPr>
                <w:sz w:val="20"/>
                <w:szCs w:val="20"/>
                <w:lang w:eastAsia="ru-RU"/>
              </w:rPr>
            </w:r>
            <w:r>
              <w:rPr>
                <w:sz w:val="20"/>
                <w:szCs w:val="20"/>
                <w:lang w:eastAsia="ru-RU"/>
              </w:rPr>
            </w:r>
          </w:p>
        </w:tc>
        <w:tc>
          <w:tcPr>
            <w:shd w:val="clear" w:color="auto" w:fill="auto"/>
            <w:tcW w:w="505" w:type="pct"/>
            <w:vAlign w:val="center"/>
            <w:textDirection w:val="lrTb"/>
            <w:noWrap w:val="false"/>
          </w:tcPr>
          <w:p>
            <w:pPr>
              <w:jc w:val="center"/>
              <w:widowControl/>
              <w:rPr>
                <w:sz w:val="20"/>
                <w:szCs w:val="20"/>
                <w:lang w:eastAsia="ru-RU"/>
              </w:rPr>
            </w:pPr>
            <w:r>
              <w:rPr>
                <w:sz w:val="20"/>
                <w:szCs w:val="20"/>
                <w:lang w:eastAsia="ru-RU"/>
              </w:rPr>
              <w:t xml:space="preserve">-</w:t>
            </w:r>
            <w:r>
              <w:rPr>
                <w:sz w:val="20"/>
                <w:szCs w:val="20"/>
                <w:lang w:eastAsia="ru-RU"/>
              </w:rPr>
            </w:r>
            <w:r>
              <w:rPr>
                <w:sz w:val="20"/>
                <w:szCs w:val="20"/>
                <w:lang w:eastAsia="ru-RU"/>
              </w:rPr>
            </w:r>
          </w:p>
        </w:tc>
      </w:tr>
      <w:tr>
        <w:tblPrEx/>
        <w:trPr/>
        <w:tc>
          <w:tcPr>
            <w:shd w:val="clear" w:color="auto" w:fill="auto"/>
            <w:tcW w:w="232" w:type="pct"/>
            <w:vAlign w:val="center"/>
            <w:textDirection w:val="lrTb"/>
            <w:noWrap w:val="false"/>
          </w:tcPr>
          <w:p>
            <w:pPr>
              <w:jc w:val="center"/>
              <w:widowControl/>
              <w:rPr>
                <w:sz w:val="20"/>
                <w:szCs w:val="20"/>
                <w:lang w:eastAsia="ru-RU"/>
              </w:rPr>
            </w:pPr>
            <w:r>
              <w:rPr>
                <w:sz w:val="20"/>
                <w:szCs w:val="20"/>
                <w:lang w:eastAsia="ru-RU"/>
              </w:rPr>
              <w:t xml:space="preserve">10</w:t>
            </w:r>
            <w:r>
              <w:rPr>
                <w:sz w:val="20"/>
                <w:szCs w:val="20"/>
                <w:lang w:eastAsia="ru-RU"/>
              </w:rPr>
            </w:r>
            <w:r>
              <w:rPr>
                <w:sz w:val="20"/>
                <w:szCs w:val="20"/>
                <w:lang w:eastAsia="ru-RU"/>
              </w:rPr>
            </w:r>
          </w:p>
        </w:tc>
        <w:tc>
          <w:tcPr>
            <w:shd w:val="clear" w:color="auto" w:fill="auto"/>
            <w:tcW w:w="2084" w:type="pct"/>
            <w:textDirection w:val="lrTb"/>
            <w:noWrap w:val="false"/>
          </w:tcPr>
          <w:p>
            <w:pPr>
              <w:widowControl/>
              <w:rPr>
                <w:sz w:val="20"/>
                <w:szCs w:val="20"/>
                <w:lang w:eastAsia="ru-RU"/>
              </w:rPr>
            </w:pPr>
            <w:r>
              <w:rPr>
                <w:sz w:val="20"/>
                <w:szCs w:val="20"/>
                <w:lang w:eastAsia="ru-RU"/>
              </w:rPr>
              <w:t xml:space="preserve">Доля отпуска тепловой энергии, осуществляемого потребителям по приборам учёта, в общем объёме отпущенной тепловой энергии</w:t>
            </w:r>
            <w:r>
              <w:rPr>
                <w:sz w:val="20"/>
                <w:szCs w:val="20"/>
                <w:lang w:eastAsia="ru-RU"/>
              </w:rPr>
            </w:r>
            <w:r>
              <w:rPr>
                <w:sz w:val="20"/>
                <w:szCs w:val="20"/>
                <w:lang w:eastAsia="ru-RU"/>
              </w:rPr>
            </w:r>
          </w:p>
        </w:tc>
        <w:tc>
          <w:tcPr>
            <w:shd w:val="clear" w:color="auto" w:fill="auto"/>
            <w:tcW w:w="346" w:type="pct"/>
            <w:vAlign w:val="center"/>
            <w:textDirection w:val="lrTb"/>
            <w:noWrap w:val="false"/>
          </w:tcPr>
          <w:p>
            <w:pPr>
              <w:jc w:val="center"/>
              <w:widowControl/>
              <w:rPr>
                <w:sz w:val="20"/>
                <w:szCs w:val="20"/>
                <w:lang w:eastAsia="ru-RU"/>
              </w:rPr>
            </w:pPr>
            <w:r>
              <w:rPr>
                <w:sz w:val="20"/>
                <w:szCs w:val="20"/>
                <w:lang w:eastAsia="ru-RU"/>
              </w:rPr>
              <w:t xml:space="preserve">%</w:t>
            </w:r>
            <w:r>
              <w:rPr>
                <w:sz w:val="20"/>
                <w:szCs w:val="20"/>
                <w:lang w:eastAsia="ru-RU"/>
              </w:rPr>
            </w:r>
            <w:r>
              <w:rPr>
                <w:sz w:val="20"/>
                <w:szCs w:val="20"/>
                <w:lang w:eastAsia="ru-RU"/>
              </w:rPr>
            </w:r>
          </w:p>
        </w:tc>
        <w:tc>
          <w:tcPr>
            <w:shd w:val="clear" w:color="auto" w:fill="auto"/>
            <w:tcW w:w="456" w:type="pct"/>
            <w:vAlign w:val="center"/>
            <w:textDirection w:val="lrTb"/>
            <w:noWrap w:val="false"/>
          </w:tcPr>
          <w:p>
            <w:pPr>
              <w:jc w:val="center"/>
              <w:widowControl/>
              <w:rPr>
                <w:sz w:val="20"/>
                <w:szCs w:val="20"/>
                <w:lang w:eastAsia="ru-RU"/>
              </w:rPr>
            </w:pPr>
            <w:r>
              <w:rPr>
                <w:sz w:val="20"/>
                <w:szCs w:val="20"/>
                <w:lang w:eastAsia="ru-RU"/>
              </w:rPr>
              <w:t xml:space="preserve">н/д</w:t>
            </w:r>
            <w:r>
              <w:rPr>
                <w:sz w:val="20"/>
                <w:szCs w:val="20"/>
                <w:lang w:eastAsia="ru-RU"/>
              </w:rPr>
            </w:r>
            <w:r>
              <w:rPr>
                <w:sz w:val="20"/>
                <w:szCs w:val="20"/>
                <w:lang w:eastAsia="ru-RU"/>
              </w:rPr>
            </w:r>
          </w:p>
        </w:tc>
        <w:tc>
          <w:tcPr>
            <w:shd w:val="clear" w:color="auto" w:fill="auto"/>
            <w:tcW w:w="688" w:type="pct"/>
            <w:vAlign w:val="center"/>
            <w:textDirection w:val="lrTb"/>
            <w:noWrap w:val="false"/>
          </w:tcPr>
          <w:p>
            <w:pPr>
              <w:jc w:val="center"/>
              <w:widowControl/>
              <w:rPr>
                <w:sz w:val="20"/>
                <w:szCs w:val="20"/>
                <w:lang w:eastAsia="ru-RU"/>
              </w:rPr>
            </w:pPr>
            <w:r>
              <w:rPr>
                <w:sz w:val="20"/>
                <w:szCs w:val="20"/>
                <w:lang w:eastAsia="ru-RU"/>
              </w:rPr>
              <w:t xml:space="preserve">н/д</w:t>
            </w:r>
            <w:r>
              <w:rPr>
                <w:sz w:val="20"/>
                <w:szCs w:val="20"/>
                <w:lang w:eastAsia="ru-RU"/>
              </w:rPr>
            </w:r>
            <w:r>
              <w:rPr>
                <w:sz w:val="20"/>
                <w:szCs w:val="20"/>
                <w:lang w:eastAsia="ru-RU"/>
              </w:rPr>
            </w:r>
          </w:p>
        </w:tc>
        <w:tc>
          <w:tcPr>
            <w:shd w:val="clear" w:color="auto" w:fill="auto"/>
            <w:tcW w:w="688" w:type="pct"/>
            <w:vAlign w:val="center"/>
            <w:textDirection w:val="lrTb"/>
            <w:noWrap w:val="false"/>
          </w:tcPr>
          <w:p>
            <w:pPr>
              <w:jc w:val="center"/>
              <w:widowControl/>
              <w:rPr>
                <w:sz w:val="20"/>
                <w:szCs w:val="20"/>
                <w:lang w:eastAsia="ru-RU"/>
              </w:rPr>
            </w:pPr>
            <w:r>
              <w:rPr>
                <w:sz w:val="20"/>
                <w:szCs w:val="20"/>
                <w:lang w:eastAsia="ru-RU"/>
              </w:rPr>
              <w:t xml:space="preserve">н/д</w:t>
            </w:r>
            <w:r>
              <w:rPr>
                <w:sz w:val="20"/>
                <w:szCs w:val="20"/>
                <w:lang w:eastAsia="ru-RU"/>
              </w:rPr>
            </w:r>
            <w:r>
              <w:rPr>
                <w:sz w:val="20"/>
                <w:szCs w:val="20"/>
                <w:lang w:eastAsia="ru-RU"/>
              </w:rPr>
            </w:r>
          </w:p>
        </w:tc>
        <w:tc>
          <w:tcPr>
            <w:shd w:val="clear" w:color="auto" w:fill="auto"/>
            <w:tcW w:w="505" w:type="pct"/>
            <w:vAlign w:val="center"/>
            <w:textDirection w:val="lrTb"/>
            <w:noWrap w:val="false"/>
          </w:tcPr>
          <w:p>
            <w:pPr>
              <w:jc w:val="center"/>
              <w:widowControl/>
              <w:rPr>
                <w:sz w:val="20"/>
                <w:szCs w:val="20"/>
                <w:lang w:eastAsia="ru-RU"/>
              </w:rPr>
            </w:pPr>
            <w:r>
              <w:rPr>
                <w:sz w:val="20"/>
                <w:szCs w:val="20"/>
                <w:lang w:eastAsia="ru-RU"/>
              </w:rPr>
              <w:t xml:space="preserve">н/д</w:t>
            </w:r>
            <w:r>
              <w:rPr>
                <w:sz w:val="20"/>
                <w:szCs w:val="20"/>
                <w:lang w:eastAsia="ru-RU"/>
              </w:rPr>
            </w:r>
            <w:r>
              <w:rPr>
                <w:sz w:val="20"/>
                <w:szCs w:val="20"/>
                <w:lang w:eastAsia="ru-RU"/>
              </w:rPr>
            </w:r>
          </w:p>
        </w:tc>
      </w:tr>
      <w:tr>
        <w:tblPrEx/>
        <w:trPr/>
        <w:tc>
          <w:tcPr>
            <w:shd w:val="clear" w:color="auto" w:fill="auto"/>
            <w:tcW w:w="232" w:type="pct"/>
            <w:vAlign w:val="center"/>
            <w:textDirection w:val="lrTb"/>
            <w:noWrap w:val="false"/>
          </w:tcPr>
          <w:p>
            <w:pPr>
              <w:jc w:val="center"/>
              <w:widowControl/>
              <w:rPr>
                <w:sz w:val="20"/>
                <w:szCs w:val="20"/>
                <w:lang w:eastAsia="ru-RU"/>
              </w:rPr>
            </w:pPr>
            <w:r>
              <w:rPr>
                <w:sz w:val="20"/>
                <w:szCs w:val="20"/>
                <w:lang w:eastAsia="ru-RU"/>
              </w:rPr>
              <w:t xml:space="preserve">11</w:t>
            </w:r>
            <w:r>
              <w:rPr>
                <w:sz w:val="20"/>
                <w:szCs w:val="20"/>
                <w:lang w:eastAsia="ru-RU"/>
              </w:rPr>
            </w:r>
            <w:r>
              <w:rPr>
                <w:sz w:val="20"/>
                <w:szCs w:val="20"/>
                <w:lang w:eastAsia="ru-RU"/>
              </w:rPr>
            </w:r>
          </w:p>
        </w:tc>
        <w:tc>
          <w:tcPr>
            <w:shd w:val="clear" w:color="auto" w:fill="auto"/>
            <w:tcW w:w="2084" w:type="pct"/>
            <w:textDirection w:val="lrTb"/>
            <w:noWrap w:val="false"/>
          </w:tcPr>
          <w:p>
            <w:pPr>
              <w:widowControl/>
              <w:rPr>
                <w:sz w:val="20"/>
                <w:szCs w:val="20"/>
                <w:lang w:eastAsia="ru-RU"/>
              </w:rPr>
            </w:pPr>
            <w:r>
              <w:rPr>
                <w:sz w:val="20"/>
                <w:szCs w:val="20"/>
                <w:lang w:eastAsia="ru-RU"/>
              </w:rPr>
              <w:t xml:space="preserve">Средневзвешенный (по материальной характеристике) срок эксплуатации тепловых сетей (для каждой системы теплоснабжения)</w:t>
            </w:r>
            <w:r>
              <w:rPr>
                <w:sz w:val="20"/>
                <w:szCs w:val="20"/>
                <w:lang w:eastAsia="ru-RU"/>
              </w:rPr>
            </w:r>
            <w:r>
              <w:rPr>
                <w:sz w:val="20"/>
                <w:szCs w:val="20"/>
                <w:lang w:eastAsia="ru-RU"/>
              </w:rPr>
            </w:r>
          </w:p>
        </w:tc>
        <w:tc>
          <w:tcPr>
            <w:shd w:val="clear" w:color="auto" w:fill="auto"/>
            <w:tcW w:w="346" w:type="pct"/>
            <w:vAlign w:val="center"/>
            <w:textDirection w:val="lrTb"/>
            <w:noWrap w:val="false"/>
          </w:tcPr>
          <w:p>
            <w:pPr>
              <w:jc w:val="center"/>
              <w:widowControl/>
              <w:rPr>
                <w:sz w:val="20"/>
                <w:szCs w:val="20"/>
                <w:lang w:eastAsia="ru-RU"/>
              </w:rPr>
            </w:pPr>
            <w:r>
              <w:rPr>
                <w:sz w:val="20"/>
                <w:szCs w:val="20"/>
                <w:lang w:eastAsia="ru-RU"/>
              </w:rPr>
              <w:t xml:space="preserve">лет</w:t>
            </w:r>
            <w:r>
              <w:rPr>
                <w:sz w:val="20"/>
                <w:szCs w:val="20"/>
                <w:lang w:eastAsia="ru-RU"/>
              </w:rPr>
            </w:r>
            <w:r>
              <w:rPr>
                <w:sz w:val="20"/>
                <w:szCs w:val="20"/>
                <w:lang w:eastAsia="ru-RU"/>
              </w:rPr>
            </w:r>
          </w:p>
        </w:tc>
        <w:tc>
          <w:tcPr>
            <w:shd w:val="clear" w:color="auto" w:fill="auto"/>
            <w:tcW w:w="456" w:type="pct"/>
            <w:vAlign w:val="center"/>
            <w:textDirection w:val="lrTb"/>
            <w:noWrap w:val="false"/>
          </w:tcPr>
          <w:p>
            <w:pPr>
              <w:jc w:val="center"/>
              <w:widowControl/>
              <w:rPr>
                <w:sz w:val="20"/>
                <w:szCs w:val="20"/>
                <w:lang w:eastAsia="ru-RU"/>
              </w:rPr>
            </w:pPr>
            <w:r>
              <w:rPr>
                <w:sz w:val="20"/>
                <w:szCs w:val="20"/>
                <w:lang w:eastAsia="ru-RU"/>
              </w:rPr>
              <w:t xml:space="preserve">42</w:t>
            </w:r>
            <w:r>
              <w:rPr>
                <w:sz w:val="20"/>
                <w:szCs w:val="20"/>
                <w:lang w:eastAsia="ru-RU"/>
              </w:rPr>
            </w:r>
            <w:r>
              <w:rPr>
                <w:sz w:val="20"/>
                <w:szCs w:val="20"/>
                <w:lang w:eastAsia="ru-RU"/>
              </w:rPr>
            </w:r>
          </w:p>
        </w:tc>
        <w:tc>
          <w:tcPr>
            <w:shd w:val="clear" w:color="auto" w:fill="auto"/>
            <w:tcW w:w="688" w:type="pct"/>
            <w:vAlign w:val="center"/>
            <w:textDirection w:val="lrTb"/>
            <w:noWrap w:val="false"/>
          </w:tcPr>
          <w:p>
            <w:pPr>
              <w:jc w:val="center"/>
              <w:widowControl/>
              <w:rPr>
                <w:sz w:val="20"/>
                <w:szCs w:val="20"/>
                <w:lang w:eastAsia="ru-RU"/>
              </w:rPr>
            </w:pPr>
            <w:r>
              <w:rPr>
                <w:sz w:val="20"/>
                <w:szCs w:val="20"/>
                <w:lang w:eastAsia="ru-RU"/>
              </w:rPr>
              <w:t xml:space="preserve">57</w:t>
            </w:r>
            <w:r>
              <w:rPr>
                <w:sz w:val="20"/>
                <w:szCs w:val="20"/>
                <w:lang w:eastAsia="ru-RU"/>
              </w:rPr>
            </w:r>
            <w:r>
              <w:rPr>
                <w:sz w:val="20"/>
                <w:szCs w:val="20"/>
                <w:lang w:eastAsia="ru-RU"/>
              </w:rPr>
            </w:r>
          </w:p>
        </w:tc>
        <w:tc>
          <w:tcPr>
            <w:shd w:val="clear" w:color="auto" w:fill="auto"/>
            <w:tcW w:w="688" w:type="pct"/>
            <w:vAlign w:val="center"/>
            <w:textDirection w:val="lrTb"/>
            <w:noWrap w:val="false"/>
          </w:tcPr>
          <w:p>
            <w:pPr>
              <w:jc w:val="center"/>
              <w:widowControl/>
              <w:rPr>
                <w:sz w:val="20"/>
                <w:szCs w:val="20"/>
                <w:lang w:eastAsia="ru-RU"/>
              </w:rPr>
            </w:pPr>
            <w:r>
              <w:rPr>
                <w:sz w:val="20"/>
                <w:szCs w:val="20"/>
                <w:lang w:eastAsia="ru-RU"/>
              </w:rPr>
              <w:t xml:space="preserve">н/д</w:t>
            </w:r>
            <w:r>
              <w:rPr>
                <w:sz w:val="20"/>
                <w:szCs w:val="20"/>
                <w:lang w:eastAsia="ru-RU"/>
              </w:rPr>
            </w:r>
            <w:r>
              <w:rPr>
                <w:sz w:val="20"/>
                <w:szCs w:val="20"/>
                <w:lang w:eastAsia="ru-RU"/>
              </w:rPr>
            </w:r>
          </w:p>
        </w:tc>
        <w:tc>
          <w:tcPr>
            <w:shd w:val="clear" w:color="auto" w:fill="auto"/>
            <w:tcW w:w="505" w:type="pct"/>
            <w:vAlign w:val="center"/>
            <w:textDirection w:val="lrTb"/>
            <w:noWrap w:val="false"/>
          </w:tcPr>
          <w:p>
            <w:pPr>
              <w:jc w:val="center"/>
              <w:widowControl/>
              <w:rPr>
                <w:sz w:val="20"/>
                <w:szCs w:val="20"/>
                <w:lang w:eastAsia="ru-RU"/>
              </w:rPr>
            </w:pPr>
            <w:r>
              <w:rPr>
                <w:sz w:val="20"/>
                <w:szCs w:val="20"/>
                <w:lang w:eastAsia="ru-RU"/>
              </w:rPr>
              <w:t xml:space="preserve">57</w:t>
            </w:r>
            <w:r>
              <w:rPr>
                <w:sz w:val="20"/>
                <w:szCs w:val="20"/>
                <w:lang w:eastAsia="ru-RU"/>
              </w:rPr>
            </w:r>
            <w:r>
              <w:rPr>
                <w:sz w:val="20"/>
                <w:szCs w:val="20"/>
                <w:lang w:eastAsia="ru-RU"/>
              </w:rPr>
            </w:r>
          </w:p>
        </w:tc>
      </w:tr>
      <w:tr>
        <w:tblPrEx/>
        <w:trPr/>
        <w:tc>
          <w:tcPr>
            <w:shd w:val="clear" w:color="auto" w:fill="auto"/>
            <w:tcW w:w="232" w:type="pct"/>
            <w:vAlign w:val="center"/>
            <w:textDirection w:val="lrTb"/>
            <w:noWrap w:val="false"/>
          </w:tcPr>
          <w:p>
            <w:pPr>
              <w:jc w:val="center"/>
              <w:widowControl/>
              <w:rPr>
                <w:sz w:val="20"/>
                <w:szCs w:val="20"/>
                <w:lang w:eastAsia="ru-RU"/>
              </w:rPr>
            </w:pPr>
            <w:r>
              <w:rPr>
                <w:sz w:val="20"/>
                <w:szCs w:val="20"/>
                <w:lang w:eastAsia="ru-RU"/>
              </w:rPr>
              <w:t xml:space="preserve">12</w:t>
            </w:r>
            <w:r>
              <w:rPr>
                <w:sz w:val="20"/>
                <w:szCs w:val="20"/>
                <w:lang w:eastAsia="ru-RU"/>
              </w:rPr>
            </w:r>
            <w:r>
              <w:rPr>
                <w:sz w:val="20"/>
                <w:szCs w:val="20"/>
                <w:lang w:eastAsia="ru-RU"/>
              </w:rPr>
            </w:r>
          </w:p>
        </w:tc>
        <w:tc>
          <w:tcPr>
            <w:shd w:val="clear" w:color="auto" w:fill="auto"/>
            <w:tcW w:w="2084" w:type="pct"/>
            <w:textDirection w:val="lrTb"/>
            <w:noWrap w:val="false"/>
          </w:tcPr>
          <w:p>
            <w:pPr>
              <w:widowControl/>
              <w:rPr>
                <w:sz w:val="20"/>
                <w:szCs w:val="20"/>
                <w:lang w:eastAsia="ru-RU"/>
              </w:rPr>
            </w:pPr>
            <w:r>
              <w:rPr>
                <w:sz w:val="20"/>
                <w:szCs w:val="20"/>
                <w:lang w:eastAsia="ru-RU"/>
              </w:rPr>
              <w:t xml:space="preserve">Отношение материальной характеристики тепловых сетей, реконструированных за год, к общей материальной характеристике тепловых сетей</w:t>
            </w:r>
            <w:r>
              <w:rPr>
                <w:sz w:val="20"/>
                <w:szCs w:val="20"/>
                <w:lang w:eastAsia="ru-RU"/>
              </w:rPr>
            </w:r>
            <w:r>
              <w:rPr>
                <w:sz w:val="20"/>
                <w:szCs w:val="20"/>
                <w:lang w:eastAsia="ru-RU"/>
              </w:rPr>
            </w:r>
          </w:p>
        </w:tc>
        <w:tc>
          <w:tcPr>
            <w:shd w:val="clear" w:color="auto" w:fill="auto"/>
            <w:tcW w:w="346" w:type="pct"/>
            <w:vAlign w:val="center"/>
            <w:textDirection w:val="lrTb"/>
            <w:noWrap w:val="false"/>
          </w:tcPr>
          <w:p>
            <w:pPr>
              <w:jc w:val="center"/>
              <w:widowControl/>
              <w:rPr>
                <w:sz w:val="20"/>
                <w:szCs w:val="20"/>
                <w:lang w:eastAsia="ru-RU"/>
              </w:rPr>
            </w:pPr>
            <w:r>
              <w:rPr>
                <w:sz w:val="20"/>
                <w:szCs w:val="20"/>
                <w:lang w:eastAsia="ru-RU"/>
              </w:rPr>
              <w:t xml:space="preserve">%</w:t>
            </w:r>
            <w:r>
              <w:rPr>
                <w:sz w:val="20"/>
                <w:szCs w:val="20"/>
                <w:lang w:eastAsia="ru-RU"/>
              </w:rPr>
            </w:r>
            <w:r>
              <w:rPr>
                <w:sz w:val="20"/>
                <w:szCs w:val="20"/>
                <w:lang w:eastAsia="ru-RU"/>
              </w:rPr>
            </w:r>
          </w:p>
        </w:tc>
        <w:tc>
          <w:tcPr>
            <w:shd w:val="clear" w:color="auto" w:fill="auto"/>
            <w:tcW w:w="456" w:type="pct"/>
            <w:vAlign w:val="center"/>
            <w:textDirection w:val="lrTb"/>
            <w:noWrap w:val="false"/>
          </w:tcPr>
          <w:p>
            <w:pPr>
              <w:jc w:val="center"/>
              <w:widowControl/>
              <w:rPr>
                <w:sz w:val="20"/>
                <w:szCs w:val="20"/>
                <w:lang w:eastAsia="ru-RU"/>
              </w:rPr>
            </w:pPr>
            <w:r>
              <w:rPr>
                <w:sz w:val="20"/>
                <w:szCs w:val="20"/>
                <w:lang w:eastAsia="ru-RU"/>
              </w:rPr>
              <w:t xml:space="preserve">100</w:t>
            </w:r>
            <w:r>
              <w:rPr>
                <w:sz w:val="20"/>
                <w:szCs w:val="20"/>
                <w:lang w:eastAsia="ru-RU"/>
              </w:rPr>
            </w:r>
            <w:r>
              <w:rPr>
                <w:sz w:val="20"/>
                <w:szCs w:val="20"/>
                <w:lang w:eastAsia="ru-RU"/>
              </w:rPr>
            </w:r>
          </w:p>
        </w:tc>
        <w:tc>
          <w:tcPr>
            <w:shd w:val="clear" w:color="auto" w:fill="auto"/>
            <w:tcW w:w="688" w:type="pct"/>
            <w:vAlign w:val="center"/>
            <w:textDirection w:val="lrTb"/>
            <w:noWrap w:val="false"/>
          </w:tcPr>
          <w:p>
            <w:pPr>
              <w:jc w:val="center"/>
              <w:widowControl/>
              <w:rPr>
                <w:sz w:val="20"/>
                <w:szCs w:val="20"/>
                <w:lang w:eastAsia="ru-RU"/>
              </w:rPr>
            </w:pPr>
            <w:r>
              <w:rPr>
                <w:sz w:val="20"/>
                <w:szCs w:val="20"/>
                <w:lang w:eastAsia="ru-RU"/>
              </w:rPr>
              <w:t xml:space="preserve">100</w:t>
            </w:r>
            <w:r>
              <w:rPr>
                <w:sz w:val="20"/>
                <w:szCs w:val="20"/>
                <w:lang w:eastAsia="ru-RU"/>
              </w:rPr>
            </w:r>
            <w:r>
              <w:rPr>
                <w:sz w:val="20"/>
                <w:szCs w:val="20"/>
                <w:lang w:eastAsia="ru-RU"/>
              </w:rPr>
            </w:r>
          </w:p>
        </w:tc>
        <w:tc>
          <w:tcPr>
            <w:shd w:val="clear" w:color="auto" w:fill="auto"/>
            <w:tcW w:w="688" w:type="pct"/>
            <w:vAlign w:val="center"/>
            <w:textDirection w:val="lrTb"/>
            <w:noWrap w:val="false"/>
          </w:tcPr>
          <w:p>
            <w:pPr>
              <w:jc w:val="center"/>
              <w:widowControl/>
              <w:rPr>
                <w:sz w:val="20"/>
                <w:szCs w:val="20"/>
                <w:lang w:eastAsia="ru-RU"/>
              </w:rPr>
            </w:pPr>
            <w:r>
              <w:rPr>
                <w:sz w:val="20"/>
                <w:szCs w:val="20"/>
                <w:lang w:eastAsia="ru-RU"/>
              </w:rPr>
              <w:t xml:space="preserve">100</w:t>
            </w:r>
            <w:r>
              <w:rPr>
                <w:sz w:val="20"/>
                <w:szCs w:val="20"/>
                <w:lang w:eastAsia="ru-RU"/>
              </w:rPr>
            </w:r>
            <w:r>
              <w:rPr>
                <w:sz w:val="20"/>
                <w:szCs w:val="20"/>
                <w:lang w:eastAsia="ru-RU"/>
              </w:rPr>
            </w:r>
          </w:p>
        </w:tc>
        <w:tc>
          <w:tcPr>
            <w:shd w:val="clear" w:color="auto" w:fill="auto"/>
            <w:tcW w:w="505" w:type="pct"/>
            <w:vAlign w:val="center"/>
            <w:textDirection w:val="lrTb"/>
            <w:noWrap w:val="false"/>
          </w:tcPr>
          <w:p>
            <w:pPr>
              <w:jc w:val="center"/>
              <w:widowControl/>
              <w:rPr>
                <w:sz w:val="20"/>
                <w:szCs w:val="20"/>
                <w:lang w:eastAsia="ru-RU"/>
              </w:rPr>
            </w:pPr>
            <w:r>
              <w:rPr>
                <w:sz w:val="20"/>
                <w:szCs w:val="20"/>
                <w:lang w:eastAsia="ru-RU"/>
              </w:rPr>
              <w:t xml:space="preserve">100</w:t>
            </w:r>
            <w:r>
              <w:rPr>
                <w:sz w:val="20"/>
                <w:szCs w:val="20"/>
                <w:lang w:eastAsia="ru-RU"/>
              </w:rPr>
            </w:r>
            <w:r>
              <w:rPr>
                <w:sz w:val="20"/>
                <w:szCs w:val="20"/>
                <w:lang w:eastAsia="ru-RU"/>
              </w:rPr>
            </w:r>
          </w:p>
        </w:tc>
      </w:tr>
      <w:tr>
        <w:tblPrEx/>
        <w:trPr/>
        <w:tc>
          <w:tcPr>
            <w:shd w:val="clear" w:color="auto" w:fill="auto"/>
            <w:tcW w:w="232" w:type="pct"/>
            <w:vAlign w:val="center"/>
            <w:textDirection w:val="lrTb"/>
            <w:noWrap w:val="false"/>
          </w:tcPr>
          <w:p>
            <w:pPr>
              <w:jc w:val="center"/>
              <w:widowControl/>
              <w:rPr>
                <w:sz w:val="20"/>
                <w:szCs w:val="20"/>
                <w:lang w:eastAsia="ru-RU"/>
              </w:rPr>
            </w:pPr>
            <w:r>
              <w:rPr>
                <w:sz w:val="20"/>
                <w:szCs w:val="20"/>
                <w:lang w:eastAsia="ru-RU"/>
              </w:rPr>
              <w:t xml:space="preserve">13</w:t>
            </w:r>
            <w:r>
              <w:rPr>
                <w:sz w:val="20"/>
                <w:szCs w:val="20"/>
                <w:lang w:eastAsia="ru-RU"/>
              </w:rPr>
            </w:r>
            <w:r>
              <w:rPr>
                <w:sz w:val="20"/>
                <w:szCs w:val="20"/>
                <w:lang w:eastAsia="ru-RU"/>
              </w:rPr>
            </w:r>
          </w:p>
        </w:tc>
        <w:tc>
          <w:tcPr>
            <w:shd w:val="clear" w:color="auto" w:fill="auto"/>
            <w:tcW w:w="2084" w:type="pct"/>
            <w:textDirection w:val="lrTb"/>
            <w:noWrap w:val="false"/>
          </w:tcPr>
          <w:p>
            <w:pPr>
              <w:widowControl/>
              <w:rPr>
                <w:sz w:val="20"/>
                <w:szCs w:val="20"/>
                <w:lang w:eastAsia="ru-RU"/>
              </w:rPr>
            </w:pPr>
            <w:r>
              <w:rPr>
                <w:sz w:val="20"/>
                <w:szCs w:val="20"/>
                <w:lang w:eastAsia="ru-RU"/>
              </w:rPr>
              <w:t xml:space="preserve">Отношение установленной тепловой мощности оборудования и</w:t>
            </w:r>
            <w:r>
              <w:rPr>
                <w:sz w:val="20"/>
                <w:szCs w:val="20"/>
                <w:lang w:eastAsia="ru-RU"/>
              </w:rPr>
              <w:t xml:space="preserve">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отчётный период и прогноз изменения при реализации проектов, указанных в утверждённой схеме теплоснабжения)</w:t>
            </w:r>
            <w:r>
              <w:rPr>
                <w:sz w:val="20"/>
                <w:szCs w:val="20"/>
                <w:lang w:eastAsia="ru-RU"/>
              </w:rPr>
            </w:r>
            <w:r>
              <w:rPr>
                <w:sz w:val="20"/>
                <w:szCs w:val="20"/>
                <w:lang w:eastAsia="ru-RU"/>
              </w:rPr>
            </w:r>
          </w:p>
        </w:tc>
        <w:tc>
          <w:tcPr>
            <w:shd w:val="clear" w:color="auto" w:fill="auto"/>
            <w:tcW w:w="346" w:type="pct"/>
            <w:vAlign w:val="center"/>
            <w:textDirection w:val="lrTb"/>
            <w:noWrap w:val="false"/>
          </w:tcPr>
          <w:p>
            <w:pPr>
              <w:jc w:val="center"/>
              <w:widowControl/>
              <w:rPr>
                <w:sz w:val="20"/>
                <w:szCs w:val="20"/>
                <w:lang w:eastAsia="ru-RU"/>
              </w:rPr>
            </w:pPr>
            <w:r>
              <w:rPr>
                <w:sz w:val="20"/>
                <w:szCs w:val="20"/>
                <w:lang w:eastAsia="ru-RU"/>
              </w:rPr>
              <w:t xml:space="preserve">%</w:t>
            </w:r>
            <w:r>
              <w:rPr>
                <w:sz w:val="20"/>
                <w:szCs w:val="20"/>
                <w:lang w:eastAsia="ru-RU"/>
              </w:rPr>
            </w:r>
            <w:r>
              <w:rPr>
                <w:sz w:val="20"/>
                <w:szCs w:val="20"/>
                <w:lang w:eastAsia="ru-RU"/>
              </w:rPr>
            </w:r>
          </w:p>
        </w:tc>
        <w:tc>
          <w:tcPr>
            <w:shd w:val="clear" w:color="auto" w:fill="auto"/>
            <w:tcW w:w="456" w:type="pct"/>
            <w:vAlign w:val="center"/>
            <w:textDirection w:val="lrTb"/>
            <w:noWrap w:val="false"/>
          </w:tcPr>
          <w:p>
            <w:pPr>
              <w:jc w:val="center"/>
              <w:widowControl/>
              <w:rPr>
                <w:sz w:val="20"/>
                <w:szCs w:val="20"/>
                <w:lang w:eastAsia="ru-RU"/>
              </w:rPr>
            </w:pPr>
            <w:r>
              <w:rPr>
                <w:sz w:val="20"/>
                <w:szCs w:val="20"/>
                <w:lang w:eastAsia="ru-RU"/>
              </w:rPr>
              <w:t xml:space="preserve">0</w:t>
            </w:r>
            <w:r>
              <w:rPr>
                <w:sz w:val="20"/>
                <w:szCs w:val="20"/>
                <w:lang w:eastAsia="ru-RU"/>
              </w:rPr>
            </w:r>
            <w:r>
              <w:rPr>
                <w:sz w:val="20"/>
                <w:szCs w:val="20"/>
                <w:lang w:eastAsia="ru-RU"/>
              </w:rPr>
            </w:r>
          </w:p>
        </w:tc>
        <w:tc>
          <w:tcPr>
            <w:shd w:val="clear" w:color="auto" w:fill="auto"/>
            <w:tcW w:w="688" w:type="pct"/>
            <w:vAlign w:val="center"/>
            <w:textDirection w:val="lrTb"/>
            <w:noWrap w:val="false"/>
          </w:tcPr>
          <w:p>
            <w:pPr>
              <w:jc w:val="center"/>
              <w:widowControl/>
              <w:rPr>
                <w:sz w:val="20"/>
                <w:szCs w:val="20"/>
                <w:lang w:eastAsia="ru-RU"/>
              </w:rPr>
            </w:pPr>
            <w:r>
              <w:rPr>
                <w:sz w:val="20"/>
                <w:szCs w:val="20"/>
                <w:lang w:eastAsia="ru-RU"/>
              </w:rPr>
              <w:t xml:space="preserve">0</w:t>
            </w:r>
            <w:r>
              <w:rPr>
                <w:sz w:val="20"/>
                <w:szCs w:val="20"/>
                <w:lang w:eastAsia="ru-RU"/>
              </w:rPr>
            </w:r>
            <w:r>
              <w:rPr>
                <w:sz w:val="20"/>
                <w:szCs w:val="20"/>
                <w:lang w:eastAsia="ru-RU"/>
              </w:rPr>
            </w:r>
          </w:p>
        </w:tc>
        <w:tc>
          <w:tcPr>
            <w:shd w:val="clear" w:color="auto" w:fill="auto"/>
            <w:tcW w:w="688" w:type="pct"/>
            <w:vAlign w:val="center"/>
            <w:textDirection w:val="lrTb"/>
            <w:noWrap w:val="false"/>
          </w:tcPr>
          <w:p>
            <w:pPr>
              <w:jc w:val="center"/>
              <w:widowControl/>
              <w:rPr>
                <w:sz w:val="20"/>
                <w:szCs w:val="20"/>
                <w:lang w:eastAsia="ru-RU"/>
              </w:rPr>
            </w:pPr>
            <w:r>
              <w:rPr>
                <w:sz w:val="20"/>
                <w:szCs w:val="20"/>
                <w:lang w:eastAsia="ru-RU"/>
              </w:rPr>
              <w:t xml:space="preserve">0</w:t>
            </w:r>
            <w:r>
              <w:rPr>
                <w:sz w:val="20"/>
                <w:szCs w:val="20"/>
                <w:lang w:eastAsia="ru-RU"/>
              </w:rPr>
            </w:r>
            <w:r>
              <w:rPr>
                <w:sz w:val="20"/>
                <w:szCs w:val="20"/>
                <w:lang w:eastAsia="ru-RU"/>
              </w:rPr>
            </w:r>
          </w:p>
        </w:tc>
        <w:tc>
          <w:tcPr>
            <w:shd w:val="clear" w:color="auto" w:fill="auto"/>
            <w:tcW w:w="505" w:type="pct"/>
            <w:vAlign w:val="center"/>
            <w:textDirection w:val="lrTb"/>
            <w:noWrap w:val="false"/>
          </w:tcPr>
          <w:p>
            <w:pPr>
              <w:jc w:val="center"/>
              <w:widowControl/>
              <w:rPr>
                <w:sz w:val="20"/>
                <w:szCs w:val="20"/>
                <w:lang w:eastAsia="ru-RU"/>
              </w:rPr>
            </w:pPr>
            <w:r>
              <w:rPr>
                <w:sz w:val="20"/>
                <w:szCs w:val="20"/>
                <w:lang w:eastAsia="ru-RU"/>
              </w:rPr>
              <w:t xml:space="preserve">0</w:t>
            </w:r>
            <w:r>
              <w:rPr>
                <w:sz w:val="20"/>
                <w:szCs w:val="20"/>
                <w:lang w:eastAsia="ru-RU"/>
              </w:rPr>
            </w:r>
            <w:r>
              <w:rPr>
                <w:sz w:val="20"/>
                <w:szCs w:val="20"/>
                <w:lang w:eastAsia="ru-RU"/>
              </w:rPr>
            </w:r>
          </w:p>
        </w:tc>
      </w:tr>
    </w:tbl>
    <w:p>
      <w:pPr>
        <w:pStyle w:val="1247"/>
        <w:spacing w:before="8"/>
        <w:rPr>
          <w:b/>
          <w:sz w:val="10"/>
        </w:rPr>
      </w:pPr>
      <w:r>
        <w:rPr>
          <w:b/>
          <w:sz w:val="10"/>
        </w:rPr>
      </w:r>
      <w:r>
        <w:rPr>
          <w:b/>
          <w:sz w:val="10"/>
        </w:rPr>
      </w:r>
      <w:r>
        <w:rPr>
          <w:b/>
          <w:sz w:val="10"/>
        </w:rPr>
      </w:r>
    </w:p>
    <w:p>
      <w:pPr>
        <w:spacing w:line="210" w:lineRule="exact"/>
        <w:rPr>
          <w:sz w:val="20"/>
        </w:rPr>
        <w:sectPr>
          <w:footerReference w:type="default" r:id="rId14"/>
          <w:footnotePr/>
          <w:endnotePr/>
          <w:type w:val="nextPage"/>
          <w:pgSz w:w="16840" w:h="11910" w:orient="landscape"/>
          <w:pgMar w:top="740" w:right="560" w:bottom="1133" w:left="460" w:header="0" w:footer="758" w:gutter="0"/>
          <w:cols w:num="1" w:sep="0" w:space="720" w:equalWidth="1"/>
          <w:docGrid w:linePitch="360"/>
        </w:sectPr>
      </w:pPr>
      <w:r>
        <w:rPr>
          <w:sz w:val="20"/>
        </w:rPr>
      </w:r>
      <w:r>
        <w:rPr>
          <w:sz w:val="20"/>
        </w:rPr>
      </w:r>
      <w:r>
        <w:rPr>
          <w:sz w:val="20"/>
        </w:rPr>
      </w:r>
    </w:p>
    <w:p>
      <w:pPr>
        <w:pStyle w:val="1247"/>
        <w:spacing w:before="6"/>
        <w:rPr>
          <w:sz w:val="16"/>
        </w:rPr>
      </w:pPr>
      <w:r/>
      <w:bookmarkStart w:id="634" w:name="_bookmark323"/>
      <w:r/>
      <w:bookmarkStart w:id="635" w:name="_bookmark327"/>
      <w:r/>
      <w:bookmarkStart w:id="636" w:name="_Toc130232072"/>
      <w:r/>
      <w:bookmarkStart w:id="637" w:name="_Toc165540851"/>
      <w:r/>
      <w:bookmarkEnd w:id="634"/>
      <w:r/>
      <w:bookmarkEnd w:id="635"/>
      <w:r>
        <w:rPr>
          <w:sz w:val="16"/>
        </w:rPr>
      </w:r>
      <w:r>
        <w:rPr>
          <w:sz w:val="16"/>
        </w:rPr>
      </w:r>
    </w:p>
    <w:p>
      <w:pPr>
        <w:pStyle w:val="1248"/>
        <w:ind w:right="108" w:firstLine="733"/>
      </w:pPr>
      <w:r/>
      <w:bookmarkStart w:id="638" w:name="_bookmark326"/>
      <w:r/>
      <w:bookmarkStart w:id="639" w:name="_Toc130232071"/>
      <w:r/>
      <w:bookmarkStart w:id="640" w:name="_Toc165540850"/>
      <w:r/>
      <w:bookmarkStart w:id="641" w:name="_Toc130232070"/>
      <w:r/>
      <w:bookmarkStart w:id="642" w:name="_Toc165540849"/>
      <w:r/>
      <w:bookmarkEnd w:id="638"/>
      <w:r>
        <w:rPr>
          <w:lang w:eastAsia="ru-RU"/>
        </w:rPr>
        <w:t xml:space="preserve">13.4 </w:t>
      </w:r>
      <w:r>
        <w:t xml:space="preserve">Существующие</w:t>
      </w:r>
      <w:r>
        <w:rPr>
          <w:spacing w:val="-2"/>
        </w:rPr>
        <w:t xml:space="preserve"> </w:t>
      </w:r>
      <w:r>
        <w:t xml:space="preserve">и перспективные</w:t>
      </w:r>
      <w:r>
        <w:rPr>
          <w:spacing w:val="-2"/>
        </w:rPr>
        <w:t xml:space="preserve"> </w:t>
      </w:r>
      <w:r>
        <w:t xml:space="preserve">значения</w:t>
      </w:r>
      <w:r>
        <w:rPr>
          <w:spacing w:val="-4"/>
        </w:rPr>
        <w:t xml:space="preserve"> </w:t>
      </w:r>
      <w:r>
        <w:t xml:space="preserve">целевых</w:t>
      </w:r>
      <w:r>
        <w:rPr>
          <w:spacing w:val="-1"/>
        </w:rPr>
        <w:t xml:space="preserve"> </w:t>
      </w:r>
      <w:r>
        <w:t xml:space="preserve">показателей</w:t>
      </w:r>
      <w:r>
        <w:rPr>
          <w:spacing w:val="-3"/>
        </w:rPr>
        <w:t xml:space="preserve"> </w:t>
      </w:r>
      <w:r>
        <w:t xml:space="preserve">реализации схемы теплоснабжения поселения, городского округа, подлежащие достижению каждой единой теплоснабжающей организацией, функционирующей на территории такого поселения, городского округа</w:t>
      </w:r>
      <w:bookmarkEnd w:id="641"/>
      <w:r/>
      <w:bookmarkEnd w:id="642"/>
      <w:r/>
      <w:r/>
    </w:p>
    <w:p>
      <w:pPr>
        <w:pStyle w:val="1247"/>
        <w:ind w:left="118" w:right="115" w:firstLine="707"/>
        <w:jc w:val="both"/>
        <w:spacing w:before="116"/>
        <w:rPr>
          <w:spacing w:val="-2"/>
        </w:rPr>
      </w:pPr>
      <w:r>
        <w:t xml:space="preserve">Муниципальное образование не отнесено к ценовой зоне теплоснабжения. В связи с этим, на основании п.79.1 постановления Правительства РФ № 154, значения показателей не </w:t>
      </w:r>
      <w:r>
        <w:rPr>
          <w:spacing w:val="-2"/>
        </w:rPr>
        <w:t xml:space="preserve">приводятся.</w:t>
      </w:r>
      <w:r>
        <w:rPr>
          <w:spacing w:val="-2"/>
        </w:rPr>
      </w:r>
      <w:r>
        <w:rPr>
          <w:spacing w:val="-2"/>
        </w:rPr>
      </w:r>
    </w:p>
    <w:p>
      <w:pPr>
        <w:pStyle w:val="1247"/>
        <w:ind w:left="118" w:right="115" w:firstLine="707"/>
        <w:jc w:val="both"/>
        <w:spacing w:before="116"/>
      </w:pPr>
      <w:r/>
      <w:r/>
    </w:p>
    <w:p>
      <w:pPr>
        <w:pStyle w:val="1248"/>
        <w:ind w:right="108" w:firstLine="733"/>
      </w:pPr>
      <w:r>
        <w:rPr>
          <w:lang w:eastAsia="ru-RU"/>
        </w:rPr>
        <w:t xml:space="preserve">13.5 </w:t>
      </w:r>
      <w:r>
        <w:t xml:space="preserve">Описание изменений (фактических данных) в оценке значений индикаторов развития систем теплоснабжения поселения, городского округа, города федерального значения, а в ценовых</w:t>
      </w:r>
      <w:r>
        <w:rPr>
          <w:spacing w:val="-2"/>
        </w:rPr>
        <w:t xml:space="preserve"> </w:t>
      </w:r>
      <w:r>
        <w:t xml:space="preserve">зонах</w:t>
      </w:r>
      <w:r>
        <w:rPr>
          <w:spacing w:val="-1"/>
        </w:rPr>
        <w:t xml:space="preserve"> </w:t>
      </w:r>
      <w:r>
        <w:t xml:space="preserve">теплоснабжения также изменений (фактических данных) в </w:t>
      </w:r>
      <w:r>
        <w:rPr>
          <w:spacing w:val="-2"/>
        </w:rPr>
        <w:t xml:space="preserve">достижении ключевых показателей, отражающих результаты внедрения</w:t>
      </w:r>
      <w:r>
        <w:rPr>
          <w:spacing w:val="-4"/>
        </w:rPr>
        <w:t xml:space="preserve"> </w:t>
      </w:r>
      <w:r>
        <w:rPr>
          <w:spacing w:val="-2"/>
        </w:rPr>
        <w:t xml:space="preserve">целевой модели </w:t>
      </w:r>
      <w:r>
        <w:t xml:space="preserve">рынка тепловой энергии, целевых показателей реализации схемы теплоснабжения поселения, городского округа с учётом реализации проектов схемы теплоснабжения</w:t>
      </w:r>
      <w:bookmarkEnd w:id="639"/>
      <w:r/>
      <w:bookmarkEnd w:id="640"/>
      <w:r/>
      <w:r/>
    </w:p>
    <w:p>
      <w:pPr>
        <w:pStyle w:val="1247"/>
        <w:ind w:left="118" w:right="105" w:firstLine="707"/>
        <w:jc w:val="both"/>
        <w:spacing w:before="116"/>
      </w:pPr>
      <w:r>
        <w:t xml:space="preserve">Ранее схема теплоснабжения Юргамышского муниципального округа не была разработана.</w:t>
      </w:r>
      <w:r/>
    </w:p>
    <w:p>
      <w:pPr>
        <w:pStyle w:val="1248"/>
        <w:ind w:left="826"/>
        <w:spacing w:before="71"/>
      </w:pPr>
      <w:r/>
      <w:r/>
    </w:p>
    <w:p>
      <w:pPr>
        <w:pStyle w:val="1248"/>
        <w:ind w:left="826"/>
        <w:spacing w:before="71"/>
      </w:pPr>
      <w:r>
        <w:t xml:space="preserve">Глава</w:t>
      </w:r>
      <w:r>
        <w:rPr>
          <w:spacing w:val="-4"/>
        </w:rPr>
        <w:t xml:space="preserve"> </w:t>
      </w:r>
      <w:r>
        <w:t xml:space="preserve">14</w:t>
      </w:r>
      <w:r>
        <w:rPr>
          <w:spacing w:val="5"/>
        </w:rPr>
        <w:t xml:space="preserve"> </w:t>
      </w:r>
      <w:r>
        <w:t xml:space="preserve">Ценовые</w:t>
      </w:r>
      <w:r>
        <w:rPr>
          <w:spacing w:val="-2"/>
        </w:rPr>
        <w:t xml:space="preserve"> </w:t>
      </w:r>
      <w:r>
        <w:t xml:space="preserve">(тарифные)</w:t>
      </w:r>
      <w:r>
        <w:rPr>
          <w:spacing w:val="-1"/>
        </w:rPr>
        <w:t xml:space="preserve"> </w:t>
      </w:r>
      <w:r>
        <w:rPr>
          <w:spacing w:val="-2"/>
        </w:rPr>
        <w:t xml:space="preserve">последствия</w:t>
      </w:r>
      <w:bookmarkEnd w:id="636"/>
      <w:r/>
      <w:bookmarkEnd w:id="637"/>
      <w:r/>
      <w:r/>
    </w:p>
    <w:p>
      <w:pPr>
        <w:pStyle w:val="1248"/>
        <w:ind w:right="109" w:firstLine="733"/>
        <w:spacing w:before="120"/>
      </w:pPr>
      <w:r/>
      <w:bookmarkStart w:id="643" w:name="_bookmark328"/>
      <w:r/>
      <w:bookmarkStart w:id="644" w:name="_Toc130232073"/>
      <w:r/>
      <w:bookmarkStart w:id="645" w:name="_Toc165540852"/>
      <w:r/>
      <w:bookmarkEnd w:id="643"/>
      <w:r>
        <w:rPr>
          <w:lang w:eastAsia="ru-RU"/>
        </w:rPr>
        <w:t xml:space="preserve">14.1 </w:t>
      </w:r>
      <w:r>
        <w:t xml:space="preserve">Тарифно-балансовые расчётные модели теплоснабжения потребителей по каждой системе теплоснабжения</w:t>
      </w:r>
      <w:bookmarkEnd w:id="644"/>
      <w:r/>
      <w:bookmarkEnd w:id="645"/>
      <w:r/>
      <w:r/>
    </w:p>
    <w:p>
      <w:pPr>
        <w:pStyle w:val="1247"/>
        <w:ind w:left="118" w:right="109" w:firstLine="707"/>
        <w:jc w:val="both"/>
        <w:spacing w:before="116"/>
      </w:pPr>
      <w:r>
        <w:t xml:space="preserve">Тарифно-балансовые расчеты модели теплоснабжения потребителей базируются на принципах полного отражения производственных издержек по существующим системам теплоснабжения.</w:t>
      </w:r>
      <w:r/>
    </w:p>
    <w:p>
      <w:pPr>
        <w:pStyle w:val="1247"/>
        <w:ind w:left="119" w:right="108" w:firstLine="709"/>
        <w:jc w:val="both"/>
      </w:pPr>
      <w:r>
        <w:t xml:space="preserve">Согласно Методическим указаниям по расчету регулируемых тарифов и цен на </w:t>
      </w:r>
      <w:r>
        <w:t xml:space="preserve">электрическую (тепловую) энергию на розничном (потребительском) рынке, утвержденным приказом Федеральной службы по тарифам от 6 августа 2004 года N 20-э/2, тарифы на тепловую энергию, поставляемую потребителям, представляют собой сумму следующих слагаемых:</w:t>
      </w:r>
      <w:r/>
    </w:p>
    <w:p>
      <w:pPr>
        <w:pStyle w:val="1247"/>
        <w:ind w:left="119" w:right="108" w:firstLine="709"/>
        <w:jc w:val="both"/>
      </w:pPr>
      <w:r>
        <w:t xml:space="preserve">1)</w:t>
      </w:r>
      <w:r>
        <w:tab/>
        <w:t xml:space="preserve">средневзвешенная стоимость единицы тепловой энергии (мощности);</w:t>
      </w:r>
      <w:r/>
    </w:p>
    <w:p>
      <w:pPr>
        <w:pStyle w:val="1247"/>
        <w:ind w:left="119" w:right="108" w:firstLine="709"/>
        <w:jc w:val="both"/>
      </w:pPr>
      <w:r>
        <w:t xml:space="preserve">2)</w:t>
      </w:r>
      <w:r>
        <w:tab/>
        <w:t xml:space="preserve">стоимость услуг по передаче единицы тепловой энергии (мощности) и иных услуг, оказание которых является неотъемлемой частью процесса снабжения тепловой энергией потребителей.</w:t>
      </w:r>
      <w:r/>
    </w:p>
    <w:p>
      <w:pPr>
        <w:pStyle w:val="1247"/>
        <w:ind w:left="119" w:right="108" w:firstLine="709"/>
        <w:jc w:val="both"/>
      </w:pPr>
      <w:r>
        <w:t xml:space="preserve">В свою очередь, стоимость единицы тепловой энергии и услуги складывается из: валовой выручки теплоснабжающей организации и понесенных общих затрат (топливо, оплата услуг, ремонт, оплата труда, амортизация).</w:t>
      </w:r>
      <w:r/>
    </w:p>
    <w:p>
      <w:pPr>
        <w:pStyle w:val="1247"/>
        <w:ind w:left="119" w:right="108" w:firstLine="709"/>
        <w:jc w:val="both"/>
      </w:pPr>
      <w:r>
        <w:t xml:space="preserve">Анализ влияния реализации проектов схемы теплоснабжения, предлагаемых к включению в инвестиционную программу теплоснабжающих организаций, выполнен с учётом</w:t>
      </w:r>
      <w:r>
        <w:rPr>
          <w:spacing w:val="-5"/>
        </w:rPr>
        <w:t xml:space="preserve"> </w:t>
      </w:r>
      <w:r>
        <w:t xml:space="preserve">того,</w:t>
      </w:r>
      <w:r>
        <w:rPr>
          <w:spacing w:val="-4"/>
        </w:rPr>
        <w:t xml:space="preserve"> </w:t>
      </w:r>
      <w:r>
        <w:t xml:space="preserve">что</w:t>
      </w:r>
      <w:r>
        <w:rPr>
          <w:spacing w:val="-4"/>
        </w:rPr>
        <w:t xml:space="preserve"> </w:t>
      </w:r>
      <w:r>
        <w:t xml:space="preserve">собственник</w:t>
      </w:r>
      <w:r>
        <w:rPr>
          <w:spacing w:val="-6"/>
        </w:rPr>
        <w:t xml:space="preserve"> </w:t>
      </w:r>
      <w:r>
        <w:t xml:space="preserve">и</w:t>
      </w:r>
      <w:r>
        <w:rPr>
          <w:spacing w:val="-4"/>
        </w:rPr>
        <w:t xml:space="preserve"> </w:t>
      </w:r>
      <w:r>
        <w:t xml:space="preserve">основной</w:t>
      </w:r>
      <w:r>
        <w:rPr>
          <w:spacing w:val="-4"/>
        </w:rPr>
        <w:t xml:space="preserve"> </w:t>
      </w:r>
      <w:r>
        <w:t xml:space="preserve">потребитель</w:t>
      </w:r>
      <w:r>
        <w:rPr>
          <w:spacing w:val="-4"/>
        </w:rPr>
        <w:t xml:space="preserve"> </w:t>
      </w:r>
      <w:r>
        <w:t xml:space="preserve">является</w:t>
      </w:r>
      <w:r>
        <w:rPr>
          <w:spacing w:val="-4"/>
        </w:rPr>
        <w:t xml:space="preserve"> </w:t>
      </w:r>
      <w:r>
        <w:t xml:space="preserve">муниципальным.</w:t>
      </w:r>
      <w:r>
        <w:rPr>
          <w:spacing w:val="-4"/>
        </w:rPr>
        <w:t xml:space="preserve"> </w:t>
      </w:r>
      <w:r>
        <w:t xml:space="preserve">Инвестиции в</w:t>
      </w:r>
      <w:r>
        <w:rPr>
          <w:spacing w:val="-5"/>
        </w:rPr>
        <w:t xml:space="preserve"> </w:t>
      </w:r>
      <w:r>
        <w:t xml:space="preserve">строительство,</w:t>
      </w:r>
      <w:r>
        <w:rPr>
          <w:spacing w:val="-4"/>
        </w:rPr>
        <w:t xml:space="preserve"> </w:t>
      </w:r>
      <w:r>
        <w:t xml:space="preserve">реконструкцию</w:t>
      </w:r>
      <w:r>
        <w:rPr>
          <w:spacing w:val="-4"/>
        </w:rPr>
        <w:t xml:space="preserve"> </w:t>
      </w:r>
      <w:r>
        <w:t xml:space="preserve">и</w:t>
      </w:r>
      <w:r>
        <w:rPr>
          <w:spacing w:val="-4"/>
        </w:rPr>
        <w:t xml:space="preserve"> </w:t>
      </w:r>
      <w:r>
        <w:t xml:space="preserve">перевооружение</w:t>
      </w:r>
      <w:r>
        <w:rPr>
          <w:spacing w:val="-5"/>
        </w:rPr>
        <w:t xml:space="preserve"> </w:t>
      </w:r>
      <w:r>
        <w:t xml:space="preserve">осуществляются</w:t>
      </w:r>
      <w:r>
        <w:rPr>
          <w:spacing w:val="-4"/>
        </w:rPr>
        <w:t xml:space="preserve"> </w:t>
      </w:r>
      <w:r>
        <w:t xml:space="preserve">главным</w:t>
      </w:r>
      <w:r>
        <w:rPr>
          <w:spacing w:val="-6"/>
        </w:rPr>
        <w:t xml:space="preserve"> </w:t>
      </w:r>
      <w:r>
        <w:t xml:space="preserve">образом</w:t>
      </w:r>
      <w:r>
        <w:rPr>
          <w:spacing w:val="-5"/>
        </w:rPr>
        <w:t xml:space="preserve"> </w:t>
      </w:r>
      <w:r>
        <w:t xml:space="preserve">за</w:t>
      </w:r>
      <w:r>
        <w:rPr>
          <w:spacing w:val="-5"/>
        </w:rPr>
        <w:t xml:space="preserve"> </w:t>
      </w:r>
      <w:r>
        <w:t xml:space="preserve">счёт бюджетной составляющей. Тарифные источники финансирования могут быть определены в финансовом плане организации при утверждении инвестиционной программы теплоснабжающей организации.</w:t>
      </w:r>
      <w:r/>
    </w:p>
    <w:p>
      <w:pPr>
        <w:pStyle w:val="1247"/>
        <w:ind w:left="118" w:right="110" w:firstLine="707"/>
        <w:jc w:val="both"/>
        <w:rPr>
          <w:spacing w:val="-2"/>
        </w:rPr>
      </w:pPr>
      <w:r>
        <w:t xml:space="preserve">При этом необходимо отметить, что схема теплоснабжения является предпроектным документом,</w:t>
      </w:r>
      <w:r>
        <w:rPr>
          <w:spacing w:val="-5"/>
        </w:rPr>
        <w:t xml:space="preserve"> </w:t>
      </w:r>
      <w:r>
        <w:t xml:space="preserve">а</w:t>
      </w:r>
      <w:r>
        <w:rPr>
          <w:spacing w:val="-4"/>
        </w:rPr>
        <w:t xml:space="preserve"> </w:t>
      </w:r>
      <w:r>
        <w:t xml:space="preserve">утверждаемый</w:t>
      </w:r>
      <w:r>
        <w:rPr>
          <w:spacing w:val="-5"/>
        </w:rPr>
        <w:t xml:space="preserve"> </w:t>
      </w:r>
      <w:r>
        <w:t xml:space="preserve">тариф</w:t>
      </w:r>
      <w:r>
        <w:rPr>
          <w:spacing w:val="-5"/>
        </w:rPr>
        <w:t xml:space="preserve"> </w:t>
      </w:r>
      <w:r>
        <w:t xml:space="preserve">на</w:t>
      </w:r>
      <w:r>
        <w:rPr>
          <w:spacing w:val="-5"/>
        </w:rPr>
        <w:t xml:space="preserve"> </w:t>
      </w:r>
      <w:r>
        <w:t xml:space="preserve">тепловую</w:t>
      </w:r>
      <w:r>
        <w:rPr>
          <w:spacing w:val="-5"/>
        </w:rPr>
        <w:t xml:space="preserve"> </w:t>
      </w:r>
      <w:r>
        <w:t xml:space="preserve">энергию</w:t>
      </w:r>
      <w:r>
        <w:rPr>
          <w:spacing w:val="-5"/>
        </w:rPr>
        <w:t xml:space="preserve"> </w:t>
      </w:r>
      <w:r>
        <w:t xml:space="preserve">в</w:t>
      </w:r>
      <w:r>
        <w:rPr>
          <w:spacing w:val="-5"/>
        </w:rPr>
        <w:t xml:space="preserve"> </w:t>
      </w:r>
      <w:r>
        <w:t xml:space="preserve">рамках</w:t>
      </w:r>
      <w:r>
        <w:rPr>
          <w:spacing w:val="-3"/>
        </w:rPr>
        <w:t xml:space="preserve"> </w:t>
      </w:r>
      <w:r>
        <w:t xml:space="preserve">регулирования</w:t>
      </w:r>
      <w:r>
        <w:rPr>
          <w:spacing w:val="-5"/>
        </w:rPr>
        <w:t xml:space="preserve"> </w:t>
      </w:r>
      <w:r>
        <w:t xml:space="preserve">зависит</w:t>
      </w:r>
      <w:r>
        <w:rPr>
          <w:spacing w:val="-5"/>
        </w:rPr>
        <w:t xml:space="preserve"> </w:t>
      </w:r>
      <w:r>
        <w:t xml:space="preserve">от установленного предельного индекса изменения размера платы граждан за коммунальные </w:t>
      </w:r>
      <w:r>
        <w:rPr>
          <w:spacing w:val="-2"/>
        </w:rPr>
        <w:t xml:space="preserve">услуги.</w:t>
      </w:r>
      <w:r>
        <w:rPr>
          <w:spacing w:val="-2"/>
        </w:rPr>
      </w:r>
      <w:r>
        <w:rPr>
          <w:spacing w:val="-2"/>
        </w:rPr>
      </w:r>
    </w:p>
    <w:p>
      <w:pPr>
        <w:pStyle w:val="1247"/>
        <w:ind w:left="118" w:right="110" w:firstLine="707"/>
        <w:jc w:val="both"/>
        <w:rPr>
          <w:spacing w:val="-2"/>
        </w:rPr>
      </w:pPr>
      <w:r>
        <w:rPr>
          <w:spacing w:val="-2"/>
        </w:rPr>
        <w:t xml:space="preserve">Прогнозные тарифы для потребителей тепловой энергии приведены в таблице </w:t>
      </w:r>
      <w:r>
        <w:rPr>
          <w:spacing w:val="-2"/>
        </w:rPr>
        <w:t xml:space="preserve">14.1</w:t>
      </w:r>
      <w:r>
        <w:rPr>
          <w:spacing w:val="-2"/>
        </w:rPr>
        <w:t xml:space="preserve">.1</w:t>
      </w:r>
      <w:r>
        <w:rPr>
          <w:spacing w:val="-2"/>
        </w:rPr>
      </w:r>
      <w:r>
        <w:rPr>
          <w:spacing w:val="-2"/>
        </w:rPr>
      </w:r>
    </w:p>
    <w:p>
      <w:pPr>
        <w:rPr>
          <w:spacing w:val="-2"/>
          <w:sz w:val="24"/>
          <w:szCs w:val="24"/>
        </w:rPr>
      </w:pPr>
      <w:r>
        <w:rPr>
          <w:spacing w:val="-2"/>
          <w:sz w:val="24"/>
          <w:szCs w:val="24"/>
        </w:rPr>
      </w:r>
      <w:r>
        <w:rPr>
          <w:spacing w:val="-2"/>
          <w:sz w:val="24"/>
          <w:szCs w:val="24"/>
        </w:rPr>
      </w:r>
      <w:r>
        <w:rPr>
          <w:spacing w:val="-2"/>
          <w:sz w:val="24"/>
          <w:szCs w:val="24"/>
        </w:rPr>
      </w:r>
    </w:p>
    <w:p>
      <w:pPr>
        <w:rPr>
          <w:spacing w:val="-2"/>
          <w:sz w:val="24"/>
          <w:szCs w:val="24"/>
        </w:rPr>
      </w:pPr>
      <w:r>
        <w:rPr>
          <w:spacing w:val="-2"/>
        </w:rPr>
        <w:br w:type="page" w:clear="all"/>
      </w:r>
      <w:r>
        <w:rPr>
          <w:spacing w:val="-2"/>
          <w:sz w:val="24"/>
          <w:szCs w:val="24"/>
        </w:rPr>
      </w:r>
      <w:r>
        <w:rPr>
          <w:spacing w:val="-2"/>
          <w:sz w:val="24"/>
          <w:szCs w:val="24"/>
        </w:rPr>
      </w:r>
    </w:p>
    <w:p>
      <w:pPr>
        <w:pStyle w:val="1247"/>
        <w:ind w:left="118" w:right="110" w:firstLine="707"/>
        <w:jc w:val="right"/>
        <w:rPr>
          <w:spacing w:val="-2"/>
        </w:rPr>
      </w:pPr>
      <w:r>
        <w:rPr>
          <w:spacing w:val="-2"/>
        </w:rPr>
        <w:t xml:space="preserve">Таблица </w:t>
      </w:r>
      <w:r>
        <w:rPr>
          <w:spacing w:val="-2"/>
        </w:rPr>
        <w:t xml:space="preserve">14.1</w:t>
      </w:r>
      <w:r>
        <w:rPr>
          <w:spacing w:val="-2"/>
        </w:rPr>
        <w:t xml:space="preserve">.1</w:t>
      </w:r>
      <w:r>
        <w:rPr>
          <w:spacing w:val="-2"/>
        </w:rPr>
      </w:r>
      <w:r>
        <w:rPr>
          <w:spacing w:val="-2"/>
        </w:rPr>
      </w:r>
    </w:p>
    <w:tbl>
      <w:tblPr>
        <w:tblW w:w="4916" w:type="pct"/>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000" w:firstRow="0" w:lastRow="0" w:firstColumn="0" w:lastColumn="0" w:noHBand="0" w:noVBand="0"/>
      </w:tblPr>
      <w:tblGrid>
        <w:gridCol w:w="3254"/>
        <w:gridCol w:w="1299"/>
        <w:gridCol w:w="809"/>
        <w:gridCol w:w="866"/>
        <w:gridCol w:w="866"/>
        <w:gridCol w:w="867"/>
        <w:gridCol w:w="867"/>
        <w:gridCol w:w="866"/>
      </w:tblGrid>
      <w:tr>
        <w:tblPrEx/>
        <w:trPr>
          <w:trHeight w:val="20"/>
        </w:trPr>
        <w:tc>
          <w:tcPr>
            <w:tcBorders>
              <w:top w:val="single" w:color="auto" w:sz="4" w:space="0"/>
              <w:left w:val="single" w:color="auto" w:sz="4" w:space="0"/>
              <w:bottom w:val="single" w:color="auto" w:sz="4" w:space="0"/>
              <w:right w:val="single" w:color="auto" w:sz="4" w:space="0"/>
            </w:tcBorders>
            <w:tcW w:w="1679" w:type="pct"/>
            <w:vAlign w:val="center"/>
            <w:textDirection w:val="lrTb"/>
            <w:noWrap w:val="false"/>
          </w:tcPr>
          <w:p>
            <w:pPr>
              <w:jc w:val="center"/>
              <w:rPr>
                <w:sz w:val="20"/>
                <w:szCs w:val="20"/>
              </w:rPr>
            </w:pPr>
            <w:r/>
            <w:bookmarkStart w:id="646" w:name="_Toc165540853"/>
            <w:r>
              <w:rPr>
                <w:sz w:val="20"/>
                <w:szCs w:val="20"/>
              </w:rPr>
              <w:t xml:space="preserve">Организация</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670" w:type="pct"/>
            <w:vAlign w:val="center"/>
            <w:textDirection w:val="lrTb"/>
            <w:noWrap w:val="false"/>
          </w:tcPr>
          <w:p>
            <w:pPr>
              <w:pStyle w:val="1305"/>
              <w:ind w:left="-81" w:right="-88"/>
              <w:jc w:val="center"/>
              <w:rPr>
                <w:color w:val="auto"/>
                <w:sz w:val="20"/>
                <w:szCs w:val="20"/>
              </w:rPr>
            </w:pPr>
            <w:r>
              <w:rPr>
                <w:color w:val="auto"/>
                <w:sz w:val="20"/>
                <w:szCs w:val="20"/>
              </w:rPr>
              <w:t xml:space="preserve">Категория потребителей</w:t>
            </w:r>
            <w:r>
              <w:rPr>
                <w:color w:val="auto"/>
                <w:sz w:val="20"/>
                <w:szCs w:val="20"/>
              </w:rPr>
            </w:r>
            <w:r>
              <w:rPr>
                <w:color w:val="auto"/>
                <w:sz w:val="20"/>
                <w:szCs w:val="20"/>
              </w:rPr>
            </w:r>
          </w:p>
        </w:tc>
        <w:tc>
          <w:tcPr>
            <w:tcBorders>
              <w:top w:val="single" w:color="auto" w:sz="4" w:space="0"/>
              <w:left w:val="single" w:color="auto" w:sz="4" w:space="0"/>
              <w:bottom w:val="single" w:color="auto" w:sz="4" w:space="0"/>
              <w:right w:val="single" w:color="auto" w:sz="4" w:space="0"/>
            </w:tcBorders>
            <w:tcW w:w="417" w:type="pct"/>
            <w:vAlign w:val="center"/>
            <w:textDirection w:val="lrTb"/>
            <w:noWrap w:val="false"/>
          </w:tcPr>
          <w:p>
            <w:pPr>
              <w:pStyle w:val="1305"/>
              <w:ind w:left="-57"/>
              <w:jc w:val="center"/>
              <w:rPr>
                <w:color w:val="auto"/>
                <w:sz w:val="20"/>
                <w:szCs w:val="20"/>
              </w:rPr>
            </w:pPr>
            <w:r>
              <w:rPr>
                <w:color w:val="auto"/>
                <w:sz w:val="20"/>
                <w:szCs w:val="20"/>
              </w:rPr>
              <w:t xml:space="preserve">2024</w:t>
            </w:r>
            <w:r>
              <w:rPr>
                <w:color w:val="auto"/>
                <w:sz w:val="20"/>
                <w:szCs w:val="20"/>
              </w:rPr>
            </w:r>
            <w:r>
              <w:rPr>
                <w:color w:val="auto"/>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jc w:val="center"/>
              <w:rPr>
                <w:sz w:val="20"/>
                <w:szCs w:val="20"/>
              </w:rPr>
            </w:pPr>
            <w:r>
              <w:rPr>
                <w:sz w:val="20"/>
                <w:szCs w:val="20"/>
              </w:rPr>
              <w:t xml:space="preserve">2025</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jc w:val="center"/>
              <w:rPr>
                <w:sz w:val="20"/>
                <w:szCs w:val="20"/>
              </w:rPr>
            </w:pPr>
            <w:r>
              <w:rPr>
                <w:sz w:val="20"/>
                <w:szCs w:val="20"/>
              </w:rPr>
              <w:t xml:space="preserve">2026</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jc w:val="center"/>
              <w:rPr>
                <w:sz w:val="20"/>
                <w:szCs w:val="20"/>
              </w:rPr>
            </w:pPr>
            <w:r>
              <w:rPr>
                <w:sz w:val="20"/>
                <w:szCs w:val="20"/>
              </w:rPr>
              <w:t xml:space="preserve">2027</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jc w:val="center"/>
              <w:rPr>
                <w:sz w:val="20"/>
                <w:szCs w:val="20"/>
              </w:rPr>
            </w:pPr>
            <w:r>
              <w:rPr>
                <w:sz w:val="20"/>
                <w:szCs w:val="20"/>
              </w:rPr>
              <w:t xml:space="preserve">2028</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jc w:val="center"/>
              <w:rPr>
                <w:sz w:val="20"/>
                <w:szCs w:val="20"/>
              </w:rPr>
            </w:pPr>
            <w:r>
              <w:rPr>
                <w:sz w:val="20"/>
                <w:szCs w:val="20"/>
              </w:rPr>
              <w:t xml:space="preserve">2029-2039</w:t>
            </w:r>
            <w:r>
              <w:rPr>
                <w:sz w:val="20"/>
                <w:szCs w:val="20"/>
              </w:rPr>
            </w:r>
            <w:r>
              <w:rPr>
                <w:sz w:val="20"/>
                <w:szCs w:val="20"/>
              </w:rPr>
            </w:r>
          </w:p>
        </w:tc>
      </w:tr>
      <w:tr>
        <w:tblPrEx/>
        <w:trPr>
          <w:trHeight w:val="369"/>
        </w:trPr>
        <w:tc>
          <w:tcPr>
            <w:tcBorders>
              <w:top w:val="single" w:color="auto" w:sz="4" w:space="0"/>
              <w:left w:val="single" w:color="auto" w:sz="4" w:space="0"/>
              <w:right w:val="single" w:color="auto" w:sz="4" w:space="0"/>
            </w:tcBorders>
            <w:tcW w:w="1679" w:type="pct"/>
            <w:vAlign w:val="center"/>
            <w:vMerge w:val="restart"/>
            <w:textDirection w:val="lrTb"/>
            <w:noWrap w:val="false"/>
          </w:tcPr>
          <w:p>
            <w:pPr>
              <w:rPr>
                <w:sz w:val="20"/>
                <w:szCs w:val="20"/>
              </w:rPr>
            </w:pPr>
            <w:r>
              <w:rPr>
                <w:sz w:val="20"/>
                <w:szCs w:val="20"/>
                <w:lang w:eastAsia="ru-RU"/>
              </w:rPr>
              <w:t xml:space="preserve">Общество с ограниченной ответственностью "Новомировское домоуправление"</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670" w:type="pct"/>
            <w:vAlign w:val="center"/>
            <w:textDirection w:val="lrTb"/>
            <w:noWrap w:val="false"/>
          </w:tcPr>
          <w:p>
            <w:pPr>
              <w:pStyle w:val="1305"/>
              <w:ind w:left="-81" w:right="-88"/>
              <w:jc w:val="center"/>
              <w:rPr>
                <w:color w:val="auto"/>
                <w:sz w:val="20"/>
                <w:szCs w:val="20"/>
              </w:rPr>
            </w:pPr>
            <w:r>
              <w:rPr>
                <w:color w:val="auto"/>
                <w:sz w:val="20"/>
                <w:szCs w:val="20"/>
              </w:rPr>
              <w:t xml:space="preserve">Прочие </w:t>
            </w:r>
            <w:r>
              <w:rPr>
                <w:color w:val="auto"/>
                <w:sz w:val="20"/>
                <w:szCs w:val="20"/>
              </w:rPr>
            </w:r>
            <w:r>
              <w:rPr>
                <w:color w:val="auto"/>
                <w:sz w:val="20"/>
                <w:szCs w:val="20"/>
              </w:rPr>
            </w:r>
          </w:p>
        </w:tc>
        <w:tc>
          <w:tcPr>
            <w:tcBorders>
              <w:top w:val="single" w:color="auto" w:sz="4" w:space="0"/>
              <w:left w:val="single" w:color="auto" w:sz="4" w:space="0"/>
              <w:bottom w:val="single" w:color="auto" w:sz="4" w:space="0"/>
              <w:right w:val="single" w:color="auto" w:sz="4" w:space="0"/>
            </w:tcBorders>
            <w:tcW w:w="417" w:type="pct"/>
            <w:vAlign w:val="center"/>
            <w:textDirection w:val="lrTb"/>
            <w:noWrap w:val="false"/>
          </w:tcPr>
          <w:p>
            <w:pPr>
              <w:pStyle w:val="1305"/>
              <w:ind w:left="-57"/>
              <w:jc w:val="center"/>
              <w:rPr>
                <w:color w:val="auto"/>
                <w:sz w:val="20"/>
                <w:szCs w:val="20"/>
              </w:rPr>
            </w:pPr>
            <w:r>
              <w:rPr>
                <w:color w:val="auto"/>
                <w:sz w:val="20"/>
                <w:szCs w:val="20"/>
              </w:rPr>
              <w:t xml:space="preserve">3772,38</w:t>
            </w:r>
            <w:r>
              <w:rPr>
                <w:color w:val="auto"/>
                <w:sz w:val="20"/>
                <w:szCs w:val="20"/>
              </w:rPr>
            </w:r>
            <w:r>
              <w:rPr>
                <w:color w:val="auto"/>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pStyle w:val="1305"/>
              <w:ind w:left="-57"/>
              <w:jc w:val="center"/>
              <w:rPr>
                <w:color w:val="auto"/>
                <w:sz w:val="20"/>
                <w:szCs w:val="20"/>
              </w:rPr>
            </w:pPr>
            <w:r>
              <w:rPr>
                <w:color w:val="auto"/>
                <w:sz w:val="20"/>
                <w:szCs w:val="20"/>
              </w:rPr>
              <w:t xml:space="preserve">5543,45</w:t>
            </w:r>
            <w:r>
              <w:rPr>
                <w:color w:val="auto"/>
                <w:sz w:val="20"/>
                <w:szCs w:val="20"/>
              </w:rPr>
            </w:r>
            <w:r>
              <w:rPr>
                <w:color w:val="auto"/>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pStyle w:val="1305"/>
              <w:ind w:left="-57"/>
              <w:jc w:val="center"/>
              <w:rPr>
                <w:color w:val="auto"/>
                <w:sz w:val="20"/>
                <w:szCs w:val="20"/>
              </w:rPr>
            </w:pPr>
            <w:r>
              <w:rPr>
                <w:color w:val="auto"/>
                <w:sz w:val="20"/>
                <w:szCs w:val="20"/>
              </w:rPr>
              <w:t xml:space="preserve">4636,15</w:t>
            </w:r>
            <w:r>
              <w:rPr>
                <w:color w:val="auto"/>
                <w:sz w:val="20"/>
                <w:szCs w:val="20"/>
              </w:rPr>
            </w:r>
            <w:r>
              <w:rPr>
                <w:color w:val="auto"/>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jc w:val="center"/>
              <w:rPr>
                <w:sz w:val="20"/>
                <w:szCs w:val="20"/>
              </w:rPr>
            </w:pPr>
            <w:r>
              <w:rPr>
                <w:sz w:val="20"/>
                <w:szCs w:val="20"/>
              </w:rPr>
              <w:t xml:space="preserve">4657,87</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jc w:val="center"/>
              <w:rPr>
                <w:sz w:val="20"/>
                <w:szCs w:val="20"/>
              </w:rPr>
            </w:pPr>
            <w:r>
              <w:rPr>
                <w:sz w:val="20"/>
                <w:szCs w:val="20"/>
              </w:rPr>
              <w:t xml:space="preserve">4631,48</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jc w:val="center"/>
              <w:rPr>
                <w:sz w:val="20"/>
                <w:szCs w:val="20"/>
              </w:rPr>
            </w:pPr>
            <w:r>
              <w:rPr>
                <w:sz w:val="20"/>
                <w:szCs w:val="20"/>
              </w:rPr>
              <w:t xml:space="preserve">6834,03</w:t>
            </w:r>
            <w:r>
              <w:rPr>
                <w:sz w:val="20"/>
                <w:szCs w:val="20"/>
              </w:rPr>
            </w:r>
            <w:r>
              <w:rPr>
                <w:sz w:val="20"/>
                <w:szCs w:val="20"/>
              </w:rPr>
            </w:r>
          </w:p>
        </w:tc>
      </w:tr>
      <w:tr>
        <w:tblPrEx/>
        <w:trPr>
          <w:trHeight w:val="20"/>
        </w:trPr>
        <w:tc>
          <w:tcPr>
            <w:tcBorders>
              <w:left w:val="single" w:color="auto" w:sz="4" w:space="0"/>
              <w:bottom w:val="single" w:color="auto" w:sz="4" w:space="0"/>
              <w:right w:val="single" w:color="auto" w:sz="4" w:space="0"/>
            </w:tcBorders>
            <w:tcW w:w="1679" w:type="pct"/>
            <w:vAlign w:val="center"/>
            <w:vMerge w:val="continue"/>
            <w:textDirection w:val="lrTb"/>
            <w:noWrap w:val="false"/>
          </w:tcPr>
          <w:p>
            <w:pPr>
              <w:rPr>
                <w:sz w:val="20"/>
                <w:szCs w:val="20"/>
                <w:lang w:eastAsia="ru-RU"/>
              </w:rPr>
            </w:pPr>
            <w:r>
              <w:rPr>
                <w:sz w:val="20"/>
                <w:szCs w:val="20"/>
                <w:lang w:eastAsia="ru-RU"/>
              </w:rPr>
            </w:r>
            <w:r>
              <w:rPr>
                <w:sz w:val="20"/>
                <w:szCs w:val="20"/>
                <w:lang w:eastAsia="ru-RU"/>
              </w:rPr>
            </w:r>
            <w:r>
              <w:rPr>
                <w:sz w:val="20"/>
                <w:szCs w:val="20"/>
                <w:lang w:eastAsia="ru-RU"/>
              </w:rPr>
            </w:r>
          </w:p>
        </w:tc>
        <w:tc>
          <w:tcPr>
            <w:tcBorders>
              <w:top w:val="single" w:color="auto" w:sz="4" w:space="0"/>
              <w:left w:val="single" w:color="auto" w:sz="4" w:space="0"/>
              <w:bottom w:val="single" w:color="auto" w:sz="4" w:space="0"/>
              <w:right w:val="single" w:color="auto" w:sz="4" w:space="0"/>
            </w:tcBorders>
            <w:tcW w:w="670" w:type="pct"/>
            <w:vAlign w:val="center"/>
            <w:textDirection w:val="lrTb"/>
            <w:noWrap w:val="false"/>
          </w:tcPr>
          <w:p>
            <w:pPr>
              <w:pStyle w:val="1305"/>
              <w:ind w:left="-81" w:right="-88"/>
              <w:jc w:val="center"/>
              <w:rPr>
                <w:color w:val="auto"/>
                <w:sz w:val="20"/>
                <w:szCs w:val="20"/>
              </w:rPr>
            </w:pPr>
            <w:r>
              <w:rPr>
                <w:color w:val="auto"/>
                <w:sz w:val="20"/>
                <w:szCs w:val="20"/>
              </w:rPr>
              <w:t xml:space="preserve">Население </w:t>
            </w:r>
            <w:r>
              <w:rPr>
                <w:color w:val="auto"/>
                <w:sz w:val="20"/>
                <w:szCs w:val="20"/>
              </w:rPr>
            </w:r>
            <w:r>
              <w:rPr>
                <w:color w:val="auto"/>
                <w:sz w:val="20"/>
                <w:szCs w:val="20"/>
              </w:rPr>
            </w:r>
          </w:p>
        </w:tc>
        <w:tc>
          <w:tcPr>
            <w:tcBorders>
              <w:top w:val="single" w:color="auto" w:sz="4" w:space="0"/>
              <w:left w:val="single" w:color="auto" w:sz="4" w:space="0"/>
              <w:bottom w:val="single" w:color="auto" w:sz="4" w:space="0"/>
              <w:right w:val="single" w:color="auto" w:sz="4" w:space="0"/>
            </w:tcBorders>
            <w:tcW w:w="417" w:type="pct"/>
            <w:vAlign w:val="center"/>
            <w:textDirection w:val="lrTb"/>
            <w:noWrap w:val="false"/>
          </w:tcPr>
          <w:p>
            <w:pPr>
              <w:pStyle w:val="1305"/>
              <w:ind w:left="-57"/>
              <w:jc w:val="center"/>
              <w:rPr>
                <w:color w:val="auto"/>
                <w:sz w:val="20"/>
                <w:szCs w:val="20"/>
              </w:rPr>
            </w:pPr>
            <w:r>
              <w:rPr>
                <w:color w:val="auto"/>
                <w:sz w:val="20"/>
                <w:szCs w:val="20"/>
              </w:rPr>
              <w:t xml:space="preserve">3772,38</w:t>
            </w:r>
            <w:r>
              <w:rPr>
                <w:color w:val="auto"/>
                <w:sz w:val="20"/>
                <w:szCs w:val="20"/>
              </w:rPr>
            </w:r>
            <w:r>
              <w:rPr>
                <w:color w:val="auto"/>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pStyle w:val="1305"/>
              <w:ind w:left="-57"/>
              <w:jc w:val="center"/>
              <w:rPr>
                <w:color w:val="auto"/>
                <w:sz w:val="20"/>
                <w:szCs w:val="20"/>
              </w:rPr>
            </w:pPr>
            <w:r>
              <w:rPr>
                <w:color w:val="auto"/>
                <w:sz w:val="20"/>
                <w:szCs w:val="20"/>
              </w:rPr>
              <w:t xml:space="preserve">5543,45</w:t>
            </w:r>
            <w:r>
              <w:rPr>
                <w:color w:val="auto"/>
                <w:sz w:val="20"/>
                <w:szCs w:val="20"/>
              </w:rPr>
            </w:r>
            <w:r>
              <w:rPr>
                <w:color w:val="auto"/>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pStyle w:val="1305"/>
              <w:ind w:left="-57"/>
              <w:jc w:val="center"/>
              <w:rPr>
                <w:color w:val="auto"/>
                <w:sz w:val="20"/>
                <w:szCs w:val="20"/>
              </w:rPr>
            </w:pPr>
            <w:r>
              <w:rPr>
                <w:color w:val="auto"/>
                <w:sz w:val="20"/>
                <w:szCs w:val="20"/>
              </w:rPr>
              <w:t xml:space="preserve">4636,15</w:t>
            </w:r>
            <w:r>
              <w:rPr>
                <w:color w:val="auto"/>
                <w:sz w:val="20"/>
                <w:szCs w:val="20"/>
              </w:rPr>
            </w:r>
            <w:r>
              <w:rPr>
                <w:color w:val="auto"/>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jc w:val="center"/>
              <w:rPr>
                <w:sz w:val="20"/>
                <w:szCs w:val="20"/>
              </w:rPr>
            </w:pPr>
            <w:r>
              <w:rPr>
                <w:sz w:val="20"/>
                <w:szCs w:val="20"/>
              </w:rPr>
              <w:t xml:space="preserve">4657,87</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jc w:val="center"/>
              <w:rPr>
                <w:sz w:val="20"/>
                <w:szCs w:val="20"/>
              </w:rPr>
            </w:pPr>
            <w:r>
              <w:rPr>
                <w:sz w:val="20"/>
                <w:szCs w:val="20"/>
              </w:rPr>
              <w:t xml:space="preserve">4631,48</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jc w:val="center"/>
              <w:rPr>
                <w:sz w:val="20"/>
                <w:szCs w:val="20"/>
              </w:rPr>
            </w:pPr>
            <w:r>
              <w:rPr>
                <w:sz w:val="20"/>
                <w:szCs w:val="20"/>
              </w:rPr>
              <w:t xml:space="preserve">6834,03</w:t>
            </w:r>
            <w:r>
              <w:rPr>
                <w:sz w:val="20"/>
                <w:szCs w:val="20"/>
              </w:rPr>
            </w:r>
            <w:r>
              <w:rPr>
                <w:sz w:val="20"/>
                <w:szCs w:val="20"/>
              </w:rPr>
            </w:r>
          </w:p>
        </w:tc>
      </w:tr>
      <w:tr>
        <w:tblPrEx/>
        <w:trPr>
          <w:trHeight w:val="865"/>
        </w:trPr>
        <w:tc>
          <w:tcPr>
            <w:tcBorders>
              <w:top w:val="single" w:color="auto" w:sz="4" w:space="0"/>
              <w:left w:val="single" w:color="auto" w:sz="4" w:space="0"/>
              <w:right w:val="single" w:color="auto" w:sz="4" w:space="0"/>
            </w:tcBorders>
            <w:tcW w:w="1679" w:type="pct"/>
            <w:vAlign w:val="center"/>
            <w:vMerge w:val="restart"/>
            <w:textDirection w:val="lrTb"/>
            <w:noWrap w:val="false"/>
          </w:tcPr>
          <w:p>
            <w:pPr>
              <w:rPr>
                <w:sz w:val="20"/>
                <w:szCs w:val="20"/>
              </w:rPr>
            </w:pPr>
            <w:r>
              <w:rPr>
                <w:sz w:val="20"/>
                <w:szCs w:val="20"/>
                <w:lang w:eastAsia="ru-RU"/>
              </w:rPr>
              <w:t xml:space="preserve">Открытое акционерное общество «Российские железные дороги» (филиал Центральная дирекция по тепловодоснабжению, структурное подразделение Южно-Уральская дирекция по тепловодоснабжению (Курганинский территориальный участок)</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670" w:type="pct"/>
            <w:vAlign w:val="center"/>
            <w:textDirection w:val="lrTb"/>
            <w:noWrap w:val="false"/>
          </w:tcPr>
          <w:p>
            <w:pPr>
              <w:pStyle w:val="1305"/>
              <w:ind w:left="-81" w:right="-88"/>
              <w:jc w:val="center"/>
              <w:rPr>
                <w:color w:val="auto"/>
                <w:sz w:val="20"/>
                <w:szCs w:val="20"/>
              </w:rPr>
            </w:pPr>
            <w:r>
              <w:rPr>
                <w:color w:val="auto"/>
                <w:sz w:val="20"/>
                <w:szCs w:val="20"/>
              </w:rPr>
              <w:t xml:space="preserve">Прочие </w:t>
            </w:r>
            <w:r>
              <w:rPr>
                <w:color w:val="auto"/>
                <w:sz w:val="20"/>
                <w:szCs w:val="20"/>
              </w:rPr>
            </w:r>
            <w:r>
              <w:rPr>
                <w:color w:val="auto"/>
                <w:sz w:val="20"/>
                <w:szCs w:val="20"/>
              </w:rPr>
            </w:r>
          </w:p>
        </w:tc>
        <w:tc>
          <w:tcPr>
            <w:tcBorders>
              <w:top w:val="single" w:color="auto" w:sz="4" w:space="0"/>
              <w:left w:val="single" w:color="auto" w:sz="4" w:space="0"/>
              <w:bottom w:val="single" w:color="auto" w:sz="4" w:space="0"/>
              <w:right w:val="single" w:color="auto" w:sz="4" w:space="0"/>
            </w:tcBorders>
            <w:tcW w:w="417" w:type="pct"/>
            <w:vAlign w:val="center"/>
            <w:textDirection w:val="lrTb"/>
            <w:noWrap w:val="false"/>
          </w:tcPr>
          <w:p>
            <w:pPr>
              <w:pStyle w:val="1305"/>
              <w:ind w:left="-57"/>
              <w:jc w:val="center"/>
              <w:rPr>
                <w:color w:val="auto"/>
                <w:sz w:val="20"/>
                <w:szCs w:val="20"/>
              </w:rPr>
            </w:pPr>
            <w:r>
              <w:rPr>
                <w:color w:val="auto"/>
                <w:sz w:val="20"/>
                <w:szCs w:val="20"/>
              </w:rPr>
              <w:t xml:space="preserve">3902,96</w:t>
            </w:r>
            <w:r>
              <w:rPr>
                <w:color w:val="auto"/>
                <w:sz w:val="20"/>
                <w:szCs w:val="20"/>
              </w:rPr>
            </w:r>
            <w:r>
              <w:rPr>
                <w:color w:val="auto"/>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pStyle w:val="1305"/>
              <w:ind w:left="-57"/>
              <w:jc w:val="center"/>
              <w:rPr>
                <w:color w:val="auto"/>
                <w:sz w:val="20"/>
                <w:szCs w:val="20"/>
              </w:rPr>
            </w:pPr>
            <w:r>
              <w:rPr>
                <w:color w:val="auto"/>
                <w:sz w:val="20"/>
                <w:szCs w:val="20"/>
              </w:rPr>
              <w:t xml:space="preserve">4734,58</w:t>
            </w:r>
            <w:r>
              <w:rPr>
                <w:color w:val="auto"/>
                <w:sz w:val="20"/>
                <w:szCs w:val="20"/>
              </w:rPr>
            </w:r>
            <w:r>
              <w:rPr>
                <w:color w:val="auto"/>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pStyle w:val="1305"/>
              <w:ind w:left="-57"/>
              <w:jc w:val="center"/>
              <w:rPr>
                <w:color w:val="auto"/>
                <w:sz w:val="20"/>
                <w:szCs w:val="20"/>
              </w:rPr>
            </w:pPr>
            <w:r>
              <w:rPr>
                <w:color w:val="auto"/>
                <w:sz w:val="20"/>
                <w:szCs w:val="20"/>
              </w:rPr>
              <w:t xml:space="preserve">5028,89</w:t>
            </w:r>
            <w:r>
              <w:rPr>
                <w:color w:val="auto"/>
                <w:sz w:val="20"/>
                <w:szCs w:val="20"/>
              </w:rPr>
            </w:r>
            <w:r>
              <w:rPr>
                <w:color w:val="auto"/>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jc w:val="center"/>
              <w:rPr>
                <w:sz w:val="20"/>
                <w:szCs w:val="20"/>
              </w:rPr>
            </w:pPr>
            <w:r>
              <w:rPr>
                <w:sz w:val="20"/>
                <w:szCs w:val="20"/>
              </w:rPr>
              <w:t xml:space="preserve">5021,82</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jc w:val="center"/>
              <w:rPr>
                <w:sz w:val="20"/>
                <w:szCs w:val="20"/>
              </w:rPr>
            </w:pPr>
            <w:r>
              <w:rPr>
                <w:sz w:val="20"/>
                <w:szCs w:val="20"/>
              </w:rPr>
              <w:t xml:space="preserve">5334,08</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jc w:val="center"/>
              <w:rPr>
                <w:sz w:val="20"/>
                <w:szCs w:val="20"/>
              </w:rPr>
            </w:pPr>
            <w:r>
              <w:rPr>
                <w:sz w:val="20"/>
                <w:szCs w:val="20"/>
              </w:rPr>
              <w:t xml:space="preserve">7870,76</w:t>
            </w:r>
            <w:r>
              <w:rPr>
                <w:sz w:val="20"/>
                <w:szCs w:val="20"/>
              </w:rPr>
            </w:r>
            <w:r>
              <w:rPr>
                <w:sz w:val="20"/>
                <w:szCs w:val="20"/>
              </w:rPr>
            </w:r>
          </w:p>
        </w:tc>
      </w:tr>
      <w:tr>
        <w:tblPrEx/>
        <w:trPr>
          <w:trHeight w:val="20"/>
        </w:trPr>
        <w:tc>
          <w:tcPr>
            <w:tcBorders>
              <w:left w:val="single" w:color="auto" w:sz="4" w:space="0"/>
              <w:bottom w:val="single" w:color="auto" w:sz="4" w:space="0"/>
              <w:right w:val="single" w:color="auto" w:sz="4" w:space="0"/>
            </w:tcBorders>
            <w:tcW w:w="1679" w:type="pct"/>
            <w:vAlign w:val="center"/>
            <w:vMerge w:val="continue"/>
            <w:textDirection w:val="lrTb"/>
            <w:noWrap w:val="false"/>
          </w:tcPr>
          <w:p>
            <w:pPr>
              <w:rPr>
                <w:sz w:val="20"/>
                <w:szCs w:val="20"/>
              </w:rPr>
            </w:pPr>
            <w:r>
              <w:rPr>
                <w:sz w:val="20"/>
                <w:szCs w:val="20"/>
              </w:rPr>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670" w:type="pct"/>
            <w:vAlign w:val="center"/>
            <w:textDirection w:val="lrTb"/>
            <w:noWrap w:val="false"/>
          </w:tcPr>
          <w:p>
            <w:pPr>
              <w:pStyle w:val="1305"/>
              <w:ind w:left="-81" w:right="-88"/>
              <w:jc w:val="center"/>
              <w:rPr>
                <w:color w:val="auto"/>
                <w:sz w:val="20"/>
                <w:szCs w:val="20"/>
              </w:rPr>
            </w:pPr>
            <w:r>
              <w:rPr>
                <w:color w:val="auto"/>
                <w:sz w:val="20"/>
                <w:szCs w:val="20"/>
              </w:rPr>
              <w:t xml:space="preserve">Население </w:t>
            </w:r>
            <w:r>
              <w:rPr>
                <w:color w:val="auto"/>
                <w:sz w:val="20"/>
                <w:szCs w:val="20"/>
              </w:rPr>
            </w:r>
            <w:r>
              <w:rPr>
                <w:color w:val="auto"/>
                <w:sz w:val="20"/>
                <w:szCs w:val="20"/>
              </w:rPr>
            </w:r>
          </w:p>
        </w:tc>
        <w:tc>
          <w:tcPr>
            <w:tcBorders>
              <w:top w:val="single" w:color="auto" w:sz="4" w:space="0"/>
              <w:left w:val="single" w:color="auto" w:sz="4" w:space="0"/>
              <w:bottom w:val="single" w:color="auto" w:sz="4" w:space="0"/>
              <w:right w:val="single" w:color="auto" w:sz="4" w:space="0"/>
            </w:tcBorders>
            <w:tcW w:w="417" w:type="pct"/>
            <w:vAlign w:val="center"/>
            <w:textDirection w:val="lrTb"/>
            <w:noWrap w:val="false"/>
          </w:tcPr>
          <w:p>
            <w:pPr>
              <w:pStyle w:val="1305"/>
              <w:ind w:left="-57"/>
              <w:jc w:val="center"/>
              <w:rPr>
                <w:color w:val="auto"/>
                <w:sz w:val="20"/>
                <w:szCs w:val="20"/>
              </w:rPr>
            </w:pPr>
            <w:r>
              <w:rPr>
                <w:color w:val="auto"/>
                <w:sz w:val="20"/>
                <w:szCs w:val="20"/>
              </w:rPr>
              <w:t xml:space="preserve">4683,55</w:t>
            </w:r>
            <w:r>
              <w:rPr>
                <w:color w:val="auto"/>
                <w:sz w:val="20"/>
                <w:szCs w:val="20"/>
              </w:rPr>
            </w:r>
            <w:r>
              <w:rPr>
                <w:color w:val="auto"/>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pStyle w:val="1305"/>
              <w:ind w:left="-57"/>
              <w:jc w:val="center"/>
              <w:rPr>
                <w:color w:val="auto"/>
                <w:sz w:val="20"/>
                <w:szCs w:val="20"/>
              </w:rPr>
            </w:pPr>
            <w:r>
              <w:rPr>
                <w:color w:val="auto"/>
                <w:sz w:val="20"/>
                <w:szCs w:val="20"/>
              </w:rPr>
              <w:t xml:space="preserve">5681,50</w:t>
            </w:r>
            <w:r>
              <w:rPr>
                <w:color w:val="auto"/>
                <w:sz w:val="20"/>
                <w:szCs w:val="20"/>
              </w:rPr>
            </w:r>
            <w:r>
              <w:rPr>
                <w:color w:val="auto"/>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pStyle w:val="1305"/>
              <w:ind w:left="-57"/>
              <w:jc w:val="center"/>
              <w:rPr>
                <w:color w:val="auto"/>
                <w:sz w:val="20"/>
                <w:szCs w:val="20"/>
              </w:rPr>
            </w:pPr>
            <w:r>
              <w:rPr>
                <w:color w:val="auto"/>
                <w:sz w:val="20"/>
                <w:szCs w:val="20"/>
              </w:rPr>
              <w:t xml:space="preserve">6034,57</w:t>
            </w:r>
            <w:r>
              <w:rPr>
                <w:color w:val="auto"/>
                <w:sz w:val="20"/>
                <w:szCs w:val="20"/>
              </w:rPr>
            </w:r>
            <w:r>
              <w:rPr>
                <w:color w:val="auto"/>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jc w:val="center"/>
              <w:rPr>
                <w:sz w:val="20"/>
                <w:szCs w:val="20"/>
              </w:rPr>
            </w:pPr>
            <w:r>
              <w:rPr>
                <w:sz w:val="20"/>
                <w:szCs w:val="20"/>
              </w:rPr>
              <w:t xml:space="preserve">6026,18</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jc w:val="center"/>
              <w:rPr>
                <w:sz w:val="20"/>
                <w:szCs w:val="20"/>
              </w:rPr>
            </w:pPr>
            <w:r>
              <w:rPr>
                <w:sz w:val="20"/>
                <w:szCs w:val="20"/>
              </w:rPr>
              <w:t xml:space="preserve">6400,82</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jc w:val="center"/>
              <w:rPr>
                <w:sz w:val="20"/>
                <w:szCs w:val="20"/>
              </w:rPr>
            </w:pPr>
            <w:r>
              <w:rPr>
                <w:sz w:val="20"/>
                <w:szCs w:val="20"/>
              </w:rPr>
              <w:t xml:space="preserve">9444,80</w:t>
            </w:r>
            <w:r>
              <w:rPr>
                <w:sz w:val="20"/>
                <w:szCs w:val="20"/>
              </w:rPr>
            </w:r>
            <w:r>
              <w:rPr>
                <w:sz w:val="20"/>
                <w:szCs w:val="20"/>
              </w:rPr>
            </w:r>
          </w:p>
        </w:tc>
      </w:tr>
      <w:tr>
        <w:tblPrEx/>
        <w:trPr>
          <w:trHeight w:val="423"/>
        </w:trPr>
        <w:tc>
          <w:tcPr>
            <w:tcBorders>
              <w:top w:val="single" w:color="auto" w:sz="4" w:space="0"/>
              <w:left w:val="single" w:color="auto" w:sz="4" w:space="0"/>
              <w:right w:val="single" w:color="auto" w:sz="4" w:space="0"/>
            </w:tcBorders>
            <w:tcW w:w="1679" w:type="pct"/>
            <w:vAlign w:val="center"/>
            <w:vMerge w:val="restart"/>
            <w:textDirection w:val="lrTb"/>
            <w:noWrap w:val="false"/>
          </w:tcPr>
          <w:p>
            <w:pPr>
              <w:rPr>
                <w:sz w:val="20"/>
                <w:szCs w:val="20"/>
              </w:rPr>
            </w:pPr>
            <w:r>
              <w:rPr>
                <w:sz w:val="20"/>
                <w:szCs w:val="20"/>
                <w:lang w:eastAsia="ru-RU"/>
              </w:rPr>
              <w:t xml:space="preserve">Исправительная колония N 7 Управления Федеральной службы исполнения наказаний по Курганской области</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670" w:type="pct"/>
            <w:vAlign w:val="center"/>
            <w:textDirection w:val="lrTb"/>
            <w:noWrap w:val="false"/>
          </w:tcPr>
          <w:p>
            <w:pPr>
              <w:pStyle w:val="1305"/>
              <w:ind w:left="-81" w:right="-88"/>
              <w:jc w:val="center"/>
              <w:rPr>
                <w:color w:val="auto"/>
                <w:sz w:val="20"/>
                <w:szCs w:val="20"/>
              </w:rPr>
            </w:pPr>
            <w:r>
              <w:rPr>
                <w:color w:val="auto"/>
                <w:sz w:val="20"/>
                <w:szCs w:val="20"/>
              </w:rPr>
              <w:t xml:space="preserve">Прочие </w:t>
            </w:r>
            <w:r>
              <w:rPr>
                <w:color w:val="auto"/>
                <w:sz w:val="20"/>
                <w:szCs w:val="20"/>
              </w:rPr>
            </w:r>
            <w:r>
              <w:rPr>
                <w:color w:val="auto"/>
                <w:sz w:val="20"/>
                <w:szCs w:val="20"/>
              </w:rPr>
            </w:r>
          </w:p>
        </w:tc>
        <w:tc>
          <w:tcPr>
            <w:tcBorders>
              <w:top w:val="single" w:color="auto" w:sz="4" w:space="0"/>
              <w:left w:val="single" w:color="auto" w:sz="4" w:space="0"/>
              <w:bottom w:val="single" w:color="auto" w:sz="4" w:space="0"/>
              <w:right w:val="single" w:color="auto" w:sz="4" w:space="0"/>
            </w:tcBorders>
            <w:tcW w:w="417" w:type="pct"/>
            <w:vAlign w:val="center"/>
            <w:textDirection w:val="lrTb"/>
            <w:noWrap w:val="false"/>
          </w:tcPr>
          <w:p>
            <w:pPr>
              <w:pStyle w:val="1305"/>
              <w:ind w:left="-57"/>
              <w:jc w:val="center"/>
              <w:rPr>
                <w:color w:val="auto"/>
                <w:sz w:val="20"/>
                <w:szCs w:val="20"/>
              </w:rPr>
            </w:pPr>
            <w:r>
              <w:rPr>
                <w:color w:val="auto"/>
                <w:sz w:val="20"/>
                <w:szCs w:val="20"/>
              </w:rPr>
              <w:t xml:space="preserve">2619,89</w:t>
            </w:r>
            <w:r>
              <w:rPr>
                <w:color w:val="auto"/>
                <w:sz w:val="20"/>
                <w:szCs w:val="20"/>
              </w:rPr>
            </w:r>
            <w:r>
              <w:rPr>
                <w:color w:val="auto"/>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pStyle w:val="1305"/>
              <w:ind w:left="-57"/>
              <w:jc w:val="center"/>
              <w:rPr>
                <w:color w:val="auto"/>
                <w:sz w:val="20"/>
                <w:szCs w:val="20"/>
              </w:rPr>
            </w:pPr>
            <w:r>
              <w:rPr>
                <w:color w:val="auto"/>
                <w:sz w:val="20"/>
                <w:szCs w:val="20"/>
              </w:rPr>
              <w:t xml:space="preserve">2598,67</w:t>
            </w:r>
            <w:r>
              <w:rPr>
                <w:color w:val="auto"/>
                <w:sz w:val="20"/>
                <w:szCs w:val="20"/>
              </w:rPr>
            </w:r>
            <w:r>
              <w:rPr>
                <w:color w:val="auto"/>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pStyle w:val="1305"/>
              <w:ind w:left="-57"/>
              <w:jc w:val="center"/>
              <w:rPr>
                <w:color w:val="auto"/>
                <w:sz w:val="20"/>
                <w:szCs w:val="20"/>
              </w:rPr>
            </w:pPr>
            <w:r>
              <w:rPr>
                <w:color w:val="auto"/>
                <w:sz w:val="20"/>
                <w:szCs w:val="20"/>
              </w:rPr>
              <w:t xml:space="preserve">2760,05</w:t>
            </w:r>
            <w:r>
              <w:rPr>
                <w:color w:val="auto"/>
                <w:sz w:val="20"/>
                <w:szCs w:val="20"/>
              </w:rPr>
            </w:r>
            <w:r>
              <w:rPr>
                <w:color w:val="auto"/>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jc w:val="center"/>
              <w:rPr>
                <w:sz w:val="20"/>
                <w:szCs w:val="20"/>
              </w:rPr>
            </w:pPr>
            <w:r>
              <w:rPr>
                <w:sz w:val="20"/>
                <w:szCs w:val="20"/>
              </w:rPr>
              <w:t xml:space="preserve">2765,42</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jc w:val="center"/>
              <w:rPr>
                <w:sz w:val="20"/>
                <w:szCs w:val="20"/>
              </w:rPr>
            </w:pPr>
            <w:r>
              <w:rPr>
                <w:sz w:val="20"/>
                <w:szCs w:val="20"/>
              </w:rPr>
              <w:t xml:space="preserve">2932,34</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jc w:val="center"/>
              <w:rPr>
                <w:sz w:val="20"/>
                <w:szCs w:val="20"/>
              </w:rPr>
            </w:pPr>
            <w:r>
              <w:rPr>
                <w:sz w:val="20"/>
                <w:szCs w:val="20"/>
              </w:rPr>
              <w:t xml:space="preserve">4326,85</w:t>
            </w:r>
            <w:r>
              <w:rPr>
                <w:sz w:val="20"/>
                <w:szCs w:val="20"/>
              </w:rPr>
            </w:r>
            <w:r>
              <w:rPr>
                <w:sz w:val="20"/>
                <w:szCs w:val="20"/>
              </w:rPr>
            </w:r>
          </w:p>
        </w:tc>
      </w:tr>
      <w:tr>
        <w:tblPrEx/>
        <w:trPr>
          <w:trHeight w:val="20"/>
        </w:trPr>
        <w:tc>
          <w:tcPr>
            <w:tcBorders>
              <w:left w:val="single" w:color="auto" w:sz="4" w:space="0"/>
              <w:bottom w:val="single" w:color="auto" w:sz="4" w:space="0"/>
              <w:right w:val="single" w:color="auto" w:sz="4" w:space="0"/>
            </w:tcBorders>
            <w:tcW w:w="1679" w:type="pct"/>
            <w:vAlign w:val="center"/>
            <w:vMerge w:val="continue"/>
            <w:textDirection w:val="lrTb"/>
            <w:noWrap w:val="false"/>
          </w:tcPr>
          <w:p>
            <w:pPr>
              <w:rPr>
                <w:sz w:val="20"/>
                <w:szCs w:val="20"/>
              </w:rPr>
            </w:pPr>
            <w:r>
              <w:rPr>
                <w:sz w:val="20"/>
                <w:szCs w:val="20"/>
              </w:rPr>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670" w:type="pct"/>
            <w:vAlign w:val="center"/>
            <w:textDirection w:val="lrTb"/>
            <w:noWrap w:val="false"/>
          </w:tcPr>
          <w:p>
            <w:pPr>
              <w:pStyle w:val="1305"/>
              <w:ind w:left="-81" w:right="-88"/>
              <w:jc w:val="center"/>
              <w:rPr>
                <w:color w:val="auto"/>
                <w:sz w:val="20"/>
                <w:szCs w:val="20"/>
              </w:rPr>
            </w:pPr>
            <w:r>
              <w:rPr>
                <w:color w:val="auto"/>
                <w:sz w:val="20"/>
                <w:szCs w:val="20"/>
              </w:rPr>
              <w:t xml:space="preserve">Население </w:t>
            </w:r>
            <w:r>
              <w:rPr>
                <w:color w:val="auto"/>
                <w:sz w:val="20"/>
                <w:szCs w:val="20"/>
              </w:rPr>
            </w:r>
            <w:r>
              <w:rPr>
                <w:color w:val="auto"/>
                <w:sz w:val="20"/>
                <w:szCs w:val="20"/>
              </w:rPr>
            </w:r>
          </w:p>
        </w:tc>
        <w:tc>
          <w:tcPr>
            <w:tcBorders>
              <w:top w:val="single" w:color="auto" w:sz="4" w:space="0"/>
              <w:left w:val="single" w:color="auto" w:sz="4" w:space="0"/>
              <w:bottom w:val="single" w:color="auto" w:sz="4" w:space="0"/>
              <w:right w:val="single" w:color="auto" w:sz="4" w:space="0"/>
            </w:tcBorders>
            <w:tcW w:w="417" w:type="pct"/>
            <w:vAlign w:val="center"/>
            <w:textDirection w:val="lrTb"/>
            <w:noWrap w:val="false"/>
          </w:tcPr>
          <w:p>
            <w:pPr>
              <w:pStyle w:val="1305"/>
              <w:ind w:left="-57"/>
              <w:jc w:val="center"/>
              <w:rPr>
                <w:color w:val="auto"/>
                <w:sz w:val="20"/>
                <w:szCs w:val="20"/>
              </w:rPr>
            </w:pPr>
            <w:r>
              <w:rPr>
                <w:color w:val="auto"/>
                <w:sz w:val="20"/>
                <w:szCs w:val="20"/>
              </w:rPr>
              <w:t xml:space="preserve">2619,89</w:t>
            </w:r>
            <w:r>
              <w:rPr>
                <w:color w:val="auto"/>
                <w:sz w:val="20"/>
                <w:szCs w:val="20"/>
              </w:rPr>
            </w:r>
            <w:r>
              <w:rPr>
                <w:color w:val="auto"/>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pStyle w:val="1305"/>
              <w:ind w:left="-57"/>
              <w:jc w:val="center"/>
              <w:rPr>
                <w:color w:val="auto"/>
                <w:sz w:val="20"/>
                <w:szCs w:val="20"/>
              </w:rPr>
            </w:pPr>
            <w:r>
              <w:rPr>
                <w:color w:val="auto"/>
                <w:sz w:val="20"/>
                <w:szCs w:val="20"/>
              </w:rPr>
              <w:t xml:space="preserve">2598,67</w:t>
            </w:r>
            <w:r>
              <w:rPr>
                <w:color w:val="auto"/>
                <w:sz w:val="20"/>
                <w:szCs w:val="20"/>
              </w:rPr>
            </w:r>
            <w:r>
              <w:rPr>
                <w:color w:val="auto"/>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pStyle w:val="1305"/>
              <w:ind w:left="-57"/>
              <w:jc w:val="center"/>
              <w:rPr>
                <w:color w:val="auto"/>
                <w:sz w:val="20"/>
                <w:szCs w:val="20"/>
              </w:rPr>
            </w:pPr>
            <w:r>
              <w:rPr>
                <w:color w:val="auto"/>
                <w:sz w:val="20"/>
                <w:szCs w:val="20"/>
              </w:rPr>
              <w:t xml:space="preserve">2760,05</w:t>
            </w:r>
            <w:r>
              <w:rPr>
                <w:color w:val="auto"/>
                <w:sz w:val="20"/>
                <w:szCs w:val="20"/>
              </w:rPr>
            </w:r>
            <w:r>
              <w:rPr>
                <w:color w:val="auto"/>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jc w:val="center"/>
              <w:rPr>
                <w:sz w:val="20"/>
                <w:szCs w:val="20"/>
              </w:rPr>
            </w:pPr>
            <w:r>
              <w:rPr>
                <w:sz w:val="20"/>
                <w:szCs w:val="20"/>
              </w:rPr>
              <w:t xml:space="preserve">2765,42</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jc w:val="center"/>
              <w:rPr>
                <w:sz w:val="20"/>
                <w:szCs w:val="20"/>
              </w:rPr>
            </w:pPr>
            <w:r>
              <w:rPr>
                <w:sz w:val="20"/>
                <w:szCs w:val="20"/>
              </w:rPr>
              <w:t xml:space="preserve">2932,34</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jc w:val="center"/>
              <w:rPr>
                <w:sz w:val="20"/>
                <w:szCs w:val="20"/>
              </w:rPr>
            </w:pPr>
            <w:r>
              <w:rPr>
                <w:sz w:val="20"/>
                <w:szCs w:val="20"/>
              </w:rPr>
              <w:t xml:space="preserve">4326,85</w:t>
            </w:r>
            <w:r>
              <w:rPr>
                <w:sz w:val="20"/>
                <w:szCs w:val="20"/>
              </w:rPr>
            </w:r>
            <w:r>
              <w:rPr>
                <w:sz w:val="20"/>
                <w:szCs w:val="20"/>
              </w:rPr>
            </w:r>
          </w:p>
        </w:tc>
      </w:tr>
      <w:tr>
        <w:tblPrEx/>
        <w:trPr>
          <w:trHeight w:val="352"/>
        </w:trPr>
        <w:tc>
          <w:tcPr>
            <w:tcBorders>
              <w:top w:val="single" w:color="auto" w:sz="4" w:space="0"/>
              <w:left w:val="single" w:color="auto" w:sz="4" w:space="0"/>
              <w:right w:val="single" w:color="auto" w:sz="4" w:space="0"/>
            </w:tcBorders>
            <w:tcW w:w="1679" w:type="pct"/>
            <w:vAlign w:val="center"/>
            <w:vMerge w:val="restart"/>
            <w:textDirection w:val="lrTb"/>
            <w:noWrap w:val="false"/>
          </w:tcPr>
          <w:p>
            <w:pPr>
              <w:rPr>
                <w:sz w:val="20"/>
                <w:szCs w:val="20"/>
              </w:rPr>
            </w:pPr>
            <w:r>
              <w:rPr>
                <w:sz w:val="20"/>
                <w:szCs w:val="20"/>
                <w:lang w:eastAsia="ru-RU"/>
              </w:rPr>
              <w:t xml:space="preserve">Общество с ограниченной ответственностью "Юргамышская теплоэнергетическая компания"</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670" w:type="pct"/>
            <w:vAlign w:val="center"/>
            <w:textDirection w:val="lrTb"/>
            <w:noWrap w:val="false"/>
          </w:tcPr>
          <w:p>
            <w:pPr>
              <w:pStyle w:val="1305"/>
              <w:ind w:left="-81" w:right="-88"/>
              <w:jc w:val="center"/>
              <w:rPr>
                <w:color w:val="auto"/>
                <w:sz w:val="20"/>
                <w:szCs w:val="20"/>
              </w:rPr>
            </w:pPr>
            <w:r>
              <w:rPr>
                <w:color w:val="auto"/>
                <w:sz w:val="20"/>
                <w:szCs w:val="20"/>
              </w:rPr>
              <w:t xml:space="preserve">Прочие </w:t>
            </w:r>
            <w:r>
              <w:rPr>
                <w:color w:val="auto"/>
                <w:sz w:val="20"/>
                <w:szCs w:val="20"/>
              </w:rPr>
            </w:r>
            <w:r>
              <w:rPr>
                <w:color w:val="auto"/>
                <w:sz w:val="20"/>
                <w:szCs w:val="20"/>
              </w:rPr>
            </w:r>
          </w:p>
        </w:tc>
        <w:tc>
          <w:tcPr>
            <w:tcBorders>
              <w:top w:val="single" w:color="auto" w:sz="4" w:space="0"/>
              <w:left w:val="single" w:color="auto" w:sz="4" w:space="0"/>
              <w:bottom w:val="single" w:color="auto" w:sz="4" w:space="0"/>
              <w:right w:val="single" w:color="auto" w:sz="4" w:space="0"/>
            </w:tcBorders>
            <w:tcW w:w="417" w:type="pct"/>
            <w:vAlign w:val="center"/>
            <w:textDirection w:val="lrTb"/>
            <w:noWrap w:val="false"/>
          </w:tcPr>
          <w:p>
            <w:pPr>
              <w:pStyle w:val="1305"/>
              <w:ind w:left="-57"/>
              <w:jc w:val="center"/>
              <w:rPr>
                <w:color w:val="auto"/>
                <w:sz w:val="20"/>
                <w:szCs w:val="20"/>
              </w:rPr>
            </w:pPr>
            <w:r>
              <w:rPr>
                <w:color w:val="auto"/>
                <w:sz w:val="20"/>
                <w:szCs w:val="20"/>
              </w:rPr>
              <w:t xml:space="preserve">2702,03</w:t>
            </w:r>
            <w:r>
              <w:rPr>
                <w:color w:val="auto"/>
                <w:sz w:val="20"/>
                <w:szCs w:val="20"/>
              </w:rPr>
            </w:r>
            <w:r>
              <w:rPr>
                <w:color w:val="auto"/>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rPr>
                <w:sz w:val="20"/>
                <w:szCs w:val="20"/>
              </w:rPr>
            </w:pPr>
            <w:r>
              <w:rPr>
                <w:sz w:val="20"/>
                <w:szCs w:val="20"/>
              </w:rPr>
              <w:t xml:space="preserve">2828,54</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rPr>
                <w:sz w:val="20"/>
                <w:szCs w:val="20"/>
              </w:rPr>
            </w:pPr>
            <w:r>
              <w:rPr>
                <w:sz w:val="20"/>
                <w:szCs w:val="20"/>
              </w:rPr>
              <w:t xml:space="preserve">2960,97</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rPr>
                <w:sz w:val="20"/>
                <w:szCs w:val="20"/>
              </w:rPr>
            </w:pPr>
            <w:r>
              <w:rPr>
                <w:sz w:val="20"/>
                <w:szCs w:val="20"/>
              </w:rPr>
              <w:t xml:space="preserve">3099,60</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rPr>
                <w:sz w:val="20"/>
                <w:szCs w:val="20"/>
              </w:rPr>
            </w:pPr>
            <w:r>
              <w:rPr>
                <w:sz w:val="20"/>
                <w:szCs w:val="20"/>
              </w:rPr>
              <w:t xml:space="preserve">3244,73</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rPr>
                <w:sz w:val="20"/>
                <w:szCs w:val="20"/>
              </w:rPr>
            </w:pPr>
            <w:r>
              <w:rPr>
                <w:sz w:val="20"/>
                <w:szCs w:val="20"/>
              </w:rPr>
              <w:t xml:space="preserve">4787,79</w:t>
            </w:r>
            <w:r>
              <w:rPr>
                <w:sz w:val="20"/>
                <w:szCs w:val="20"/>
              </w:rPr>
            </w:r>
            <w:r>
              <w:rPr>
                <w:sz w:val="20"/>
                <w:szCs w:val="20"/>
              </w:rPr>
            </w:r>
          </w:p>
        </w:tc>
      </w:tr>
      <w:tr>
        <w:tblPrEx/>
        <w:trPr>
          <w:trHeight w:val="20"/>
        </w:trPr>
        <w:tc>
          <w:tcPr>
            <w:tcBorders>
              <w:left w:val="single" w:color="auto" w:sz="4" w:space="0"/>
              <w:bottom w:val="single" w:color="auto" w:sz="4" w:space="0"/>
              <w:right w:val="single" w:color="auto" w:sz="4" w:space="0"/>
            </w:tcBorders>
            <w:tcW w:w="1679" w:type="pct"/>
            <w:vAlign w:val="center"/>
            <w:vMerge w:val="continue"/>
            <w:textDirection w:val="lrTb"/>
            <w:noWrap w:val="false"/>
          </w:tcPr>
          <w:p>
            <w:pPr>
              <w:rPr>
                <w:sz w:val="20"/>
                <w:szCs w:val="20"/>
              </w:rPr>
            </w:pPr>
            <w:r>
              <w:rPr>
                <w:sz w:val="20"/>
                <w:szCs w:val="20"/>
              </w:rPr>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670" w:type="pct"/>
            <w:vAlign w:val="center"/>
            <w:textDirection w:val="lrTb"/>
            <w:noWrap w:val="false"/>
          </w:tcPr>
          <w:p>
            <w:pPr>
              <w:pStyle w:val="1305"/>
              <w:ind w:left="-81" w:right="-88"/>
              <w:jc w:val="center"/>
              <w:rPr>
                <w:color w:val="auto"/>
                <w:sz w:val="20"/>
                <w:szCs w:val="20"/>
              </w:rPr>
            </w:pPr>
            <w:r>
              <w:rPr>
                <w:color w:val="auto"/>
                <w:sz w:val="20"/>
                <w:szCs w:val="20"/>
              </w:rPr>
              <w:t xml:space="preserve">Население </w:t>
            </w:r>
            <w:r>
              <w:rPr>
                <w:color w:val="auto"/>
                <w:sz w:val="20"/>
                <w:szCs w:val="20"/>
              </w:rPr>
            </w:r>
            <w:r>
              <w:rPr>
                <w:color w:val="auto"/>
                <w:sz w:val="20"/>
                <w:szCs w:val="20"/>
              </w:rPr>
            </w:r>
          </w:p>
        </w:tc>
        <w:tc>
          <w:tcPr>
            <w:tcBorders>
              <w:top w:val="single" w:color="auto" w:sz="4" w:space="0"/>
              <w:left w:val="single" w:color="auto" w:sz="4" w:space="0"/>
              <w:bottom w:val="single" w:color="auto" w:sz="4" w:space="0"/>
              <w:right w:val="single" w:color="auto" w:sz="4" w:space="0"/>
            </w:tcBorders>
            <w:tcW w:w="417" w:type="pct"/>
            <w:vAlign w:val="center"/>
            <w:textDirection w:val="lrTb"/>
            <w:noWrap w:val="false"/>
          </w:tcPr>
          <w:p>
            <w:pPr>
              <w:pStyle w:val="1305"/>
              <w:ind w:left="-57"/>
              <w:jc w:val="center"/>
              <w:rPr>
                <w:color w:val="auto"/>
                <w:sz w:val="20"/>
                <w:szCs w:val="20"/>
              </w:rPr>
            </w:pPr>
            <w:r>
              <w:rPr>
                <w:color w:val="auto"/>
                <w:sz w:val="20"/>
                <w:szCs w:val="20"/>
              </w:rPr>
              <w:t xml:space="preserve">2702,03</w:t>
            </w:r>
            <w:r>
              <w:rPr>
                <w:color w:val="auto"/>
                <w:sz w:val="20"/>
                <w:szCs w:val="20"/>
              </w:rPr>
            </w:r>
            <w:r>
              <w:rPr>
                <w:color w:val="auto"/>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rPr>
                <w:sz w:val="20"/>
                <w:szCs w:val="20"/>
              </w:rPr>
            </w:pPr>
            <w:r>
              <w:rPr>
                <w:sz w:val="20"/>
                <w:szCs w:val="20"/>
              </w:rPr>
              <w:t xml:space="preserve">2828,54</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rPr>
                <w:sz w:val="20"/>
                <w:szCs w:val="20"/>
              </w:rPr>
            </w:pPr>
            <w:r>
              <w:rPr>
                <w:sz w:val="20"/>
                <w:szCs w:val="20"/>
              </w:rPr>
              <w:t xml:space="preserve">2960,97</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rPr>
                <w:sz w:val="20"/>
                <w:szCs w:val="20"/>
              </w:rPr>
            </w:pPr>
            <w:r>
              <w:rPr>
                <w:sz w:val="20"/>
                <w:szCs w:val="20"/>
              </w:rPr>
              <w:t xml:space="preserve">3099,60</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rPr>
                <w:sz w:val="20"/>
                <w:szCs w:val="20"/>
              </w:rPr>
            </w:pPr>
            <w:r>
              <w:rPr>
                <w:sz w:val="20"/>
                <w:szCs w:val="20"/>
              </w:rPr>
              <w:t xml:space="preserve">3244,73</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rPr>
                <w:sz w:val="20"/>
                <w:szCs w:val="20"/>
              </w:rPr>
            </w:pPr>
            <w:r>
              <w:rPr>
                <w:sz w:val="20"/>
                <w:szCs w:val="20"/>
              </w:rPr>
              <w:t xml:space="preserve">4787,79</w:t>
            </w:r>
            <w:r>
              <w:rPr>
                <w:sz w:val="20"/>
                <w:szCs w:val="20"/>
              </w:rPr>
            </w:r>
            <w:r>
              <w:rPr>
                <w:sz w:val="20"/>
                <w:szCs w:val="20"/>
              </w:rPr>
            </w:r>
          </w:p>
        </w:tc>
      </w:tr>
      <w:tr>
        <w:tblPrEx/>
        <w:trPr>
          <w:trHeight w:val="20"/>
        </w:trPr>
        <w:tc>
          <w:tcPr>
            <w:tcBorders>
              <w:top w:val="single" w:color="auto" w:sz="4" w:space="0"/>
              <w:left w:val="single" w:color="auto" w:sz="4" w:space="0"/>
              <w:bottom w:val="single" w:color="auto" w:sz="4" w:space="0"/>
              <w:right w:val="single" w:color="auto" w:sz="4" w:space="0"/>
            </w:tcBorders>
            <w:tcW w:w="1679" w:type="pct"/>
            <w:vAlign w:val="center"/>
            <w:textDirection w:val="lrTb"/>
            <w:noWrap w:val="false"/>
          </w:tcPr>
          <w:p>
            <w:pPr>
              <w:rPr>
                <w:sz w:val="20"/>
                <w:szCs w:val="20"/>
              </w:rPr>
            </w:pPr>
            <w:r>
              <w:rPr>
                <w:sz w:val="20"/>
                <w:szCs w:val="20"/>
              </w:rPr>
              <w:t xml:space="preserve">Общество с ограниченной ответственностью "ЖКХ Юго-Запад"</w:t>
            </w:r>
            <w:r>
              <w:rPr>
                <w:sz w:val="20"/>
                <w:szCs w:val="20"/>
              </w:rPr>
            </w:r>
            <w:r>
              <w:rPr>
                <w:sz w:val="20"/>
                <w:szCs w:val="20"/>
              </w:rPr>
            </w:r>
          </w:p>
          <w:p>
            <w:pPr>
              <w:rPr>
                <w:sz w:val="20"/>
                <w:szCs w:val="20"/>
              </w:rPr>
            </w:pPr>
            <w:r>
              <w:rPr>
                <w:sz w:val="20"/>
                <w:szCs w:val="20"/>
              </w:rPr>
              <w:t xml:space="preserve">(с. Кислянское)</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670" w:type="pct"/>
            <w:vAlign w:val="center"/>
            <w:textDirection w:val="lrTb"/>
            <w:noWrap w:val="false"/>
          </w:tcPr>
          <w:p>
            <w:pPr>
              <w:pStyle w:val="1305"/>
              <w:ind w:left="-81" w:right="-88"/>
              <w:jc w:val="center"/>
              <w:rPr>
                <w:color w:val="auto"/>
                <w:sz w:val="20"/>
                <w:szCs w:val="20"/>
              </w:rPr>
            </w:pPr>
            <w:r>
              <w:rPr>
                <w:color w:val="auto"/>
                <w:sz w:val="20"/>
                <w:szCs w:val="20"/>
              </w:rPr>
              <w:t xml:space="preserve">Прочие </w:t>
            </w:r>
            <w:r>
              <w:rPr>
                <w:color w:val="auto"/>
                <w:sz w:val="20"/>
                <w:szCs w:val="20"/>
              </w:rPr>
            </w:r>
            <w:r>
              <w:rPr>
                <w:color w:val="auto"/>
                <w:sz w:val="20"/>
                <w:szCs w:val="20"/>
              </w:rPr>
            </w:r>
          </w:p>
        </w:tc>
        <w:tc>
          <w:tcPr>
            <w:tcBorders>
              <w:top w:val="single" w:color="auto" w:sz="4" w:space="0"/>
              <w:left w:val="single" w:color="auto" w:sz="4" w:space="0"/>
              <w:bottom w:val="single" w:color="auto" w:sz="4" w:space="0"/>
              <w:right w:val="single" w:color="auto" w:sz="4" w:space="0"/>
            </w:tcBorders>
            <w:tcW w:w="417" w:type="pct"/>
            <w:vAlign w:val="center"/>
            <w:textDirection w:val="lrTb"/>
            <w:noWrap w:val="false"/>
          </w:tcPr>
          <w:p>
            <w:pPr>
              <w:pStyle w:val="1305"/>
              <w:ind w:left="-57"/>
              <w:jc w:val="center"/>
              <w:rPr>
                <w:color w:val="auto"/>
                <w:sz w:val="20"/>
                <w:szCs w:val="20"/>
              </w:rPr>
            </w:pPr>
            <w:r>
              <w:rPr>
                <w:color w:val="auto"/>
                <w:sz w:val="20"/>
                <w:szCs w:val="20"/>
              </w:rPr>
              <w:t xml:space="preserve">4572,06</w:t>
            </w:r>
            <w:r>
              <w:rPr>
                <w:color w:val="auto"/>
                <w:sz w:val="20"/>
                <w:szCs w:val="20"/>
              </w:rPr>
            </w:r>
            <w:r>
              <w:rPr>
                <w:color w:val="auto"/>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rPr>
                <w:sz w:val="20"/>
                <w:szCs w:val="20"/>
              </w:rPr>
            </w:pPr>
            <w:r>
              <w:rPr>
                <w:sz w:val="20"/>
                <w:szCs w:val="20"/>
              </w:rPr>
              <w:t xml:space="preserve">4786,12</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rPr>
                <w:sz w:val="20"/>
                <w:szCs w:val="20"/>
              </w:rPr>
            </w:pPr>
            <w:r>
              <w:rPr>
                <w:sz w:val="20"/>
                <w:szCs w:val="20"/>
              </w:rPr>
              <w:t xml:space="preserve">5010,21</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rPr>
                <w:sz w:val="20"/>
                <w:szCs w:val="20"/>
              </w:rPr>
            </w:pPr>
            <w:r>
              <w:rPr>
                <w:sz w:val="20"/>
                <w:szCs w:val="20"/>
              </w:rPr>
              <w:t xml:space="preserve">5244,79</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rPr>
                <w:sz w:val="20"/>
                <w:szCs w:val="20"/>
              </w:rPr>
            </w:pPr>
            <w:r>
              <w:rPr>
                <w:sz w:val="20"/>
                <w:szCs w:val="20"/>
              </w:rPr>
              <w:t xml:space="preserve">5490,35</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rPr>
                <w:sz w:val="20"/>
                <w:szCs w:val="20"/>
              </w:rPr>
            </w:pPr>
            <w:r>
              <w:rPr>
                <w:sz w:val="20"/>
                <w:szCs w:val="20"/>
              </w:rPr>
              <w:t xml:space="preserve">8101,35</w:t>
            </w:r>
            <w:r>
              <w:rPr>
                <w:sz w:val="20"/>
                <w:szCs w:val="20"/>
              </w:rPr>
            </w:r>
            <w:r>
              <w:rPr>
                <w:sz w:val="20"/>
                <w:szCs w:val="20"/>
              </w:rPr>
            </w:r>
          </w:p>
        </w:tc>
      </w:tr>
      <w:tr>
        <w:tblPrEx/>
        <w:trPr>
          <w:trHeight w:val="20"/>
        </w:trPr>
        <w:tc>
          <w:tcPr>
            <w:tcBorders>
              <w:top w:val="single" w:color="auto" w:sz="4" w:space="0"/>
              <w:left w:val="single" w:color="auto" w:sz="4" w:space="0"/>
              <w:bottom w:val="single" w:color="auto" w:sz="4" w:space="0"/>
              <w:right w:val="single" w:color="auto" w:sz="4" w:space="0"/>
            </w:tcBorders>
            <w:tcW w:w="1679" w:type="pct"/>
            <w:vAlign w:val="center"/>
            <w:textDirection w:val="lrTb"/>
            <w:noWrap w:val="false"/>
          </w:tcPr>
          <w:p>
            <w:pPr>
              <w:rPr>
                <w:sz w:val="20"/>
                <w:szCs w:val="20"/>
              </w:rPr>
            </w:pPr>
            <w:r>
              <w:rPr>
                <w:sz w:val="20"/>
                <w:szCs w:val="20"/>
              </w:rPr>
              <w:t xml:space="preserve">Общество с ограниченной ответственностью "ЖКХ Юго-Запад"</w:t>
            </w:r>
            <w:r>
              <w:rPr>
                <w:sz w:val="20"/>
                <w:szCs w:val="20"/>
              </w:rPr>
            </w:r>
            <w:r>
              <w:rPr>
                <w:sz w:val="20"/>
                <w:szCs w:val="20"/>
              </w:rPr>
            </w:r>
          </w:p>
          <w:p>
            <w:pPr>
              <w:rPr>
                <w:sz w:val="20"/>
                <w:szCs w:val="20"/>
              </w:rPr>
            </w:pPr>
            <w:r>
              <w:rPr>
                <w:sz w:val="20"/>
                <w:szCs w:val="20"/>
              </w:rPr>
              <w:t xml:space="preserve">(с. Чинеево)</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670" w:type="pct"/>
            <w:vAlign w:val="center"/>
            <w:textDirection w:val="lrTb"/>
            <w:noWrap w:val="false"/>
          </w:tcPr>
          <w:p>
            <w:pPr>
              <w:pStyle w:val="1305"/>
              <w:ind w:left="-81" w:right="-88"/>
              <w:jc w:val="center"/>
              <w:rPr>
                <w:color w:val="auto"/>
                <w:sz w:val="20"/>
                <w:szCs w:val="20"/>
              </w:rPr>
            </w:pPr>
            <w:r>
              <w:rPr>
                <w:color w:val="auto"/>
                <w:sz w:val="20"/>
                <w:szCs w:val="20"/>
              </w:rPr>
              <w:t xml:space="preserve">Прочие </w:t>
            </w:r>
            <w:r>
              <w:rPr>
                <w:color w:val="auto"/>
                <w:sz w:val="20"/>
                <w:szCs w:val="20"/>
              </w:rPr>
            </w:r>
            <w:r>
              <w:rPr>
                <w:color w:val="auto"/>
                <w:sz w:val="20"/>
                <w:szCs w:val="20"/>
              </w:rPr>
            </w:r>
          </w:p>
        </w:tc>
        <w:tc>
          <w:tcPr>
            <w:tcBorders>
              <w:top w:val="single" w:color="auto" w:sz="4" w:space="0"/>
              <w:left w:val="single" w:color="auto" w:sz="4" w:space="0"/>
              <w:bottom w:val="single" w:color="auto" w:sz="4" w:space="0"/>
              <w:right w:val="single" w:color="auto" w:sz="4" w:space="0"/>
            </w:tcBorders>
            <w:tcW w:w="417" w:type="pct"/>
            <w:vAlign w:val="center"/>
            <w:textDirection w:val="lrTb"/>
            <w:noWrap w:val="false"/>
          </w:tcPr>
          <w:p>
            <w:pPr>
              <w:pStyle w:val="1305"/>
              <w:ind w:left="-57"/>
              <w:jc w:val="center"/>
              <w:rPr>
                <w:color w:val="auto"/>
                <w:sz w:val="20"/>
                <w:szCs w:val="20"/>
              </w:rPr>
            </w:pPr>
            <w:r>
              <w:rPr>
                <w:color w:val="auto"/>
                <w:sz w:val="20"/>
                <w:szCs w:val="20"/>
              </w:rPr>
              <w:t xml:space="preserve">5110,85</w:t>
            </w:r>
            <w:r>
              <w:rPr>
                <w:color w:val="auto"/>
                <w:sz w:val="20"/>
                <w:szCs w:val="20"/>
              </w:rPr>
            </w:r>
            <w:r>
              <w:rPr>
                <w:color w:val="auto"/>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rPr>
                <w:sz w:val="20"/>
                <w:szCs w:val="20"/>
              </w:rPr>
            </w:pPr>
            <w:r>
              <w:rPr>
                <w:sz w:val="20"/>
                <w:szCs w:val="20"/>
              </w:rPr>
              <w:t xml:space="preserve">5350,14</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rPr>
                <w:sz w:val="20"/>
                <w:szCs w:val="20"/>
              </w:rPr>
            </w:pPr>
            <w:r>
              <w:rPr>
                <w:sz w:val="20"/>
                <w:szCs w:val="20"/>
              </w:rPr>
              <w:t xml:space="preserve">5600,63</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rPr>
                <w:sz w:val="20"/>
                <w:szCs w:val="20"/>
              </w:rPr>
            </w:pPr>
            <w:r>
              <w:rPr>
                <w:sz w:val="20"/>
                <w:szCs w:val="20"/>
              </w:rPr>
              <w:t xml:space="preserve">5862,86</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rPr>
                <w:sz w:val="20"/>
                <w:szCs w:val="20"/>
              </w:rPr>
            </w:pPr>
            <w:r>
              <w:rPr>
                <w:sz w:val="20"/>
                <w:szCs w:val="20"/>
              </w:rPr>
              <w:t xml:space="preserve">6137,35</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rPr>
                <w:sz w:val="20"/>
                <w:szCs w:val="20"/>
              </w:rPr>
            </w:pPr>
            <w:r>
              <w:rPr>
                <w:sz w:val="20"/>
                <w:szCs w:val="20"/>
              </w:rPr>
              <w:t xml:space="preserve">9056,04</w:t>
            </w:r>
            <w:r>
              <w:rPr>
                <w:sz w:val="20"/>
                <w:szCs w:val="20"/>
              </w:rPr>
            </w:r>
            <w:r>
              <w:rPr>
                <w:sz w:val="20"/>
                <w:szCs w:val="20"/>
              </w:rPr>
            </w:r>
          </w:p>
        </w:tc>
      </w:tr>
      <w:tr>
        <w:tblPrEx/>
        <w:trPr>
          <w:trHeight w:val="381"/>
        </w:trPr>
        <w:tc>
          <w:tcPr>
            <w:tcBorders>
              <w:top w:val="single" w:color="auto" w:sz="4" w:space="0"/>
              <w:left w:val="single" w:color="auto" w:sz="4" w:space="0"/>
              <w:bottom w:val="single" w:color="auto" w:sz="4" w:space="0"/>
              <w:right w:val="single" w:color="auto" w:sz="4" w:space="0"/>
            </w:tcBorders>
            <w:tcW w:w="1679" w:type="pct"/>
            <w:vAlign w:val="center"/>
            <w:textDirection w:val="lrTb"/>
            <w:noWrap w:val="false"/>
          </w:tcPr>
          <w:p>
            <w:pPr>
              <w:rPr>
                <w:sz w:val="20"/>
                <w:szCs w:val="20"/>
              </w:rPr>
            </w:pPr>
            <w:r>
              <w:rPr>
                <w:sz w:val="20"/>
                <w:szCs w:val="20"/>
              </w:rPr>
              <w:t xml:space="preserve">Общество с ограниченной ответственностью "ЖКХ Юго-Запад"</w:t>
            </w:r>
            <w:r>
              <w:rPr>
                <w:sz w:val="20"/>
                <w:szCs w:val="20"/>
              </w:rPr>
            </w:r>
            <w:r>
              <w:rPr>
                <w:sz w:val="20"/>
                <w:szCs w:val="20"/>
              </w:rPr>
            </w:r>
          </w:p>
          <w:p>
            <w:pPr>
              <w:rPr>
                <w:sz w:val="20"/>
                <w:szCs w:val="20"/>
              </w:rPr>
            </w:pPr>
            <w:r>
              <w:rPr>
                <w:sz w:val="20"/>
                <w:szCs w:val="20"/>
              </w:rPr>
              <w:t xml:space="preserve">(р.п. Юргамыш)</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670" w:type="pct"/>
            <w:vAlign w:val="center"/>
            <w:textDirection w:val="lrTb"/>
            <w:noWrap w:val="false"/>
          </w:tcPr>
          <w:p>
            <w:pPr>
              <w:pStyle w:val="1305"/>
              <w:ind w:left="-81" w:right="-88"/>
              <w:jc w:val="center"/>
              <w:rPr>
                <w:color w:val="auto"/>
                <w:sz w:val="20"/>
                <w:szCs w:val="20"/>
              </w:rPr>
            </w:pPr>
            <w:r>
              <w:rPr>
                <w:color w:val="auto"/>
                <w:sz w:val="20"/>
                <w:szCs w:val="20"/>
              </w:rPr>
              <w:t xml:space="preserve">Прочие </w:t>
            </w:r>
            <w:r>
              <w:rPr>
                <w:color w:val="auto"/>
                <w:sz w:val="20"/>
                <w:szCs w:val="20"/>
              </w:rPr>
            </w:r>
            <w:r>
              <w:rPr>
                <w:color w:val="auto"/>
                <w:sz w:val="20"/>
                <w:szCs w:val="20"/>
              </w:rPr>
            </w:r>
          </w:p>
        </w:tc>
        <w:tc>
          <w:tcPr>
            <w:tcBorders>
              <w:top w:val="single" w:color="auto" w:sz="4" w:space="0"/>
              <w:left w:val="single" w:color="auto" w:sz="4" w:space="0"/>
              <w:bottom w:val="single" w:color="auto" w:sz="4" w:space="0"/>
              <w:right w:val="single" w:color="auto" w:sz="4" w:space="0"/>
            </w:tcBorders>
            <w:tcW w:w="417" w:type="pct"/>
            <w:vAlign w:val="center"/>
            <w:textDirection w:val="lrTb"/>
            <w:noWrap w:val="false"/>
          </w:tcPr>
          <w:p>
            <w:pPr>
              <w:pStyle w:val="1305"/>
              <w:ind w:left="-57"/>
              <w:jc w:val="center"/>
              <w:rPr>
                <w:color w:val="auto"/>
                <w:sz w:val="20"/>
                <w:szCs w:val="20"/>
              </w:rPr>
            </w:pPr>
            <w:r>
              <w:rPr>
                <w:color w:val="auto"/>
                <w:sz w:val="20"/>
                <w:szCs w:val="20"/>
              </w:rPr>
              <w:t xml:space="preserve">2750,78</w:t>
            </w:r>
            <w:r>
              <w:rPr>
                <w:color w:val="auto"/>
                <w:sz w:val="20"/>
                <w:szCs w:val="20"/>
              </w:rPr>
            </w:r>
            <w:r>
              <w:rPr>
                <w:color w:val="auto"/>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jc w:val="center"/>
              <w:rPr>
                <w:sz w:val="20"/>
                <w:szCs w:val="20"/>
              </w:rPr>
            </w:pPr>
            <w:r>
              <w:rPr>
                <w:sz w:val="20"/>
                <w:szCs w:val="20"/>
              </w:rPr>
              <w:t xml:space="preserve">2879,57</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jc w:val="center"/>
              <w:rPr>
                <w:sz w:val="20"/>
                <w:szCs w:val="20"/>
              </w:rPr>
            </w:pPr>
            <w:r>
              <w:rPr>
                <w:sz w:val="20"/>
                <w:szCs w:val="20"/>
              </w:rPr>
              <w:t xml:space="preserve">3014,39</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jc w:val="center"/>
              <w:rPr>
                <w:sz w:val="20"/>
                <w:szCs w:val="20"/>
              </w:rPr>
            </w:pPr>
            <w:r>
              <w:rPr>
                <w:sz w:val="20"/>
                <w:szCs w:val="20"/>
              </w:rPr>
              <w:t xml:space="preserve">3155,53</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jc w:val="center"/>
              <w:rPr>
                <w:sz w:val="20"/>
                <w:szCs w:val="20"/>
              </w:rPr>
            </w:pPr>
            <w:r>
              <w:rPr>
                <w:sz w:val="20"/>
                <w:szCs w:val="20"/>
              </w:rPr>
              <w:t xml:space="preserve">3303,27</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jc w:val="center"/>
              <w:rPr>
                <w:sz w:val="20"/>
                <w:szCs w:val="20"/>
              </w:rPr>
            </w:pPr>
            <w:r>
              <w:rPr>
                <w:sz w:val="20"/>
                <w:szCs w:val="20"/>
              </w:rPr>
              <w:t xml:space="preserve">4874,18</w:t>
            </w:r>
            <w:r>
              <w:rPr>
                <w:sz w:val="20"/>
                <w:szCs w:val="20"/>
              </w:rPr>
            </w:r>
            <w:r>
              <w:rPr>
                <w:sz w:val="20"/>
                <w:szCs w:val="20"/>
              </w:rPr>
            </w:r>
          </w:p>
        </w:tc>
      </w:tr>
      <w:tr>
        <w:tblPrEx/>
        <w:trPr>
          <w:trHeight w:val="20"/>
        </w:trPr>
        <w:tc>
          <w:tcPr>
            <w:tcBorders>
              <w:top w:val="single" w:color="auto" w:sz="4" w:space="0"/>
              <w:left w:val="single" w:color="auto" w:sz="4" w:space="0"/>
              <w:bottom w:val="single" w:color="auto" w:sz="4" w:space="0"/>
              <w:right w:val="single" w:color="auto" w:sz="4" w:space="0"/>
            </w:tcBorders>
            <w:tcW w:w="1679" w:type="pct"/>
            <w:vAlign w:val="center"/>
            <w:textDirection w:val="lrTb"/>
            <w:noWrap w:val="false"/>
          </w:tcPr>
          <w:p>
            <w:pPr>
              <w:rPr>
                <w:sz w:val="20"/>
                <w:szCs w:val="20"/>
              </w:rPr>
            </w:pPr>
            <w:r>
              <w:rPr>
                <w:sz w:val="20"/>
                <w:szCs w:val="20"/>
                <w:lang w:eastAsia="ru-RU"/>
              </w:rPr>
              <w:t xml:space="preserve">Общество с ограниченной ответственностью "Арабика"</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670" w:type="pct"/>
            <w:vAlign w:val="center"/>
            <w:textDirection w:val="lrTb"/>
            <w:noWrap w:val="false"/>
          </w:tcPr>
          <w:p>
            <w:pPr>
              <w:pStyle w:val="1305"/>
              <w:ind w:left="-81" w:right="-88"/>
              <w:jc w:val="center"/>
              <w:rPr>
                <w:color w:val="auto"/>
                <w:sz w:val="20"/>
                <w:szCs w:val="20"/>
              </w:rPr>
            </w:pPr>
            <w:r>
              <w:rPr>
                <w:color w:val="auto"/>
                <w:sz w:val="20"/>
                <w:szCs w:val="20"/>
              </w:rPr>
              <w:t xml:space="preserve">Прочие</w:t>
            </w:r>
            <w:r>
              <w:rPr>
                <w:color w:val="auto"/>
                <w:sz w:val="20"/>
                <w:szCs w:val="20"/>
              </w:rPr>
            </w:r>
            <w:r>
              <w:rPr>
                <w:color w:val="auto"/>
                <w:sz w:val="20"/>
                <w:szCs w:val="20"/>
              </w:rPr>
            </w:r>
          </w:p>
        </w:tc>
        <w:tc>
          <w:tcPr>
            <w:tcBorders>
              <w:top w:val="single" w:color="auto" w:sz="4" w:space="0"/>
              <w:left w:val="single" w:color="auto" w:sz="4" w:space="0"/>
              <w:bottom w:val="single" w:color="auto" w:sz="4" w:space="0"/>
              <w:right w:val="single" w:color="auto" w:sz="4" w:space="0"/>
            </w:tcBorders>
            <w:tcW w:w="417" w:type="pct"/>
            <w:vAlign w:val="center"/>
            <w:textDirection w:val="lrTb"/>
            <w:noWrap w:val="false"/>
          </w:tcPr>
          <w:p>
            <w:pPr>
              <w:pStyle w:val="1305"/>
              <w:ind w:left="-57"/>
              <w:jc w:val="center"/>
              <w:rPr>
                <w:color w:val="auto"/>
                <w:sz w:val="20"/>
                <w:szCs w:val="20"/>
              </w:rPr>
            </w:pPr>
            <w:r>
              <w:rPr>
                <w:color w:val="auto"/>
                <w:sz w:val="20"/>
                <w:szCs w:val="20"/>
              </w:rPr>
              <w:t xml:space="preserve">4447,10</w:t>
            </w:r>
            <w:r>
              <w:rPr>
                <w:color w:val="auto"/>
                <w:sz w:val="20"/>
                <w:szCs w:val="20"/>
              </w:rPr>
            </w:r>
            <w:r>
              <w:rPr>
                <w:color w:val="auto"/>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rPr>
                <w:sz w:val="20"/>
                <w:szCs w:val="20"/>
              </w:rPr>
            </w:pPr>
            <w:r>
              <w:rPr>
                <w:sz w:val="20"/>
                <w:szCs w:val="20"/>
              </w:rPr>
              <w:t xml:space="preserve">4655,31</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rPr>
                <w:sz w:val="20"/>
                <w:szCs w:val="20"/>
              </w:rPr>
            </w:pPr>
            <w:r>
              <w:rPr>
                <w:sz w:val="20"/>
                <w:szCs w:val="20"/>
              </w:rPr>
              <w:t xml:space="preserve">4873,27</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rPr>
                <w:sz w:val="20"/>
                <w:szCs w:val="20"/>
              </w:rPr>
            </w:pPr>
            <w:r>
              <w:rPr>
                <w:sz w:val="20"/>
                <w:szCs w:val="20"/>
              </w:rPr>
              <w:t xml:space="preserve">5101,44</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rPr>
                <w:sz w:val="20"/>
                <w:szCs w:val="20"/>
              </w:rPr>
            </w:pPr>
            <w:r>
              <w:rPr>
                <w:sz w:val="20"/>
                <w:szCs w:val="20"/>
              </w:rPr>
              <w:t xml:space="preserve">5340,29</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rPr>
                <w:sz w:val="20"/>
                <w:szCs w:val="20"/>
              </w:rPr>
            </w:pPr>
            <w:r>
              <w:rPr>
                <w:sz w:val="20"/>
                <w:szCs w:val="20"/>
              </w:rPr>
              <w:t xml:space="preserve">7879,93</w:t>
            </w:r>
            <w:r>
              <w:rPr>
                <w:sz w:val="20"/>
                <w:szCs w:val="20"/>
              </w:rPr>
            </w:r>
            <w:r>
              <w:rPr>
                <w:sz w:val="20"/>
                <w:szCs w:val="20"/>
              </w:rPr>
            </w:r>
          </w:p>
        </w:tc>
      </w:tr>
      <w:tr>
        <w:tblPrEx/>
        <w:trPr>
          <w:trHeight w:val="20"/>
        </w:trPr>
        <w:tc>
          <w:tcPr>
            <w:tcBorders>
              <w:top w:val="single" w:color="auto" w:sz="4" w:space="0"/>
              <w:left w:val="single" w:color="auto" w:sz="4" w:space="0"/>
              <w:bottom w:val="single" w:color="auto" w:sz="4" w:space="0"/>
              <w:right w:val="single" w:color="auto" w:sz="4" w:space="0"/>
            </w:tcBorders>
            <w:tcW w:w="1679" w:type="pct"/>
            <w:vAlign w:val="center"/>
            <w:textDirection w:val="lrTb"/>
            <w:noWrap w:val="false"/>
          </w:tcPr>
          <w:p>
            <w:pPr>
              <w:rPr>
                <w:sz w:val="20"/>
                <w:szCs w:val="20"/>
                <w:lang w:eastAsia="ru-RU"/>
              </w:rPr>
            </w:pPr>
            <w:r>
              <w:rPr>
                <w:sz w:val="20"/>
                <w:szCs w:val="20"/>
                <w:lang w:eastAsia="ru-RU"/>
              </w:rPr>
              <w:t xml:space="preserve">ООО "КурганТепло"</w:t>
            </w:r>
            <w:r>
              <w:rPr>
                <w:sz w:val="20"/>
                <w:szCs w:val="20"/>
                <w:lang w:eastAsia="ru-RU"/>
              </w:rPr>
            </w:r>
            <w:r>
              <w:rPr>
                <w:sz w:val="20"/>
                <w:szCs w:val="20"/>
                <w:lang w:eastAsia="ru-RU"/>
              </w:rPr>
            </w:r>
          </w:p>
          <w:p>
            <w:pPr>
              <w:rPr>
                <w:sz w:val="20"/>
                <w:szCs w:val="20"/>
                <w:lang w:eastAsia="ru-RU"/>
              </w:rPr>
            </w:pPr>
            <w:r>
              <w:rPr>
                <w:sz w:val="20"/>
                <w:szCs w:val="20"/>
                <w:lang w:eastAsia="ru-RU"/>
              </w:rPr>
              <w:t xml:space="preserve">(</w:t>
            </w:r>
            <w:r>
              <w:rPr>
                <w:sz w:val="20"/>
                <w:szCs w:val="20"/>
              </w:rPr>
              <w:t xml:space="preserve">с. Вилкино, с. Губерля, с. Караси, с. Красный Уралец)</w:t>
            </w:r>
            <w:r>
              <w:rPr>
                <w:sz w:val="20"/>
                <w:szCs w:val="20"/>
                <w:lang w:eastAsia="ru-RU"/>
              </w:rPr>
            </w:r>
            <w:r>
              <w:rPr>
                <w:sz w:val="20"/>
                <w:szCs w:val="20"/>
                <w:lang w:eastAsia="ru-RU"/>
              </w:rPr>
            </w:r>
          </w:p>
        </w:tc>
        <w:tc>
          <w:tcPr>
            <w:tcBorders>
              <w:top w:val="single" w:color="auto" w:sz="4" w:space="0"/>
              <w:left w:val="single" w:color="auto" w:sz="4" w:space="0"/>
              <w:bottom w:val="single" w:color="auto" w:sz="4" w:space="0"/>
              <w:right w:val="single" w:color="auto" w:sz="4" w:space="0"/>
            </w:tcBorders>
            <w:tcW w:w="670" w:type="pct"/>
            <w:vAlign w:val="center"/>
            <w:textDirection w:val="lrTb"/>
            <w:noWrap w:val="false"/>
          </w:tcPr>
          <w:p>
            <w:pPr>
              <w:pStyle w:val="1305"/>
              <w:ind w:left="-81" w:right="-88"/>
              <w:jc w:val="center"/>
              <w:rPr>
                <w:color w:val="auto"/>
                <w:sz w:val="20"/>
                <w:szCs w:val="20"/>
              </w:rPr>
            </w:pPr>
            <w:r>
              <w:rPr>
                <w:color w:val="auto"/>
                <w:sz w:val="20"/>
                <w:szCs w:val="20"/>
              </w:rPr>
              <w:t xml:space="preserve">Прочие</w:t>
            </w:r>
            <w:r>
              <w:rPr>
                <w:color w:val="auto"/>
                <w:sz w:val="20"/>
                <w:szCs w:val="20"/>
              </w:rPr>
            </w:r>
            <w:r>
              <w:rPr>
                <w:color w:val="auto"/>
                <w:sz w:val="20"/>
                <w:szCs w:val="20"/>
              </w:rPr>
            </w:r>
          </w:p>
        </w:tc>
        <w:tc>
          <w:tcPr>
            <w:tcBorders>
              <w:top w:val="single" w:color="auto" w:sz="4" w:space="0"/>
              <w:left w:val="single" w:color="auto" w:sz="4" w:space="0"/>
              <w:bottom w:val="single" w:color="auto" w:sz="4" w:space="0"/>
              <w:right w:val="single" w:color="auto" w:sz="4" w:space="0"/>
            </w:tcBorders>
            <w:tcW w:w="417" w:type="pct"/>
            <w:vAlign w:val="center"/>
            <w:textDirection w:val="lrTb"/>
            <w:noWrap w:val="false"/>
          </w:tcPr>
          <w:p>
            <w:pPr>
              <w:pStyle w:val="1305"/>
              <w:ind w:left="-57"/>
              <w:jc w:val="center"/>
              <w:rPr>
                <w:color w:val="auto"/>
                <w:sz w:val="20"/>
                <w:szCs w:val="20"/>
              </w:rPr>
            </w:pPr>
            <w:r>
              <w:rPr>
                <w:color w:val="auto"/>
                <w:sz w:val="20"/>
                <w:szCs w:val="20"/>
              </w:rPr>
              <w:t xml:space="preserve">4801,66</w:t>
            </w:r>
            <w:r>
              <w:rPr>
                <w:color w:val="auto"/>
                <w:sz w:val="20"/>
                <w:szCs w:val="20"/>
              </w:rPr>
            </w:r>
            <w:r>
              <w:rPr>
                <w:color w:val="auto"/>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pStyle w:val="1305"/>
              <w:ind w:left="-57"/>
              <w:jc w:val="center"/>
              <w:rPr>
                <w:color w:val="auto"/>
                <w:sz w:val="20"/>
                <w:szCs w:val="20"/>
              </w:rPr>
            </w:pPr>
            <w:r>
              <w:rPr>
                <w:color w:val="auto"/>
                <w:sz w:val="20"/>
                <w:szCs w:val="20"/>
              </w:rPr>
              <w:t xml:space="preserve">4327,22</w:t>
            </w:r>
            <w:r>
              <w:rPr>
                <w:color w:val="auto"/>
                <w:sz w:val="20"/>
                <w:szCs w:val="20"/>
              </w:rPr>
            </w:r>
            <w:r>
              <w:rPr>
                <w:color w:val="auto"/>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jc w:val="center"/>
              <w:rPr>
                <w:sz w:val="20"/>
                <w:szCs w:val="20"/>
              </w:rPr>
            </w:pPr>
            <w:r>
              <w:rPr>
                <w:sz w:val="20"/>
                <w:szCs w:val="20"/>
              </w:rPr>
              <w:t xml:space="preserve">4529,82</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jc w:val="center"/>
              <w:rPr>
                <w:sz w:val="20"/>
                <w:szCs w:val="20"/>
              </w:rPr>
            </w:pPr>
            <w:r>
              <w:rPr>
                <w:sz w:val="20"/>
                <w:szCs w:val="20"/>
              </w:rPr>
              <w:t xml:space="preserve">4741,91</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jc w:val="center"/>
              <w:rPr>
                <w:sz w:val="20"/>
                <w:szCs w:val="20"/>
              </w:rPr>
            </w:pPr>
            <w:r>
              <w:rPr>
                <w:sz w:val="20"/>
                <w:szCs w:val="20"/>
              </w:rPr>
              <w:t xml:space="preserve">4963,92</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jc w:val="center"/>
              <w:rPr>
                <w:sz w:val="20"/>
                <w:szCs w:val="20"/>
              </w:rPr>
            </w:pPr>
            <w:r>
              <w:rPr>
                <w:sz w:val="20"/>
                <w:szCs w:val="20"/>
              </w:rPr>
              <w:t xml:space="preserve">7324,57</w:t>
            </w:r>
            <w:r>
              <w:rPr>
                <w:sz w:val="20"/>
                <w:szCs w:val="20"/>
              </w:rPr>
            </w:r>
            <w:r>
              <w:rPr>
                <w:sz w:val="20"/>
                <w:szCs w:val="20"/>
              </w:rPr>
            </w:r>
          </w:p>
        </w:tc>
      </w:tr>
      <w:tr>
        <w:tblPrEx/>
        <w:trPr>
          <w:trHeight w:val="20"/>
        </w:trPr>
        <w:tc>
          <w:tcPr>
            <w:tcBorders>
              <w:top w:val="single" w:color="auto" w:sz="4" w:space="0"/>
              <w:left w:val="single" w:color="auto" w:sz="4" w:space="0"/>
              <w:right w:val="single" w:color="auto" w:sz="4" w:space="0"/>
            </w:tcBorders>
            <w:tcW w:w="1679" w:type="pct"/>
            <w:vAlign w:val="center"/>
            <w:textDirection w:val="lrTb"/>
            <w:noWrap w:val="false"/>
          </w:tcPr>
          <w:p>
            <w:pPr>
              <w:rPr>
                <w:sz w:val="20"/>
                <w:szCs w:val="20"/>
                <w:lang w:eastAsia="ru-RU"/>
              </w:rPr>
            </w:pPr>
            <w:r>
              <w:rPr>
                <w:sz w:val="20"/>
                <w:szCs w:val="20"/>
                <w:lang w:eastAsia="ru-RU"/>
              </w:rPr>
              <w:t xml:space="preserve">ООО "КурганТепло"</w:t>
            </w:r>
            <w:r>
              <w:rPr>
                <w:sz w:val="20"/>
                <w:szCs w:val="20"/>
                <w:lang w:eastAsia="ru-RU"/>
              </w:rPr>
            </w:r>
            <w:r>
              <w:rPr>
                <w:sz w:val="20"/>
                <w:szCs w:val="20"/>
                <w:lang w:eastAsia="ru-RU"/>
              </w:rPr>
            </w:r>
          </w:p>
          <w:p>
            <w:pPr>
              <w:rPr>
                <w:sz w:val="20"/>
                <w:szCs w:val="20"/>
                <w:lang w:eastAsia="ru-RU"/>
              </w:rPr>
            </w:pPr>
            <w:r>
              <w:rPr>
                <w:sz w:val="20"/>
                <w:szCs w:val="20"/>
                <w:lang w:eastAsia="ru-RU"/>
              </w:rPr>
              <w:t xml:space="preserve">(</w:t>
            </w:r>
            <w:r>
              <w:rPr>
                <w:sz w:val="20"/>
                <w:szCs w:val="20"/>
              </w:rPr>
              <w:t xml:space="preserve">с. Гагарье, с. Горохово, с. </w:t>
            </w:r>
            <w:r>
              <w:rPr>
                <w:rStyle w:val="1307"/>
                <w:sz w:val="20"/>
                <w:szCs w:val="20"/>
              </w:rPr>
              <w:t xml:space="preserve">Скоблин</w:t>
            </w:r>
            <w:r>
              <w:rPr>
                <w:sz w:val="20"/>
                <w:szCs w:val="20"/>
              </w:rPr>
              <w:t xml:space="preserve">о, д. Фадюшино)</w:t>
            </w:r>
            <w:r>
              <w:rPr>
                <w:sz w:val="20"/>
                <w:szCs w:val="20"/>
                <w:lang w:eastAsia="ru-RU"/>
              </w:rPr>
            </w:r>
            <w:r>
              <w:rPr>
                <w:sz w:val="20"/>
                <w:szCs w:val="20"/>
                <w:lang w:eastAsia="ru-RU"/>
              </w:rPr>
            </w:r>
          </w:p>
        </w:tc>
        <w:tc>
          <w:tcPr>
            <w:tcBorders>
              <w:top w:val="single" w:color="auto" w:sz="4" w:space="0"/>
              <w:left w:val="single" w:color="auto" w:sz="4" w:space="0"/>
              <w:bottom w:val="single" w:color="auto" w:sz="4" w:space="0"/>
              <w:right w:val="single" w:color="auto" w:sz="4" w:space="0"/>
            </w:tcBorders>
            <w:tcW w:w="670" w:type="pct"/>
            <w:vAlign w:val="center"/>
            <w:textDirection w:val="lrTb"/>
            <w:noWrap w:val="false"/>
          </w:tcPr>
          <w:p>
            <w:pPr>
              <w:pStyle w:val="1305"/>
              <w:ind w:left="-81" w:right="-88"/>
              <w:jc w:val="center"/>
              <w:rPr>
                <w:color w:val="auto"/>
                <w:sz w:val="20"/>
                <w:szCs w:val="20"/>
              </w:rPr>
            </w:pPr>
            <w:r>
              <w:rPr>
                <w:color w:val="auto"/>
                <w:sz w:val="20"/>
                <w:szCs w:val="20"/>
              </w:rPr>
              <w:t xml:space="preserve">Прочие</w:t>
            </w:r>
            <w:r>
              <w:rPr>
                <w:color w:val="auto"/>
                <w:sz w:val="20"/>
                <w:szCs w:val="20"/>
              </w:rPr>
            </w:r>
            <w:r>
              <w:rPr>
                <w:color w:val="auto"/>
                <w:sz w:val="20"/>
                <w:szCs w:val="20"/>
              </w:rPr>
            </w:r>
          </w:p>
        </w:tc>
        <w:tc>
          <w:tcPr>
            <w:tcBorders>
              <w:top w:val="single" w:color="auto" w:sz="4" w:space="0"/>
              <w:left w:val="single" w:color="auto" w:sz="4" w:space="0"/>
              <w:bottom w:val="single" w:color="auto" w:sz="4" w:space="0"/>
              <w:right w:val="single" w:color="auto" w:sz="4" w:space="0"/>
            </w:tcBorders>
            <w:tcW w:w="417" w:type="pct"/>
            <w:vAlign w:val="center"/>
            <w:textDirection w:val="lrTb"/>
            <w:noWrap w:val="false"/>
          </w:tcPr>
          <w:p>
            <w:pPr>
              <w:pStyle w:val="1305"/>
              <w:ind w:left="-57"/>
              <w:jc w:val="center"/>
              <w:rPr>
                <w:color w:val="auto"/>
                <w:sz w:val="20"/>
                <w:szCs w:val="20"/>
              </w:rPr>
            </w:pPr>
            <w:r>
              <w:rPr>
                <w:color w:val="auto"/>
                <w:sz w:val="20"/>
                <w:szCs w:val="20"/>
              </w:rPr>
              <w:t xml:space="preserve">4922,41</w:t>
            </w:r>
            <w:r>
              <w:rPr>
                <w:color w:val="auto"/>
                <w:sz w:val="20"/>
                <w:szCs w:val="20"/>
              </w:rPr>
            </w:r>
            <w:r>
              <w:rPr>
                <w:color w:val="auto"/>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pStyle w:val="1305"/>
              <w:ind w:left="-57"/>
              <w:jc w:val="center"/>
              <w:rPr>
                <w:color w:val="auto"/>
                <w:sz w:val="20"/>
                <w:szCs w:val="20"/>
              </w:rPr>
            </w:pPr>
            <w:r>
              <w:rPr>
                <w:color w:val="auto"/>
                <w:sz w:val="20"/>
                <w:szCs w:val="20"/>
              </w:rPr>
              <w:t xml:space="preserve">4523,27</w:t>
            </w:r>
            <w:r>
              <w:rPr>
                <w:color w:val="auto"/>
                <w:sz w:val="20"/>
                <w:szCs w:val="20"/>
              </w:rPr>
            </w:r>
            <w:r>
              <w:rPr>
                <w:color w:val="auto"/>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rPr>
                <w:sz w:val="20"/>
                <w:szCs w:val="20"/>
              </w:rPr>
            </w:pPr>
            <w:r>
              <w:rPr>
                <w:sz w:val="20"/>
                <w:szCs w:val="20"/>
              </w:rPr>
              <w:t xml:space="preserve">4735,05</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rPr>
                <w:sz w:val="20"/>
                <w:szCs w:val="20"/>
              </w:rPr>
            </w:pPr>
            <w:r>
              <w:rPr>
                <w:sz w:val="20"/>
                <w:szCs w:val="20"/>
              </w:rPr>
              <w:t xml:space="preserve">4956,74</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rPr>
                <w:sz w:val="20"/>
                <w:szCs w:val="20"/>
              </w:rPr>
            </w:pPr>
            <w:r>
              <w:rPr>
                <w:sz w:val="20"/>
                <w:szCs w:val="20"/>
              </w:rPr>
              <w:t xml:space="preserve">5188,82</w:t>
            </w:r>
            <w:r>
              <w:rPr>
                <w:sz w:val="20"/>
                <w:szCs w:val="20"/>
              </w:rPr>
            </w:r>
            <w:r>
              <w:rPr>
                <w:sz w:val="20"/>
                <w:szCs w:val="20"/>
              </w:rPr>
            </w:r>
          </w:p>
        </w:tc>
        <w:tc>
          <w:tcPr>
            <w:tcBorders>
              <w:top w:val="single" w:color="auto" w:sz="4" w:space="0"/>
              <w:left w:val="single" w:color="auto" w:sz="4" w:space="0"/>
              <w:bottom w:val="single" w:color="auto" w:sz="4" w:space="0"/>
              <w:right w:val="single" w:color="auto" w:sz="4" w:space="0"/>
            </w:tcBorders>
            <w:tcW w:w="447" w:type="pct"/>
            <w:vAlign w:val="center"/>
            <w:textDirection w:val="lrTb"/>
            <w:noWrap w:val="false"/>
          </w:tcPr>
          <w:p>
            <w:pPr>
              <w:rPr>
                <w:sz w:val="20"/>
                <w:szCs w:val="20"/>
              </w:rPr>
            </w:pPr>
            <w:r>
              <w:rPr>
                <w:sz w:val="20"/>
                <w:szCs w:val="20"/>
              </w:rPr>
              <w:t xml:space="preserve">7656,42</w:t>
            </w:r>
            <w:r>
              <w:rPr>
                <w:sz w:val="20"/>
                <w:szCs w:val="20"/>
              </w:rPr>
            </w:r>
            <w:r>
              <w:rPr>
                <w:sz w:val="20"/>
                <w:szCs w:val="20"/>
              </w:rPr>
            </w:r>
          </w:p>
        </w:tc>
      </w:tr>
    </w:tbl>
    <w:p>
      <w:pPr>
        <w:pStyle w:val="1248"/>
        <w:ind w:right="109" w:firstLine="733"/>
        <w:jc w:val="left"/>
        <w:spacing w:before="1"/>
      </w:pPr>
      <w:r/>
      <w:r/>
    </w:p>
    <w:p>
      <w:pPr>
        <w:pStyle w:val="1248"/>
        <w:ind w:right="109" w:firstLine="733"/>
        <w:jc w:val="left"/>
        <w:spacing w:before="1"/>
      </w:pPr>
      <w:r/>
      <w:r/>
    </w:p>
    <w:p>
      <w:pPr>
        <w:pStyle w:val="1248"/>
        <w:ind w:right="109" w:firstLine="733"/>
        <w:jc w:val="left"/>
        <w:spacing w:before="1"/>
      </w:pPr>
      <w:r>
        <w:t xml:space="preserve">14.2 </w:t>
      </w:r>
      <w:r>
        <w:t xml:space="preserve">Тарифно-балансовые</w:t>
      </w:r>
      <w:r>
        <w:rPr>
          <w:spacing w:val="40"/>
        </w:rPr>
        <w:t xml:space="preserve"> </w:t>
      </w:r>
      <w:r>
        <w:t xml:space="preserve">расчётные</w:t>
      </w:r>
      <w:r>
        <w:rPr>
          <w:spacing w:val="40"/>
        </w:rPr>
        <w:t xml:space="preserve"> </w:t>
      </w:r>
      <w:r>
        <w:t xml:space="preserve">модели</w:t>
      </w:r>
      <w:r>
        <w:rPr>
          <w:spacing w:val="40"/>
        </w:rPr>
        <w:t xml:space="preserve"> </w:t>
      </w:r>
      <w:r>
        <w:t xml:space="preserve">теплоснабжения</w:t>
      </w:r>
      <w:r>
        <w:rPr>
          <w:spacing w:val="40"/>
        </w:rPr>
        <w:t xml:space="preserve"> </w:t>
      </w:r>
      <w:r>
        <w:t xml:space="preserve">потребителей</w:t>
      </w:r>
      <w:r>
        <w:rPr>
          <w:spacing w:val="40"/>
        </w:rPr>
        <w:t xml:space="preserve"> </w:t>
      </w:r>
      <w:r>
        <w:t xml:space="preserve">по каждой единой теплоснабжающей организации</w:t>
      </w:r>
      <w:bookmarkEnd w:id="646"/>
      <w:r/>
      <w:r/>
    </w:p>
    <w:p>
      <w:pPr>
        <w:pStyle w:val="1247"/>
        <w:ind w:left="119" w:right="108" w:firstLine="709"/>
        <w:jc w:val="both"/>
        <w:spacing w:before="120"/>
        <w:rPr>
          <w:spacing w:val="-2"/>
        </w:rPr>
      </w:pPr>
      <w:r>
        <w:rPr>
          <w:spacing w:val="-2"/>
        </w:rPr>
        <w:t xml:space="preserve">Расчет прогнозного среднегодового тарифа на плановый период выполнен с учетом реализации</w:t>
      </w:r>
      <w:r>
        <w:rPr>
          <w:spacing w:val="-2"/>
        </w:rPr>
        <w:t xml:space="preserve"> мероприятий по развитию систем</w:t>
      </w:r>
      <w:r>
        <w:rPr>
          <w:spacing w:val="-2"/>
        </w:rPr>
        <w:t xml:space="preserve"> теплоснабжения, предложенных Схемой теплоснабжения, а также с использованием индексов-дефляторов, установленных Минэкономразвития России (Прогноз социально-экономического развития Российской Федерации д</w:t>
      </w:r>
      <w:r>
        <w:rPr>
          <w:spacing w:val="-2"/>
        </w:rPr>
        <w:t xml:space="preserve">о 2030 года). Использование индексов-дефляторов позволяет привести финансовые потребности для осуществления производственной деятельности теплоснабжающей и/или теплосетевой организации и реализации проектов схемы теплоснабжения к ценам соответствующих лет.</w:t>
      </w:r>
      <w:r>
        <w:rPr>
          <w:spacing w:val="-2"/>
        </w:rPr>
      </w:r>
      <w:r>
        <w:rPr>
          <w:spacing w:val="-2"/>
        </w:rPr>
      </w:r>
    </w:p>
    <w:p>
      <w:pPr>
        <w:pStyle w:val="1247"/>
        <w:ind w:left="118" w:right="110" w:firstLine="707"/>
        <w:jc w:val="both"/>
      </w:pPr>
      <w:r>
        <w:rPr>
          <w:spacing w:val="-2"/>
        </w:rPr>
        <w:t xml:space="preserve">Расчет прогнозных тарифов носит оценочный характер и может изменяться в зависимости от условий социально-экономического развития </w:t>
      </w:r>
      <w:r>
        <w:rPr>
          <w:spacing w:val="-2"/>
        </w:rPr>
        <w:t xml:space="preserve">Юргамышского</w:t>
      </w:r>
      <w:r>
        <w:rPr>
          <w:spacing w:val="-2"/>
        </w:rPr>
        <w:t xml:space="preserve"> муниципального округа</w:t>
      </w:r>
      <w:r>
        <w:rPr>
          <w:spacing w:val="-2"/>
        </w:rPr>
        <w:t xml:space="preserve">, а также </w:t>
      </w:r>
      <w:r>
        <w:rPr>
          <w:spacing w:val="-2"/>
        </w:rPr>
        <w:t xml:space="preserve">Курганской </w:t>
      </w:r>
      <w:r>
        <w:rPr>
          <w:spacing w:val="-2"/>
        </w:rPr>
        <w:t xml:space="preserve">области. </w:t>
      </w:r>
      <w:r>
        <w:t xml:space="preserve">Данные отражены в п.14.1. </w:t>
      </w:r>
      <w:r/>
    </w:p>
    <w:p>
      <w:pPr>
        <w:pStyle w:val="1247"/>
        <w:spacing w:before="7"/>
        <w:rPr>
          <w:b/>
          <w:sz w:val="17"/>
        </w:rPr>
      </w:pPr>
      <w:r/>
      <w:bookmarkStart w:id="647" w:name="_bookmark330"/>
      <w:r/>
      <w:bookmarkEnd w:id="647"/>
      <w:r>
        <w:rPr>
          <w:b/>
          <w:sz w:val="17"/>
        </w:rPr>
      </w:r>
      <w:r>
        <w:rPr>
          <w:b/>
          <w:sz w:val="17"/>
        </w:rPr>
      </w:r>
    </w:p>
    <w:p>
      <w:pPr>
        <w:pStyle w:val="1248"/>
        <w:ind w:right="110" w:firstLine="733"/>
      </w:pPr>
      <w:r/>
      <w:bookmarkStart w:id="648" w:name="_bookmark338"/>
      <w:r/>
      <w:bookmarkStart w:id="649" w:name="_Toc130232075"/>
      <w:r/>
      <w:bookmarkStart w:id="650" w:name="_Toc165540854"/>
      <w:r/>
      <w:bookmarkEnd w:id="648"/>
      <w:r>
        <w:rPr>
          <w:lang w:eastAsia="ru-RU"/>
        </w:rPr>
        <w:t xml:space="preserve">14.3 </w:t>
      </w:r>
      <w:r>
        <w:t xml:space="preserve">Результаты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649"/>
      <w:r/>
      <w:bookmarkEnd w:id="650"/>
      <w:r/>
      <w:r/>
    </w:p>
    <w:p>
      <w:pPr>
        <w:pStyle w:val="1247"/>
        <w:ind w:left="826"/>
        <w:jc w:val="both"/>
        <w:spacing w:before="115"/>
      </w:pPr>
      <w:r>
        <w:t xml:space="preserve">Основные</w:t>
      </w:r>
      <w:r>
        <w:rPr>
          <w:spacing w:val="-5"/>
        </w:rPr>
        <w:t xml:space="preserve"> </w:t>
      </w:r>
      <w:r>
        <w:t xml:space="preserve">параметры</w:t>
      </w:r>
      <w:r>
        <w:rPr>
          <w:spacing w:val="-3"/>
        </w:rPr>
        <w:t xml:space="preserve"> </w:t>
      </w:r>
      <w:r>
        <w:t xml:space="preserve">формирования</w:t>
      </w:r>
      <w:r>
        <w:rPr>
          <w:spacing w:val="-2"/>
        </w:rPr>
        <w:t xml:space="preserve"> тарифов:</w:t>
      </w:r>
      <w:r/>
    </w:p>
    <w:p>
      <w:pPr>
        <w:pStyle w:val="1250"/>
        <w:numPr>
          <w:ilvl w:val="0"/>
          <w:numId w:val="3"/>
        </w:numPr>
        <w:ind w:left="966"/>
        <w:tabs>
          <w:tab w:val="left" w:pos="966" w:leader="none"/>
        </w:tabs>
        <w:rPr>
          <w:sz w:val="24"/>
        </w:rPr>
      </w:pPr>
      <w:r>
        <w:rPr>
          <w:sz w:val="24"/>
        </w:rPr>
        <w:t xml:space="preserve">тариф</w:t>
      </w:r>
      <w:r>
        <w:rPr>
          <w:spacing w:val="-11"/>
          <w:sz w:val="24"/>
        </w:rPr>
        <w:t xml:space="preserve"> </w:t>
      </w:r>
      <w:r>
        <w:rPr>
          <w:sz w:val="24"/>
        </w:rPr>
        <w:t xml:space="preserve">ежегодно</w:t>
      </w:r>
      <w:r>
        <w:rPr>
          <w:spacing w:val="-10"/>
          <w:sz w:val="24"/>
        </w:rPr>
        <w:t xml:space="preserve"> </w:t>
      </w:r>
      <w:r>
        <w:rPr>
          <w:sz w:val="24"/>
        </w:rPr>
        <w:t xml:space="preserve">формируется</w:t>
      </w:r>
      <w:r>
        <w:rPr>
          <w:spacing w:val="-10"/>
          <w:sz w:val="24"/>
        </w:rPr>
        <w:t xml:space="preserve"> </w:t>
      </w:r>
      <w:r>
        <w:rPr>
          <w:sz w:val="24"/>
        </w:rPr>
        <w:t xml:space="preserve">и</w:t>
      </w:r>
      <w:r>
        <w:rPr>
          <w:spacing w:val="-10"/>
          <w:sz w:val="24"/>
        </w:rPr>
        <w:t xml:space="preserve"> </w:t>
      </w:r>
      <w:r>
        <w:rPr>
          <w:spacing w:val="-2"/>
          <w:sz w:val="24"/>
        </w:rPr>
        <w:t xml:space="preserve">пересматривается;</w:t>
      </w:r>
      <w:r>
        <w:rPr>
          <w:sz w:val="24"/>
        </w:rPr>
      </w:r>
      <w:r>
        <w:rPr>
          <w:sz w:val="24"/>
        </w:rPr>
      </w:r>
    </w:p>
    <w:p>
      <w:pPr>
        <w:pStyle w:val="1250"/>
        <w:numPr>
          <w:ilvl w:val="0"/>
          <w:numId w:val="3"/>
        </w:numPr>
        <w:ind w:right="115" w:firstLine="707"/>
        <w:tabs>
          <w:tab w:val="left" w:pos="1019" w:leader="none"/>
        </w:tabs>
        <w:rPr>
          <w:sz w:val="24"/>
        </w:rPr>
      </w:pPr>
      <w:r>
        <w:rPr>
          <w:sz w:val="24"/>
        </w:rPr>
        <w:t xml:space="preserve">в необходимую валовую выручку для расчёта тарифа включаются экономически обоснованные эксплуатационные затраты;</w:t>
      </w:r>
      <w:r>
        <w:rPr>
          <w:sz w:val="24"/>
        </w:rPr>
      </w:r>
      <w:r>
        <w:rPr>
          <w:sz w:val="24"/>
        </w:rPr>
      </w:r>
    </w:p>
    <w:p>
      <w:pPr>
        <w:pStyle w:val="1250"/>
        <w:numPr>
          <w:ilvl w:val="0"/>
          <w:numId w:val="3"/>
        </w:numPr>
        <w:ind w:right="104" w:firstLine="707"/>
        <w:tabs>
          <w:tab w:val="left" w:pos="1000" w:leader="none"/>
        </w:tabs>
        <w:rPr>
          <w:sz w:val="24"/>
        </w:rPr>
      </w:pPr>
      <w:r>
        <w:rPr>
          <w:sz w:val="24"/>
        </w:rPr>
        <w:t xml:space="preserve">исходя из утверждённых финансовых потребностей реализации проектов сх</w:t>
      </w:r>
      <w:r>
        <w:rPr>
          <w:sz w:val="24"/>
        </w:rPr>
        <w:t xml:space="preserve">емы, в течение установленного срока возврата инвестиций в тариф включается инвестиционная составляющая, складывающаяся из амортизации по объектам инвестирования и расходов на финансирование реализации проектов схемы из прибыли с учётом возникающих налогов;</w:t>
      </w:r>
      <w:r>
        <w:rPr>
          <w:sz w:val="24"/>
        </w:rPr>
      </w:r>
      <w:r>
        <w:rPr>
          <w:sz w:val="24"/>
        </w:rPr>
      </w:r>
    </w:p>
    <w:p>
      <w:pPr>
        <w:pStyle w:val="1250"/>
        <w:numPr>
          <w:ilvl w:val="0"/>
          <w:numId w:val="3"/>
        </w:numPr>
        <w:ind w:right="102" w:firstLine="707"/>
        <w:tabs>
          <w:tab w:val="left" w:pos="995" w:leader="none"/>
        </w:tabs>
        <w:rPr>
          <w:sz w:val="24"/>
        </w:rPr>
      </w:pPr>
      <w:r>
        <w:rPr>
          <w:sz w:val="24"/>
        </w:rPr>
        <w:t xml:space="preserve">тарифный сценарий обеспечивает финансовые потребности планируемых проектов схемы и необходимость выполнения финансовых обязательств перед финансирующими </w:t>
      </w:r>
      <w:r>
        <w:rPr>
          <w:spacing w:val="-2"/>
          <w:sz w:val="24"/>
        </w:rPr>
        <w:t xml:space="preserve">организациями;</w:t>
      </w:r>
      <w:r>
        <w:rPr>
          <w:sz w:val="24"/>
        </w:rPr>
      </w:r>
      <w:r>
        <w:rPr>
          <w:sz w:val="24"/>
        </w:rPr>
      </w:r>
    </w:p>
    <w:p>
      <w:pPr>
        <w:pStyle w:val="1250"/>
        <w:numPr>
          <w:ilvl w:val="0"/>
          <w:numId w:val="3"/>
        </w:numPr>
        <w:ind w:right="113" w:firstLine="707"/>
        <w:spacing w:before="1"/>
        <w:tabs>
          <w:tab w:val="left" w:pos="1000" w:leader="none"/>
        </w:tabs>
        <w:rPr>
          <w:sz w:val="24"/>
        </w:rPr>
      </w:pPr>
      <w:r>
        <w:rPr>
          <w:sz w:val="24"/>
        </w:rPr>
        <w:t xml:space="preserve">для обеспечения доступности услуг потребителям должны быть выработаны меры сглаживания роста тарифов при инвестировании.</w:t>
      </w:r>
      <w:r>
        <w:rPr>
          <w:sz w:val="24"/>
        </w:rPr>
      </w:r>
      <w:r>
        <w:rPr>
          <w:sz w:val="24"/>
        </w:rPr>
      </w:r>
    </w:p>
    <w:p>
      <w:pPr>
        <w:pStyle w:val="1247"/>
        <w:ind w:left="118" w:right="107" w:firstLine="707"/>
        <w:jc w:val="both"/>
      </w:pPr>
      <w:r>
        <w:t xml:space="preserve">Таким образом, в рамках этой финансовой модели: тариф ежегодно пересматривается или индексируется, но исходя из утверждённой инвестиционной программы; определён долгосрочный</w:t>
      </w:r>
      <w:r>
        <w:rPr>
          <w:spacing w:val="-1"/>
        </w:rPr>
        <w:t xml:space="preserve"> </w:t>
      </w:r>
      <w:r>
        <w:t xml:space="preserve">период,</w:t>
      </w:r>
      <w:r>
        <w:rPr>
          <w:spacing w:val="-3"/>
        </w:rPr>
        <w:t xml:space="preserve"> </w:t>
      </w:r>
      <w:r>
        <w:t xml:space="preserve">в</w:t>
      </w:r>
      <w:r>
        <w:rPr>
          <w:spacing w:val="-2"/>
        </w:rPr>
        <w:t xml:space="preserve"> </w:t>
      </w:r>
      <w:r>
        <w:t xml:space="preserve">течение</w:t>
      </w:r>
      <w:r>
        <w:rPr>
          <w:spacing w:val="-2"/>
        </w:rPr>
        <w:t xml:space="preserve"> </w:t>
      </w:r>
      <w:r>
        <w:t xml:space="preserve">которого</w:t>
      </w:r>
      <w:r>
        <w:rPr>
          <w:spacing w:val="-1"/>
        </w:rPr>
        <w:t xml:space="preserve"> </w:t>
      </w:r>
      <w:r>
        <w:t xml:space="preserve">в</w:t>
      </w:r>
      <w:r>
        <w:rPr>
          <w:spacing w:val="-2"/>
        </w:rPr>
        <w:t xml:space="preserve"> </w:t>
      </w:r>
      <w:r>
        <w:t xml:space="preserve">тариф</w:t>
      </w:r>
      <w:r>
        <w:rPr>
          <w:spacing w:val="-1"/>
        </w:rPr>
        <w:t xml:space="preserve"> </w:t>
      </w:r>
      <w:r>
        <w:t xml:space="preserve">включается</w:t>
      </w:r>
      <w:r>
        <w:rPr>
          <w:spacing w:val="-2"/>
        </w:rPr>
        <w:t xml:space="preserve"> </w:t>
      </w:r>
      <w:r>
        <w:t xml:space="preserve">обоснованная</w:t>
      </w:r>
      <w:r>
        <w:rPr>
          <w:spacing w:val="-1"/>
        </w:rPr>
        <w:t xml:space="preserve"> </w:t>
      </w:r>
      <w:r>
        <w:t xml:space="preserve">инвестиционная составляющая, обеспечивающая финансовые потребности инвестиционной программы. При этом тарифное регулирование становится более предсказуемым и обеспечивает финансирование производственной деятельности организации коммунального комплекса по</w:t>
      </w:r>
      <w:r>
        <w:t xml:space="preserve"> </w:t>
      </w:r>
      <w:r>
        <w:t xml:space="preserve">поставкам тепловой энергии и инвестиционной деятельности в рамках утверждённой инвестиционной программы. В большинстве случаев источниками финансирования инвестиционной</w:t>
      </w:r>
      <w:r>
        <w:rPr>
          <w:spacing w:val="-12"/>
        </w:rPr>
        <w:t xml:space="preserve"> </w:t>
      </w:r>
      <w:r>
        <w:t xml:space="preserve">программы</w:t>
      </w:r>
      <w:r>
        <w:rPr>
          <w:spacing w:val="-11"/>
        </w:rPr>
        <w:t xml:space="preserve"> </w:t>
      </w:r>
      <w:r>
        <w:t xml:space="preserve">в</w:t>
      </w:r>
      <w:r>
        <w:rPr>
          <w:spacing w:val="-11"/>
        </w:rPr>
        <w:t xml:space="preserve"> </w:t>
      </w:r>
      <w:r>
        <w:t xml:space="preserve">коммунальной</w:t>
      </w:r>
      <w:r>
        <w:rPr>
          <w:spacing w:val="-10"/>
        </w:rPr>
        <w:t xml:space="preserve"> </w:t>
      </w:r>
      <w:r>
        <w:t xml:space="preserve">сфере</w:t>
      </w:r>
      <w:r>
        <w:rPr>
          <w:spacing w:val="-12"/>
        </w:rPr>
        <w:t xml:space="preserve"> </w:t>
      </w:r>
      <w:r>
        <w:t xml:space="preserve">являются</w:t>
      </w:r>
      <w:r>
        <w:rPr>
          <w:spacing w:val="-11"/>
        </w:rPr>
        <w:t xml:space="preserve"> </w:t>
      </w:r>
      <w:r>
        <w:t xml:space="preserve">заёмные</w:t>
      </w:r>
      <w:r>
        <w:rPr>
          <w:spacing w:val="-12"/>
        </w:rPr>
        <w:t xml:space="preserve"> </w:t>
      </w:r>
      <w:r>
        <w:t xml:space="preserve">средства</w:t>
      </w:r>
      <w:r>
        <w:rPr>
          <w:spacing w:val="-11"/>
        </w:rPr>
        <w:t xml:space="preserve"> </w:t>
      </w:r>
      <w:r>
        <w:t xml:space="preserve">(не</w:t>
      </w:r>
      <w:r>
        <w:rPr>
          <w:spacing w:val="-11"/>
        </w:rPr>
        <w:t xml:space="preserve"> </w:t>
      </w:r>
      <w:r>
        <w:t xml:space="preserve">менее</w:t>
      </w:r>
      <w:r>
        <w:rPr>
          <w:spacing w:val="-12"/>
        </w:rPr>
        <w:t xml:space="preserve"> </w:t>
      </w:r>
      <w:r>
        <w:t xml:space="preserve">80% инвестиционных затрат), привлекаемые на срок 5-6 лет; тарифное сглаживание может быть обеспечено также постепенным «нагружением» тарифа инвестиционной соста</w:t>
      </w:r>
      <w:r>
        <w:t xml:space="preserve">вляющей, которая обеспечивает возврат и обслуживание привлечённых займов; при этом должен быть предусмотрен и согласован с банком индивидуальный график возврата займов неравными долями; это непривычно для банков, но достижимо и является самой эффективной и</w:t>
      </w:r>
      <w:r>
        <w:t xml:space="preserve"> доступной мерой по сглаживанию тарифных последствий инвестирования; такая схема позволяет осуществить капитальные вложения (реконструкцию) в сжатые сроки, растянуть возврат инвестиций на 6-8 лет и обеспечить рост тарифной нагрузки на потребителей ежегодно</w:t>
      </w:r>
      <w:r>
        <w:rPr>
          <w:spacing w:val="-16"/>
        </w:rPr>
        <w:t xml:space="preserve"> </w:t>
      </w:r>
      <w:r>
        <w:t xml:space="preserve">на</w:t>
      </w:r>
      <w:r>
        <w:rPr>
          <w:spacing w:val="-9"/>
        </w:rPr>
        <w:t xml:space="preserve"> </w:t>
      </w:r>
      <w:r>
        <w:t xml:space="preserve">уровне</w:t>
      </w:r>
      <w:r>
        <w:rPr>
          <w:spacing w:val="-14"/>
        </w:rPr>
        <w:t xml:space="preserve"> </w:t>
      </w:r>
      <w:r>
        <w:t xml:space="preserve">15-22%</w:t>
      </w:r>
      <w:r>
        <w:rPr>
          <w:spacing w:val="-13"/>
        </w:rPr>
        <w:t xml:space="preserve"> </w:t>
      </w:r>
      <w:r>
        <w:t xml:space="preserve">(после</w:t>
      </w:r>
      <w:r>
        <w:rPr>
          <w:spacing w:val="-13"/>
        </w:rPr>
        <w:t xml:space="preserve"> </w:t>
      </w:r>
      <w:r>
        <w:t xml:space="preserve">этого</w:t>
      </w:r>
      <w:r>
        <w:rPr>
          <w:spacing w:val="-13"/>
        </w:rPr>
        <w:t xml:space="preserve"> </w:t>
      </w:r>
      <w:r>
        <w:t xml:space="preserve">срока</w:t>
      </w:r>
      <w:r>
        <w:rPr>
          <w:spacing w:val="-11"/>
        </w:rPr>
        <w:t xml:space="preserve"> </w:t>
      </w:r>
      <w:r>
        <w:t xml:space="preserve">тариф</w:t>
      </w:r>
      <w:r>
        <w:rPr>
          <w:spacing w:val="-13"/>
        </w:rPr>
        <w:t xml:space="preserve"> </w:t>
      </w:r>
      <w:r>
        <w:t xml:space="preserve">снижается</w:t>
      </w:r>
      <w:r>
        <w:rPr>
          <w:spacing w:val="-13"/>
        </w:rPr>
        <w:t xml:space="preserve"> </w:t>
      </w:r>
      <w:r>
        <w:t xml:space="preserve">на</w:t>
      </w:r>
      <w:r>
        <w:rPr>
          <w:spacing w:val="-14"/>
        </w:rPr>
        <w:t xml:space="preserve"> </w:t>
      </w:r>
      <w:r>
        <w:t xml:space="preserve">величину</w:t>
      </w:r>
      <w:r>
        <w:rPr>
          <w:spacing w:val="-20"/>
        </w:rPr>
        <w:t xml:space="preserve"> </w:t>
      </w:r>
      <w:r>
        <w:t xml:space="preserve">порядка</w:t>
      </w:r>
      <w:r>
        <w:rPr>
          <w:spacing w:val="-13"/>
        </w:rPr>
        <w:t xml:space="preserve"> </w:t>
      </w:r>
      <w:r>
        <w:t xml:space="preserve">20-</w:t>
      </w:r>
      <w:r>
        <w:rPr>
          <w:spacing w:val="-2"/>
        </w:rPr>
        <w:t xml:space="preserve">30%).</w:t>
      </w:r>
      <w:r/>
    </w:p>
    <w:p>
      <w:pPr>
        <w:pStyle w:val="1247"/>
        <w:spacing w:before="8"/>
        <w:rPr>
          <w:sz w:val="16"/>
        </w:rPr>
      </w:pPr>
      <w:r>
        <w:rPr>
          <w:sz w:val="16"/>
        </w:rPr>
      </w:r>
      <w:r>
        <w:rPr>
          <w:sz w:val="16"/>
        </w:rPr>
      </w:r>
      <w:r>
        <w:rPr>
          <w:sz w:val="16"/>
        </w:rPr>
      </w:r>
    </w:p>
    <w:p>
      <w:pPr>
        <w:pStyle w:val="1248"/>
        <w:ind w:firstLine="733"/>
        <w:jc w:val="left"/>
      </w:pPr>
      <w:r/>
      <w:bookmarkStart w:id="651" w:name="_bookmark339"/>
      <w:r/>
      <w:bookmarkStart w:id="652" w:name="_Toc130232076"/>
      <w:r/>
      <w:bookmarkStart w:id="653" w:name="_Toc165540855"/>
      <w:r/>
      <w:bookmarkEnd w:id="651"/>
      <w:r>
        <w:rPr>
          <w:lang w:eastAsia="ru-RU"/>
        </w:rPr>
        <w:t xml:space="preserve">14.4 </w:t>
      </w:r>
      <w:r>
        <w:t xml:space="preserve">Описание</w:t>
      </w:r>
      <w:r>
        <w:rPr>
          <w:spacing w:val="33"/>
        </w:rPr>
        <w:t xml:space="preserve"> </w:t>
      </w:r>
      <w:r>
        <w:t xml:space="preserve">изменений</w:t>
      </w:r>
      <w:r>
        <w:rPr>
          <w:spacing w:val="32"/>
        </w:rPr>
        <w:t xml:space="preserve"> </w:t>
      </w:r>
      <w:r>
        <w:t xml:space="preserve">(фактических</w:t>
      </w:r>
      <w:r>
        <w:rPr>
          <w:spacing w:val="34"/>
        </w:rPr>
        <w:t xml:space="preserve"> </w:t>
      </w:r>
      <w:r>
        <w:t xml:space="preserve">данных)</w:t>
      </w:r>
      <w:r>
        <w:rPr>
          <w:spacing w:val="33"/>
        </w:rPr>
        <w:t xml:space="preserve"> </w:t>
      </w:r>
      <w:r>
        <w:t xml:space="preserve">в</w:t>
      </w:r>
      <w:r>
        <w:rPr>
          <w:spacing w:val="34"/>
        </w:rPr>
        <w:t xml:space="preserve"> </w:t>
      </w:r>
      <w:r>
        <w:t xml:space="preserve">оценке</w:t>
      </w:r>
      <w:r>
        <w:rPr>
          <w:spacing w:val="33"/>
        </w:rPr>
        <w:t xml:space="preserve"> </w:t>
      </w:r>
      <w:r>
        <w:t xml:space="preserve">ценовых</w:t>
      </w:r>
      <w:r>
        <w:rPr>
          <w:spacing w:val="36"/>
        </w:rPr>
        <w:t xml:space="preserve"> </w:t>
      </w:r>
      <w:r>
        <w:t xml:space="preserve">(тарифных) последствий реализации проектов схемы теплоснабжения</w:t>
      </w:r>
      <w:bookmarkEnd w:id="652"/>
      <w:r/>
      <w:bookmarkEnd w:id="653"/>
      <w:r/>
      <w:r/>
    </w:p>
    <w:p>
      <w:pPr>
        <w:pStyle w:val="1247"/>
        <w:ind w:left="118" w:firstLine="707"/>
        <w:jc w:val="both"/>
        <w:spacing w:before="115"/>
      </w:pPr>
      <w:r>
        <w:t xml:space="preserve">Перспективные значения тарифов</w:t>
      </w:r>
      <w:r>
        <w:rPr>
          <w:spacing w:val="-1"/>
        </w:rPr>
        <w:t xml:space="preserve"> </w:t>
      </w:r>
      <w:r>
        <w:t xml:space="preserve">на тепловую энергию</w:t>
      </w:r>
      <w:r>
        <w:rPr>
          <w:spacing w:val="-1"/>
        </w:rPr>
        <w:t xml:space="preserve"> </w:t>
      </w:r>
      <w:r>
        <w:t xml:space="preserve">рассчитаны</w:t>
      </w:r>
      <w:r>
        <w:t xml:space="preserve"> по отношению</w:t>
      </w:r>
      <w:r>
        <w:rPr>
          <w:spacing w:val="-1"/>
        </w:rPr>
        <w:t xml:space="preserve"> </w:t>
      </w:r>
      <w:r>
        <w:t xml:space="preserve">к утверждённым тарифам</w:t>
      </w:r>
      <w:r>
        <w:t xml:space="preserve">.</w:t>
      </w:r>
      <w:r/>
    </w:p>
    <w:p>
      <w:pPr>
        <w:sectPr>
          <w:footerReference w:type="default" r:id="rId15"/>
          <w:footnotePr/>
          <w:endnotePr/>
          <w:type w:val="nextPage"/>
          <w:pgSz w:w="11910" w:h="16840" w:orient="portrait"/>
          <w:pgMar w:top="1040" w:right="740" w:bottom="940" w:left="1300" w:header="0" w:footer="758" w:gutter="0"/>
          <w:cols w:num="1" w:sep="0" w:space="720" w:equalWidth="1"/>
          <w:docGrid w:linePitch="360"/>
        </w:sectPr>
      </w:pPr>
      <w:r/>
      <w:r/>
    </w:p>
    <w:p>
      <w:pPr>
        <w:pStyle w:val="1248"/>
        <w:ind w:left="826"/>
        <w:spacing w:before="71"/>
      </w:pPr>
      <w:r/>
      <w:bookmarkStart w:id="654" w:name="_bookmark340"/>
      <w:r/>
      <w:bookmarkStart w:id="655" w:name="_Toc130232077"/>
      <w:r/>
      <w:bookmarkStart w:id="656" w:name="_Toc165540856"/>
      <w:r/>
      <w:bookmarkEnd w:id="654"/>
      <w:r>
        <w:t xml:space="preserve">Глава</w:t>
      </w:r>
      <w:r>
        <w:rPr>
          <w:spacing w:val="-4"/>
        </w:rPr>
        <w:t xml:space="preserve"> </w:t>
      </w:r>
      <w:r>
        <w:t xml:space="preserve">15</w:t>
      </w:r>
      <w:r>
        <w:rPr>
          <w:spacing w:val="4"/>
        </w:rPr>
        <w:t xml:space="preserve"> </w:t>
      </w:r>
      <w:r>
        <w:t xml:space="preserve">Реестр</w:t>
      </w:r>
      <w:r>
        <w:rPr>
          <w:spacing w:val="-3"/>
        </w:rPr>
        <w:t xml:space="preserve"> </w:t>
      </w:r>
      <w:r>
        <w:t xml:space="preserve">единых</w:t>
      </w:r>
      <w:r>
        <w:rPr>
          <w:spacing w:val="-6"/>
        </w:rPr>
        <w:t xml:space="preserve"> </w:t>
      </w:r>
      <w:r>
        <w:t xml:space="preserve">теплоснабжающих</w:t>
      </w:r>
      <w:r>
        <w:rPr>
          <w:spacing w:val="-2"/>
        </w:rPr>
        <w:t xml:space="preserve"> организаций</w:t>
      </w:r>
      <w:bookmarkEnd w:id="655"/>
      <w:r/>
      <w:bookmarkEnd w:id="656"/>
      <w:r/>
      <w:r/>
    </w:p>
    <w:p>
      <w:pPr>
        <w:pStyle w:val="1248"/>
        <w:ind w:right="114" w:firstLine="733"/>
        <w:spacing w:before="120"/>
      </w:pPr>
      <w:r/>
      <w:bookmarkStart w:id="657" w:name="_bookmark341"/>
      <w:r/>
      <w:bookmarkStart w:id="658" w:name="_Toc130232078"/>
      <w:r/>
      <w:bookmarkStart w:id="659" w:name="_Toc165540857"/>
      <w:r/>
      <w:bookmarkEnd w:id="657"/>
      <w:r>
        <w:rPr>
          <w:lang w:eastAsia="ru-RU"/>
        </w:rPr>
        <w:t xml:space="preserve">15.1 </w:t>
      </w:r>
      <w:r>
        <w:t xml:space="preserve">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w:t>
      </w:r>
      <w:bookmarkEnd w:id="658"/>
      <w:r/>
      <w:bookmarkEnd w:id="659"/>
      <w:r/>
      <w:r/>
    </w:p>
    <w:p>
      <w:pPr>
        <w:ind w:right="89"/>
        <w:jc w:val="right"/>
        <w:rPr>
          <w:sz w:val="24"/>
          <w:szCs w:val="24"/>
        </w:rPr>
      </w:pPr>
      <w:r>
        <w:rPr>
          <w:sz w:val="24"/>
          <w:szCs w:val="24"/>
        </w:rPr>
        <w:t xml:space="preserve">Таблица </w:t>
      </w:r>
      <w:r>
        <w:rPr>
          <w:sz w:val="24"/>
          <w:szCs w:val="24"/>
        </w:rPr>
        <w:t xml:space="preserve">15.1.1</w:t>
      </w:r>
      <w:r>
        <w:rPr>
          <w:sz w:val="24"/>
          <w:szCs w:val="24"/>
        </w:rPr>
      </w:r>
      <w:r>
        <w:rPr>
          <w:sz w:val="24"/>
          <w:szCs w:val="24"/>
        </w:rPr>
      </w:r>
    </w:p>
    <w:p>
      <w:pPr>
        <w:jc w:val="center"/>
        <w:rPr>
          <w:sz w:val="24"/>
          <w:szCs w:val="24"/>
        </w:rPr>
      </w:pPr>
      <w:r>
        <w:rPr>
          <w:sz w:val="24"/>
          <w:szCs w:val="24"/>
        </w:rPr>
        <w:t xml:space="preserve">Реестр </w:t>
      </w:r>
      <w:r>
        <w:rPr>
          <w:sz w:val="24"/>
          <w:szCs w:val="24"/>
        </w:rPr>
        <w:t xml:space="preserve">всех </w:t>
      </w:r>
      <w:r>
        <w:rPr>
          <w:sz w:val="24"/>
          <w:szCs w:val="24"/>
        </w:rPr>
        <w:t xml:space="preserve">систем теплоснабжения, содержащий перечень теплоснабжающих организаций </w:t>
      </w:r>
      <w:r>
        <w:rPr>
          <w:sz w:val="24"/>
          <w:szCs w:val="24"/>
        </w:rPr>
        <w:t xml:space="preserve">на территории Юргамышского муниципального округа</w:t>
      </w:r>
      <w:r>
        <w:rPr>
          <w:sz w:val="24"/>
          <w:szCs w:val="24"/>
        </w:rPr>
      </w:r>
      <w:r>
        <w:rPr>
          <w:sz w:val="24"/>
          <w:szCs w:val="24"/>
        </w:rPr>
      </w:r>
    </w:p>
    <w:tbl>
      <w:tblPr>
        <w:tblW w:w="4935" w:type="pct"/>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2645"/>
        <w:gridCol w:w="3303"/>
        <w:gridCol w:w="1217"/>
        <w:gridCol w:w="2567"/>
      </w:tblGrid>
      <w:tr>
        <w:tblPrEx/>
        <w:trPr>
          <w:trHeight w:val="20"/>
        </w:trPr>
        <w:tc>
          <w:tcPr>
            <w:tcW w:w="1359" w:type="pct"/>
            <w:vAlign w:val="center"/>
            <w:textDirection w:val="lrTb"/>
            <w:noWrap w:val="false"/>
          </w:tcPr>
          <w:p>
            <w:pPr>
              <w:jc w:val="center"/>
              <w:widowControl/>
              <w:rPr>
                <w:bCs/>
                <w:sz w:val="20"/>
                <w:szCs w:val="20"/>
                <w:lang w:eastAsia="ru-RU"/>
              </w:rPr>
            </w:pPr>
            <w:r/>
            <w:bookmarkStart w:id="660" w:name="_Toc130232079"/>
            <w:r/>
            <w:bookmarkStart w:id="661" w:name="_Toc165540858"/>
            <w:r/>
            <w:bookmarkStart w:id="662" w:name="_bookmark342"/>
            <w:r/>
            <w:bookmarkStart w:id="663" w:name="_bookmark343"/>
            <w:r/>
            <w:bookmarkEnd w:id="662"/>
            <w:r/>
            <w:bookmarkEnd w:id="663"/>
            <w:r>
              <w:rPr>
                <w:bCs/>
                <w:sz w:val="20"/>
                <w:szCs w:val="20"/>
                <w:lang w:eastAsia="ru-RU"/>
              </w:rPr>
              <w:t xml:space="preserve">Адрес котельной</w:t>
            </w:r>
            <w:r>
              <w:rPr>
                <w:bCs/>
                <w:sz w:val="20"/>
                <w:szCs w:val="20"/>
                <w:lang w:eastAsia="ru-RU"/>
              </w:rPr>
            </w:r>
            <w:r>
              <w:rPr>
                <w:bCs/>
                <w:sz w:val="20"/>
                <w:szCs w:val="20"/>
                <w:lang w:eastAsia="ru-RU"/>
              </w:rPr>
            </w:r>
          </w:p>
        </w:tc>
        <w:tc>
          <w:tcPr>
            <w:tcW w:w="1697" w:type="pct"/>
            <w:vAlign w:val="center"/>
            <w:textDirection w:val="lrTb"/>
            <w:noWrap w:val="false"/>
          </w:tcPr>
          <w:p>
            <w:pPr>
              <w:jc w:val="center"/>
              <w:widowControl/>
              <w:rPr>
                <w:bCs/>
                <w:sz w:val="20"/>
                <w:szCs w:val="20"/>
                <w:lang w:eastAsia="ru-RU"/>
              </w:rPr>
            </w:pPr>
            <w:r>
              <w:rPr>
                <w:bCs/>
                <w:sz w:val="20"/>
                <w:szCs w:val="20"/>
                <w:lang w:eastAsia="ru-RU"/>
              </w:rPr>
              <w:t xml:space="preserve">Наименование эксплуатирующей организации</w:t>
            </w:r>
            <w:r>
              <w:rPr>
                <w:bCs/>
                <w:sz w:val="20"/>
                <w:szCs w:val="20"/>
                <w:lang w:eastAsia="ru-RU"/>
              </w:rPr>
            </w:r>
            <w:r>
              <w:rPr>
                <w:bCs/>
                <w:sz w:val="20"/>
                <w:szCs w:val="20"/>
                <w:lang w:eastAsia="ru-RU"/>
              </w:rPr>
            </w:r>
          </w:p>
        </w:tc>
        <w:tc>
          <w:tcPr>
            <w:shd w:val="clear" w:color="auto" w:fill="auto"/>
            <w:tcW w:w="625" w:type="pct"/>
            <w:vAlign w:val="center"/>
            <w:textDirection w:val="lrTb"/>
            <w:noWrap w:val="false"/>
          </w:tcPr>
          <w:p>
            <w:pPr>
              <w:jc w:val="center"/>
              <w:widowControl/>
              <w:rPr>
                <w:bCs/>
                <w:sz w:val="20"/>
                <w:szCs w:val="20"/>
                <w:lang w:eastAsia="ru-RU"/>
              </w:rPr>
            </w:pPr>
            <w:r>
              <w:rPr>
                <w:bCs/>
                <w:sz w:val="20"/>
                <w:szCs w:val="20"/>
                <w:lang w:eastAsia="ru-RU"/>
              </w:rPr>
              <w:t xml:space="preserve">ИНН</w:t>
            </w:r>
            <w:r>
              <w:rPr>
                <w:bCs/>
                <w:sz w:val="20"/>
                <w:szCs w:val="20"/>
                <w:lang w:eastAsia="ru-RU"/>
              </w:rPr>
            </w:r>
            <w:r>
              <w:rPr>
                <w:bCs/>
                <w:sz w:val="20"/>
                <w:szCs w:val="20"/>
                <w:lang w:eastAsia="ru-RU"/>
              </w:rPr>
            </w:r>
          </w:p>
        </w:tc>
        <w:tc>
          <w:tcPr>
            <w:tcW w:w="1319" w:type="pct"/>
            <w:vAlign w:val="center"/>
            <w:textDirection w:val="lrTb"/>
            <w:noWrap w:val="false"/>
          </w:tcPr>
          <w:p>
            <w:pPr>
              <w:pStyle w:val="1251"/>
              <w:ind w:right="11"/>
              <w:rPr>
                <w:spacing w:val="15"/>
                <w:sz w:val="20"/>
                <w:szCs w:val="20"/>
              </w:rPr>
            </w:pPr>
            <w:r>
              <w:rPr>
                <w:spacing w:val="-2"/>
                <w:sz w:val="20"/>
                <w:szCs w:val="20"/>
              </w:rPr>
              <w:t xml:space="preserve">Юридический</w:t>
            </w:r>
            <w:r>
              <w:rPr>
                <w:spacing w:val="15"/>
                <w:sz w:val="20"/>
                <w:szCs w:val="20"/>
              </w:rPr>
            </w:r>
            <w:r>
              <w:rPr>
                <w:spacing w:val="15"/>
                <w:sz w:val="20"/>
                <w:szCs w:val="20"/>
              </w:rPr>
            </w:r>
          </w:p>
          <w:p>
            <w:pPr>
              <w:jc w:val="center"/>
              <w:widowControl/>
              <w:rPr>
                <w:bCs/>
                <w:sz w:val="20"/>
                <w:szCs w:val="20"/>
                <w:lang w:eastAsia="ru-RU"/>
              </w:rPr>
            </w:pPr>
            <w:r>
              <w:rPr>
                <w:spacing w:val="-2"/>
                <w:sz w:val="20"/>
                <w:szCs w:val="20"/>
              </w:rPr>
              <w:t xml:space="preserve">адрес</w:t>
            </w:r>
            <w:r>
              <w:rPr>
                <w:bCs/>
                <w:sz w:val="20"/>
                <w:szCs w:val="20"/>
                <w:lang w:eastAsia="ru-RU"/>
              </w:rPr>
            </w:r>
            <w:r>
              <w:rPr>
                <w:bCs/>
                <w:sz w:val="20"/>
                <w:szCs w:val="20"/>
                <w:lang w:eastAsia="ru-RU"/>
              </w:rPr>
            </w:r>
          </w:p>
        </w:tc>
      </w:tr>
      <w:tr>
        <w:tblPrEx/>
        <w:trPr>
          <w:trHeight w:val="20"/>
        </w:trPr>
        <w:tc>
          <w:tcPr>
            <w:tcW w:w="1359" w:type="pct"/>
            <w:vAlign w:val="center"/>
            <w:textDirection w:val="lrTb"/>
            <w:noWrap w:val="false"/>
          </w:tcPr>
          <w:p>
            <w:pPr>
              <w:jc w:val="center"/>
              <w:widowControl/>
              <w:rPr>
                <w:sz w:val="20"/>
                <w:szCs w:val="20"/>
                <w:lang w:eastAsia="ru-RU"/>
              </w:rPr>
            </w:pPr>
            <w:r>
              <w:rPr>
                <w:sz w:val="20"/>
                <w:szCs w:val="20"/>
                <w:lang w:eastAsia="ru-RU"/>
              </w:rPr>
              <w:t xml:space="preserve">Покупка тепла у котельной п. Новый Мир, ЛПДС «Юргамыш»</w:t>
            </w:r>
            <w:r>
              <w:rPr>
                <w:sz w:val="20"/>
                <w:szCs w:val="20"/>
                <w:lang w:eastAsia="ru-RU"/>
              </w:rPr>
            </w:r>
            <w:r>
              <w:rPr>
                <w:sz w:val="20"/>
                <w:szCs w:val="20"/>
                <w:lang w:eastAsia="ru-RU"/>
              </w:rPr>
            </w:r>
          </w:p>
        </w:tc>
        <w:tc>
          <w:tcPr>
            <w:tcW w:w="1697" w:type="pct"/>
            <w:vAlign w:val="center"/>
            <w:textDirection w:val="lrTb"/>
            <w:noWrap w:val="false"/>
          </w:tcPr>
          <w:p>
            <w:pPr>
              <w:jc w:val="center"/>
              <w:widowControl/>
              <w:rPr>
                <w:sz w:val="20"/>
                <w:szCs w:val="20"/>
                <w:lang w:eastAsia="ru-RU"/>
              </w:rPr>
            </w:pPr>
            <w:r>
              <w:rPr>
                <w:sz w:val="20"/>
                <w:szCs w:val="20"/>
              </w:rPr>
              <w:t xml:space="preserve">ООО «Новомировское домоуправление»</w:t>
            </w:r>
            <w:r>
              <w:rPr>
                <w:sz w:val="20"/>
                <w:szCs w:val="20"/>
                <w:lang w:eastAsia="ru-RU"/>
              </w:rPr>
            </w:r>
            <w:r>
              <w:rPr>
                <w:sz w:val="20"/>
                <w:szCs w:val="20"/>
                <w:lang w:eastAsia="ru-RU"/>
              </w:rPr>
            </w:r>
          </w:p>
        </w:tc>
        <w:tc>
          <w:tcPr>
            <w:shd w:val="clear" w:color="auto" w:fill="auto"/>
            <w:tcW w:w="625" w:type="pct"/>
            <w:vAlign w:val="center"/>
            <w:textDirection w:val="lrTb"/>
            <w:noWrap w:val="false"/>
          </w:tcPr>
          <w:p>
            <w:pPr>
              <w:jc w:val="center"/>
              <w:widowControl/>
              <w:rPr>
                <w:sz w:val="20"/>
                <w:szCs w:val="20"/>
                <w:lang w:eastAsia="ru-RU"/>
              </w:rPr>
            </w:pPr>
            <w:r>
              <w:rPr>
                <w:sz w:val="20"/>
                <w:szCs w:val="20"/>
                <w:lang w:eastAsia="ru-RU"/>
              </w:rPr>
              <w:t xml:space="preserve">4500015965</w:t>
            </w:r>
            <w:r>
              <w:rPr>
                <w:sz w:val="20"/>
                <w:szCs w:val="20"/>
                <w:lang w:eastAsia="ru-RU"/>
              </w:rPr>
            </w:r>
            <w:r>
              <w:rPr>
                <w:sz w:val="20"/>
                <w:szCs w:val="20"/>
                <w:lang w:eastAsia="ru-RU"/>
              </w:rPr>
            </w:r>
          </w:p>
        </w:tc>
        <w:tc>
          <w:tcPr>
            <w:tcW w:w="1319" w:type="pct"/>
            <w:vAlign w:val="center"/>
            <w:textDirection w:val="lrTb"/>
            <w:noWrap w:val="false"/>
          </w:tcPr>
          <w:p>
            <w:pPr>
              <w:jc w:val="center"/>
              <w:widowControl/>
              <w:rPr>
                <w:sz w:val="20"/>
                <w:szCs w:val="20"/>
                <w:lang w:eastAsia="ru-RU"/>
              </w:rPr>
            </w:pPr>
            <w:r>
              <w:rPr>
                <w:sz w:val="20"/>
                <w:szCs w:val="20"/>
              </w:rPr>
              <w:t xml:space="preserve">641210, Курганская область, Юргамышский район, пос. Новый Мир, ул. Советская 1</w:t>
            </w:r>
            <w:r>
              <w:rPr>
                <w:sz w:val="20"/>
                <w:szCs w:val="20"/>
                <w:lang w:eastAsia="ru-RU"/>
              </w:rPr>
            </w:r>
            <w:r>
              <w:rPr>
                <w:sz w:val="20"/>
                <w:szCs w:val="20"/>
                <w:lang w:eastAsia="ru-RU"/>
              </w:rPr>
            </w:r>
          </w:p>
        </w:tc>
      </w:tr>
      <w:tr>
        <w:tblPrEx/>
        <w:trPr>
          <w:trHeight w:val="20"/>
        </w:trPr>
        <w:tc>
          <w:tcPr>
            <w:tcW w:w="1359" w:type="pct"/>
            <w:vAlign w:val="center"/>
            <w:textDirection w:val="lrTb"/>
            <w:noWrap w:val="false"/>
          </w:tcPr>
          <w:p>
            <w:pPr>
              <w:ind w:hanging="8"/>
              <w:jc w:val="center"/>
              <w:widowControl/>
              <w:rPr>
                <w:sz w:val="20"/>
                <w:szCs w:val="20"/>
                <w:lang w:eastAsia="ru-RU"/>
              </w:rPr>
            </w:pPr>
            <w:r>
              <w:rPr>
                <w:color w:val="000000"/>
                <w:sz w:val="20"/>
                <w:szCs w:val="20"/>
              </w:rPr>
              <w:t xml:space="preserve">Котельная </w:t>
            </w:r>
            <w:r>
              <w:rPr>
                <w:rFonts w:ascii="Liberation Serif" w:hAnsi="Liberation Serif" w:cs="Calibri"/>
                <w:color w:val="000000"/>
                <w:sz w:val="20"/>
                <w:szCs w:val="20"/>
              </w:rPr>
              <w:t xml:space="preserve">р.п.  Юргамыш, ул. Железнодорожная, территория тягловой подстанции ОАО «РЖД»</w:t>
            </w:r>
            <w:r>
              <w:rPr>
                <w:sz w:val="20"/>
                <w:szCs w:val="20"/>
                <w:lang w:eastAsia="ru-RU"/>
              </w:rPr>
            </w:r>
            <w:r>
              <w:rPr>
                <w:sz w:val="20"/>
                <w:szCs w:val="20"/>
                <w:lang w:eastAsia="ru-RU"/>
              </w:rPr>
            </w:r>
          </w:p>
        </w:tc>
        <w:tc>
          <w:tcPr>
            <w:tcW w:w="1697" w:type="pct"/>
            <w:vAlign w:val="center"/>
            <w:textDirection w:val="lrTb"/>
            <w:noWrap w:val="false"/>
          </w:tcPr>
          <w:p>
            <w:pPr>
              <w:jc w:val="center"/>
              <w:widowControl/>
              <w:rPr>
                <w:iCs/>
                <w:sz w:val="20"/>
                <w:szCs w:val="20"/>
                <w:lang w:eastAsia="ru-RU"/>
              </w:rPr>
            </w:pPr>
            <w:r>
              <w:rPr>
                <w:iCs/>
                <w:sz w:val="20"/>
                <w:szCs w:val="20"/>
                <w:lang w:eastAsia="ru-RU"/>
              </w:rPr>
              <w:t xml:space="preserve">Курганское отделение Южно-Уральской железной дороги-Филиала Открытого Акционерного Общества «Российские железные дороги»</w:t>
            </w:r>
            <w:r>
              <w:rPr>
                <w:iCs/>
                <w:sz w:val="20"/>
                <w:szCs w:val="20"/>
                <w:lang w:eastAsia="ru-RU"/>
              </w:rPr>
            </w:r>
            <w:r>
              <w:rPr>
                <w:iCs/>
                <w:sz w:val="20"/>
                <w:szCs w:val="20"/>
                <w:lang w:eastAsia="ru-RU"/>
              </w:rPr>
            </w:r>
          </w:p>
        </w:tc>
        <w:tc>
          <w:tcPr>
            <w:shd w:val="clear" w:color="auto" w:fill="auto"/>
            <w:tcW w:w="625" w:type="pct"/>
            <w:vAlign w:val="center"/>
            <w:textDirection w:val="lrTb"/>
            <w:noWrap w:val="false"/>
          </w:tcPr>
          <w:p>
            <w:pPr>
              <w:jc w:val="center"/>
              <w:widowControl/>
              <w:rPr>
                <w:iCs/>
                <w:sz w:val="20"/>
                <w:szCs w:val="20"/>
                <w:lang w:eastAsia="ru-RU"/>
              </w:rPr>
            </w:pPr>
            <w:r>
              <w:rPr>
                <w:sz w:val="20"/>
                <w:szCs w:val="20"/>
                <w:shd w:val="clear" w:color="auto" w:fill="ffffff"/>
              </w:rPr>
              <w:t xml:space="preserve">7708503727</w:t>
            </w:r>
            <w:r>
              <w:rPr>
                <w:iCs/>
                <w:sz w:val="20"/>
                <w:szCs w:val="20"/>
                <w:lang w:eastAsia="ru-RU"/>
              </w:rPr>
            </w:r>
            <w:r>
              <w:rPr>
                <w:iCs/>
                <w:sz w:val="20"/>
                <w:szCs w:val="20"/>
                <w:lang w:eastAsia="ru-RU"/>
              </w:rPr>
            </w:r>
          </w:p>
        </w:tc>
        <w:tc>
          <w:tcPr>
            <w:tcW w:w="1319" w:type="pct"/>
            <w:vAlign w:val="center"/>
            <w:textDirection w:val="lrTb"/>
            <w:noWrap w:val="false"/>
          </w:tcPr>
          <w:p>
            <w:pPr>
              <w:jc w:val="center"/>
              <w:widowControl/>
              <w:rPr>
                <w:iCs/>
                <w:sz w:val="20"/>
                <w:szCs w:val="20"/>
                <w:lang w:eastAsia="ru-RU"/>
              </w:rPr>
            </w:pPr>
            <w:r>
              <w:rPr>
                <w:sz w:val="20"/>
                <w:szCs w:val="20"/>
              </w:rPr>
              <w:t xml:space="preserve">640007, г. Курган, ул. Омская, д.68</w:t>
            </w:r>
            <w:r>
              <w:rPr>
                <w:iCs/>
                <w:sz w:val="20"/>
                <w:szCs w:val="20"/>
                <w:lang w:eastAsia="ru-RU"/>
              </w:rPr>
            </w:r>
            <w:r>
              <w:rPr>
                <w:iCs/>
                <w:sz w:val="20"/>
                <w:szCs w:val="20"/>
                <w:lang w:eastAsia="ru-RU"/>
              </w:rPr>
            </w:r>
          </w:p>
        </w:tc>
      </w:tr>
      <w:tr>
        <w:tblPrEx/>
        <w:trPr>
          <w:trHeight w:val="20"/>
        </w:trPr>
        <w:tc>
          <w:tcPr>
            <w:tcW w:w="1359" w:type="pct"/>
            <w:vAlign w:val="center"/>
            <w:textDirection w:val="lrTb"/>
            <w:noWrap w:val="false"/>
          </w:tcPr>
          <w:p>
            <w:pPr>
              <w:ind w:hanging="8"/>
              <w:jc w:val="center"/>
              <w:widowControl/>
              <w:rPr>
                <w:sz w:val="20"/>
                <w:szCs w:val="20"/>
                <w:lang w:eastAsia="ru-RU"/>
              </w:rPr>
            </w:pPr>
            <w:r>
              <w:rPr>
                <w:sz w:val="20"/>
                <w:szCs w:val="20"/>
              </w:rPr>
              <w:t xml:space="preserve">Котельная ФКУ ИК №7 УФСИН России по Курганской области,</w:t>
            </w:r>
            <w:r>
              <w:rPr>
                <w:rFonts w:ascii="Liberation Serif" w:hAnsi="Liberation Serif" w:cs="Calibri"/>
                <w:color w:val="000000"/>
                <w:sz w:val="20"/>
                <w:szCs w:val="20"/>
              </w:rPr>
              <w:t xml:space="preserve"> Курганская область, р.п. Юргамыш, ул. Труда, 147</w:t>
            </w:r>
            <w:r>
              <w:rPr>
                <w:sz w:val="20"/>
                <w:szCs w:val="20"/>
                <w:lang w:eastAsia="ru-RU"/>
              </w:rPr>
            </w:r>
            <w:r>
              <w:rPr>
                <w:sz w:val="20"/>
                <w:szCs w:val="20"/>
                <w:lang w:eastAsia="ru-RU"/>
              </w:rPr>
            </w:r>
          </w:p>
        </w:tc>
        <w:tc>
          <w:tcPr>
            <w:tcW w:w="1697" w:type="pct"/>
            <w:vAlign w:val="center"/>
            <w:textDirection w:val="lrTb"/>
            <w:noWrap w:val="false"/>
          </w:tcPr>
          <w:p>
            <w:pPr>
              <w:jc w:val="center"/>
              <w:widowControl/>
              <w:rPr>
                <w:sz w:val="20"/>
                <w:szCs w:val="20"/>
                <w:lang w:eastAsia="ru-RU"/>
              </w:rPr>
            </w:pPr>
            <w:r>
              <w:rPr>
                <w:sz w:val="20"/>
                <w:szCs w:val="20"/>
                <w:lang w:eastAsia="ru-RU"/>
              </w:rPr>
              <w:t xml:space="preserve">ФКУ «ИК №7 Федеральной службы исполнения наказания по Курганской области»</w:t>
            </w:r>
            <w:r>
              <w:rPr>
                <w:sz w:val="20"/>
                <w:szCs w:val="20"/>
                <w:lang w:eastAsia="ru-RU"/>
              </w:rPr>
            </w:r>
            <w:r>
              <w:rPr>
                <w:sz w:val="20"/>
                <w:szCs w:val="20"/>
                <w:lang w:eastAsia="ru-RU"/>
              </w:rPr>
            </w:r>
          </w:p>
        </w:tc>
        <w:tc>
          <w:tcPr>
            <w:shd w:val="clear" w:color="auto" w:fill="auto"/>
            <w:tcW w:w="625" w:type="pct"/>
            <w:vAlign w:val="center"/>
            <w:textDirection w:val="lrTb"/>
            <w:noWrap w:val="false"/>
          </w:tcPr>
          <w:p>
            <w:pPr>
              <w:jc w:val="center"/>
              <w:widowControl/>
              <w:rPr>
                <w:sz w:val="20"/>
                <w:szCs w:val="20"/>
                <w:lang w:eastAsia="ru-RU"/>
              </w:rPr>
            </w:pPr>
            <w:r>
              <w:rPr>
                <w:sz w:val="20"/>
                <w:szCs w:val="20"/>
                <w:lang w:eastAsia="ru-RU"/>
              </w:rPr>
              <w:t xml:space="preserve">4526004189</w:t>
            </w:r>
            <w:r>
              <w:rPr>
                <w:sz w:val="20"/>
                <w:szCs w:val="20"/>
                <w:lang w:eastAsia="ru-RU"/>
              </w:rPr>
            </w:r>
            <w:r>
              <w:rPr>
                <w:sz w:val="20"/>
                <w:szCs w:val="20"/>
                <w:lang w:eastAsia="ru-RU"/>
              </w:rPr>
            </w:r>
          </w:p>
        </w:tc>
        <w:tc>
          <w:tcPr>
            <w:tcW w:w="1319" w:type="pct"/>
            <w:vAlign w:val="center"/>
            <w:textDirection w:val="lrTb"/>
            <w:noWrap w:val="false"/>
          </w:tcPr>
          <w:p>
            <w:pPr>
              <w:jc w:val="center"/>
              <w:widowControl/>
              <w:rPr>
                <w:sz w:val="20"/>
                <w:szCs w:val="20"/>
                <w:lang w:eastAsia="ru-RU"/>
              </w:rPr>
            </w:pPr>
            <w:r>
              <w:rPr>
                <w:sz w:val="20"/>
                <w:szCs w:val="20"/>
              </w:rPr>
              <w:t xml:space="preserve">641200, Курганская область, Юргамышский район, р.п. Юргамыш, ул. Труда, д. 147</w:t>
            </w:r>
            <w:r>
              <w:rPr>
                <w:sz w:val="20"/>
                <w:szCs w:val="20"/>
                <w:lang w:eastAsia="ru-RU"/>
              </w:rPr>
            </w:r>
            <w:r>
              <w:rPr>
                <w:sz w:val="20"/>
                <w:szCs w:val="20"/>
                <w:lang w:eastAsia="ru-RU"/>
              </w:rPr>
            </w:r>
          </w:p>
        </w:tc>
      </w:tr>
      <w:tr>
        <w:tblPrEx/>
        <w:trPr>
          <w:trHeight w:val="20"/>
        </w:trPr>
        <w:tc>
          <w:tcPr>
            <w:tcW w:w="1359" w:type="pct"/>
            <w:vAlign w:val="center"/>
            <w:textDirection w:val="lrTb"/>
            <w:noWrap w:val="false"/>
          </w:tcPr>
          <w:p>
            <w:pPr>
              <w:jc w:val="center"/>
              <w:widowControl/>
              <w:rPr>
                <w:sz w:val="20"/>
                <w:szCs w:val="20"/>
                <w:lang w:eastAsia="ru-RU"/>
              </w:rPr>
            </w:pPr>
            <w:r>
              <w:rPr>
                <w:sz w:val="20"/>
                <w:szCs w:val="20"/>
              </w:rPr>
              <w:t xml:space="preserve">Котельная </w:t>
            </w:r>
            <w:r>
              <w:rPr>
                <w:sz w:val="20"/>
                <w:szCs w:val="20"/>
                <w:lang w:eastAsia="ru-RU"/>
              </w:rPr>
              <w:t xml:space="preserve">р.п.Юргамыш, ул. Ленина, 47а</w:t>
            </w:r>
            <w:r>
              <w:rPr>
                <w:sz w:val="20"/>
                <w:szCs w:val="20"/>
                <w:lang w:eastAsia="ru-RU"/>
              </w:rPr>
            </w:r>
            <w:r>
              <w:rPr>
                <w:sz w:val="20"/>
                <w:szCs w:val="20"/>
                <w:lang w:eastAsia="ru-RU"/>
              </w:rPr>
            </w:r>
          </w:p>
        </w:tc>
        <w:tc>
          <w:tcPr>
            <w:tcW w:w="1697" w:type="pct"/>
            <w:vAlign w:val="center"/>
            <w:textDirection w:val="lrTb"/>
            <w:noWrap w:val="false"/>
          </w:tcPr>
          <w:p>
            <w:pPr>
              <w:jc w:val="center"/>
              <w:widowControl/>
              <w:rPr>
                <w:sz w:val="20"/>
                <w:szCs w:val="20"/>
                <w:lang w:eastAsia="ru-RU"/>
              </w:rPr>
            </w:pPr>
            <w:r>
              <w:rPr>
                <w:sz w:val="20"/>
                <w:szCs w:val="20"/>
                <w:lang w:eastAsia="ru-RU"/>
              </w:rPr>
              <w:t xml:space="preserve">ООО «ЮТЭК»</w:t>
            </w:r>
            <w:r>
              <w:rPr>
                <w:sz w:val="20"/>
                <w:szCs w:val="20"/>
                <w:lang w:eastAsia="ru-RU"/>
              </w:rPr>
            </w:r>
            <w:r>
              <w:rPr>
                <w:sz w:val="20"/>
                <w:szCs w:val="20"/>
                <w:lang w:eastAsia="ru-RU"/>
              </w:rPr>
            </w:r>
          </w:p>
        </w:tc>
        <w:tc>
          <w:tcPr>
            <w:shd w:val="clear" w:color="auto" w:fill="auto"/>
            <w:tcW w:w="625" w:type="pct"/>
            <w:vAlign w:val="center"/>
            <w:textDirection w:val="lrTb"/>
            <w:noWrap w:val="false"/>
          </w:tcPr>
          <w:p>
            <w:pPr>
              <w:jc w:val="center"/>
              <w:widowControl/>
              <w:rPr>
                <w:sz w:val="20"/>
                <w:szCs w:val="20"/>
                <w:lang w:eastAsia="ru-RU"/>
              </w:rPr>
            </w:pPr>
            <w:r>
              <w:rPr>
                <w:sz w:val="20"/>
                <w:szCs w:val="20"/>
                <w:lang w:eastAsia="ru-RU"/>
              </w:rPr>
              <w:t xml:space="preserve">4526006500</w:t>
            </w:r>
            <w:r>
              <w:rPr>
                <w:sz w:val="20"/>
                <w:szCs w:val="20"/>
                <w:lang w:eastAsia="ru-RU"/>
              </w:rPr>
            </w:r>
            <w:r>
              <w:rPr>
                <w:sz w:val="20"/>
                <w:szCs w:val="20"/>
                <w:lang w:eastAsia="ru-RU"/>
              </w:rPr>
            </w:r>
          </w:p>
        </w:tc>
        <w:tc>
          <w:tcPr>
            <w:tcW w:w="1319" w:type="pct"/>
            <w:vAlign w:val="center"/>
            <w:textDirection w:val="lrTb"/>
            <w:noWrap w:val="false"/>
          </w:tcPr>
          <w:p>
            <w:pPr>
              <w:jc w:val="center"/>
              <w:widowControl/>
              <w:rPr>
                <w:sz w:val="20"/>
                <w:szCs w:val="20"/>
                <w:lang w:eastAsia="ru-RU"/>
              </w:rPr>
            </w:pPr>
            <w:r>
              <w:rPr>
                <w:sz w:val="20"/>
                <w:szCs w:val="20"/>
              </w:rPr>
              <w:t xml:space="preserve">641200, Курганская область, Юргамышский район, р.п. Юргамыш, ул Ленина, д. 47а, офис 1</w:t>
            </w:r>
            <w:r>
              <w:rPr>
                <w:sz w:val="20"/>
                <w:szCs w:val="20"/>
                <w:lang w:eastAsia="ru-RU"/>
              </w:rPr>
            </w:r>
            <w:r>
              <w:rPr>
                <w:sz w:val="20"/>
                <w:szCs w:val="20"/>
                <w:lang w:eastAsia="ru-RU"/>
              </w:rPr>
            </w:r>
          </w:p>
        </w:tc>
      </w:tr>
      <w:tr>
        <w:tblPrEx/>
        <w:trPr>
          <w:trHeight w:val="20"/>
        </w:trPr>
        <w:tc>
          <w:tcPr>
            <w:tcW w:w="1359" w:type="pct"/>
            <w:vAlign w:val="center"/>
            <w:textDirection w:val="lrTb"/>
            <w:noWrap w:val="false"/>
          </w:tcPr>
          <w:p>
            <w:pPr>
              <w:jc w:val="center"/>
              <w:widowControl/>
              <w:rPr>
                <w:sz w:val="20"/>
                <w:szCs w:val="20"/>
                <w:lang w:eastAsia="ru-RU"/>
              </w:rPr>
            </w:pPr>
            <w:r>
              <w:rPr>
                <w:sz w:val="20"/>
                <w:szCs w:val="20"/>
              </w:rPr>
              <w:t xml:space="preserve">Котельная</w:t>
            </w:r>
            <w:r>
              <w:rPr>
                <w:sz w:val="20"/>
                <w:szCs w:val="20"/>
                <w:lang w:eastAsia="ru-RU"/>
              </w:rPr>
              <w:t xml:space="preserve">, р.п.Юргамыш, ул. Свободы 25А</w:t>
            </w:r>
            <w:r>
              <w:rPr>
                <w:sz w:val="20"/>
                <w:szCs w:val="20"/>
                <w:lang w:eastAsia="ru-RU"/>
              </w:rPr>
            </w:r>
            <w:r>
              <w:rPr>
                <w:sz w:val="20"/>
                <w:szCs w:val="20"/>
                <w:lang w:eastAsia="ru-RU"/>
              </w:rPr>
            </w:r>
          </w:p>
        </w:tc>
        <w:tc>
          <w:tcPr>
            <w:tcW w:w="1697" w:type="pct"/>
            <w:vAlign w:val="center"/>
            <w:textDirection w:val="lrTb"/>
            <w:noWrap w:val="false"/>
          </w:tcPr>
          <w:p>
            <w:pPr>
              <w:jc w:val="center"/>
              <w:widowControl/>
              <w:rPr>
                <w:sz w:val="20"/>
                <w:szCs w:val="20"/>
                <w:lang w:eastAsia="ru-RU"/>
              </w:rPr>
            </w:pPr>
            <w:r>
              <w:rPr>
                <w:sz w:val="20"/>
                <w:szCs w:val="20"/>
                <w:lang w:eastAsia="ru-RU"/>
              </w:rPr>
              <w:t xml:space="preserve">ООО «ЖКХ Юго-Запад»</w:t>
            </w:r>
            <w:r>
              <w:rPr>
                <w:sz w:val="20"/>
                <w:szCs w:val="20"/>
                <w:lang w:eastAsia="ru-RU"/>
              </w:rPr>
            </w:r>
            <w:r>
              <w:rPr>
                <w:sz w:val="20"/>
                <w:szCs w:val="20"/>
                <w:lang w:eastAsia="ru-RU"/>
              </w:rPr>
            </w:r>
          </w:p>
        </w:tc>
        <w:tc>
          <w:tcPr>
            <w:shd w:val="clear" w:color="auto" w:fill="auto"/>
            <w:tcW w:w="625" w:type="pct"/>
            <w:vAlign w:val="center"/>
            <w:textDirection w:val="lrTb"/>
            <w:noWrap/>
          </w:tcPr>
          <w:p>
            <w:pPr>
              <w:jc w:val="center"/>
              <w:widowControl/>
              <w:rPr>
                <w:sz w:val="20"/>
                <w:szCs w:val="20"/>
                <w:lang w:eastAsia="ru-RU"/>
              </w:rPr>
            </w:pPr>
            <w:r>
              <w:rPr>
                <w:sz w:val="20"/>
                <w:szCs w:val="20"/>
                <w:lang w:eastAsia="ru-RU"/>
              </w:rPr>
              <w:t xml:space="preserve">4519006185</w:t>
            </w:r>
            <w:r>
              <w:rPr>
                <w:sz w:val="20"/>
                <w:szCs w:val="20"/>
                <w:lang w:eastAsia="ru-RU"/>
              </w:rPr>
            </w:r>
            <w:r>
              <w:rPr>
                <w:sz w:val="20"/>
                <w:szCs w:val="20"/>
                <w:lang w:eastAsia="ru-RU"/>
              </w:rPr>
            </w:r>
          </w:p>
        </w:tc>
        <w:tc>
          <w:tcPr>
            <w:tcW w:w="1319" w:type="pct"/>
            <w:vAlign w:val="center"/>
            <w:textDirection w:val="lrTb"/>
            <w:noWrap w:val="false"/>
          </w:tcPr>
          <w:p>
            <w:pPr>
              <w:jc w:val="center"/>
              <w:widowControl/>
              <w:rPr>
                <w:sz w:val="20"/>
                <w:szCs w:val="20"/>
                <w:lang w:eastAsia="ru-RU"/>
              </w:rPr>
            </w:pPr>
            <w:r>
              <w:rPr>
                <w:sz w:val="20"/>
                <w:szCs w:val="20"/>
              </w:rPr>
              <w:t xml:space="preserve">641080, Курганская область, Сафакулевский район, село Сафакулево, ул. Первомайская, д. 11а</w:t>
            </w:r>
            <w:r>
              <w:rPr>
                <w:sz w:val="20"/>
                <w:szCs w:val="20"/>
                <w:lang w:eastAsia="ru-RU"/>
              </w:rPr>
            </w:r>
            <w:r>
              <w:rPr>
                <w:sz w:val="20"/>
                <w:szCs w:val="20"/>
                <w:lang w:eastAsia="ru-RU"/>
              </w:rPr>
            </w:r>
          </w:p>
        </w:tc>
      </w:tr>
      <w:tr>
        <w:tblPrEx/>
        <w:trPr>
          <w:trHeight w:val="20"/>
        </w:trPr>
        <w:tc>
          <w:tcPr>
            <w:tcW w:w="1359" w:type="pct"/>
            <w:vAlign w:val="center"/>
            <w:textDirection w:val="lrTb"/>
            <w:noWrap w:val="false"/>
          </w:tcPr>
          <w:p>
            <w:pPr>
              <w:jc w:val="center"/>
              <w:widowControl/>
              <w:rPr>
                <w:sz w:val="20"/>
                <w:szCs w:val="20"/>
                <w:lang w:eastAsia="ru-RU"/>
              </w:rPr>
            </w:pPr>
            <w:r>
              <w:rPr>
                <w:sz w:val="20"/>
                <w:szCs w:val="20"/>
              </w:rPr>
              <w:t xml:space="preserve">Котельная </w:t>
            </w:r>
            <w:r>
              <w:rPr>
                <w:sz w:val="20"/>
                <w:szCs w:val="20"/>
                <w:lang w:eastAsia="ru-RU"/>
              </w:rPr>
              <w:t xml:space="preserve">р.п.Юргамыш, ул. Кирова, 38Г</w:t>
            </w:r>
            <w:r>
              <w:rPr>
                <w:sz w:val="20"/>
                <w:szCs w:val="20"/>
                <w:lang w:eastAsia="ru-RU"/>
              </w:rPr>
            </w:r>
            <w:r>
              <w:rPr>
                <w:sz w:val="20"/>
                <w:szCs w:val="20"/>
                <w:lang w:eastAsia="ru-RU"/>
              </w:rPr>
            </w:r>
          </w:p>
        </w:tc>
        <w:tc>
          <w:tcPr>
            <w:tcW w:w="1697" w:type="pct"/>
            <w:vAlign w:val="center"/>
            <w:textDirection w:val="lrTb"/>
            <w:noWrap w:val="false"/>
          </w:tcPr>
          <w:p>
            <w:pPr>
              <w:jc w:val="center"/>
              <w:widowControl/>
              <w:rPr>
                <w:sz w:val="20"/>
                <w:szCs w:val="20"/>
                <w:lang w:eastAsia="ru-RU"/>
              </w:rPr>
            </w:pPr>
            <w:r>
              <w:rPr>
                <w:sz w:val="20"/>
                <w:szCs w:val="20"/>
                <w:lang w:eastAsia="ru-RU"/>
              </w:rPr>
              <w:t xml:space="preserve">ООО «ЖКХ Юго-Запад»</w:t>
            </w:r>
            <w:r>
              <w:rPr>
                <w:sz w:val="20"/>
                <w:szCs w:val="20"/>
                <w:lang w:eastAsia="ru-RU"/>
              </w:rPr>
            </w:r>
            <w:r>
              <w:rPr>
                <w:sz w:val="20"/>
                <w:szCs w:val="20"/>
                <w:lang w:eastAsia="ru-RU"/>
              </w:rPr>
            </w:r>
          </w:p>
        </w:tc>
        <w:tc>
          <w:tcPr>
            <w:shd w:val="clear" w:color="auto" w:fill="auto"/>
            <w:tcW w:w="625" w:type="pct"/>
            <w:vAlign w:val="center"/>
            <w:textDirection w:val="lrTb"/>
            <w:noWrap/>
          </w:tcPr>
          <w:p>
            <w:pPr>
              <w:jc w:val="center"/>
              <w:widowControl/>
              <w:rPr>
                <w:sz w:val="20"/>
                <w:szCs w:val="20"/>
                <w:lang w:eastAsia="ru-RU"/>
              </w:rPr>
            </w:pPr>
            <w:r>
              <w:rPr>
                <w:sz w:val="20"/>
                <w:szCs w:val="20"/>
                <w:lang w:eastAsia="ru-RU"/>
              </w:rPr>
              <w:t xml:space="preserve">4519006185</w:t>
            </w:r>
            <w:r>
              <w:rPr>
                <w:sz w:val="20"/>
                <w:szCs w:val="20"/>
                <w:lang w:eastAsia="ru-RU"/>
              </w:rPr>
            </w:r>
            <w:r>
              <w:rPr>
                <w:sz w:val="20"/>
                <w:szCs w:val="20"/>
                <w:lang w:eastAsia="ru-RU"/>
              </w:rPr>
            </w:r>
          </w:p>
        </w:tc>
        <w:tc>
          <w:tcPr>
            <w:tcW w:w="1319" w:type="pct"/>
            <w:vAlign w:val="center"/>
            <w:textDirection w:val="lrTb"/>
            <w:noWrap w:val="false"/>
          </w:tcPr>
          <w:p>
            <w:pPr>
              <w:jc w:val="center"/>
              <w:widowControl/>
              <w:rPr>
                <w:sz w:val="20"/>
                <w:szCs w:val="20"/>
                <w:lang w:eastAsia="ru-RU"/>
              </w:rPr>
            </w:pPr>
            <w:r>
              <w:rPr>
                <w:sz w:val="20"/>
                <w:szCs w:val="20"/>
              </w:rPr>
              <w:t xml:space="preserve">641080, Курганская область, Сафакулевский район, село Сафакулево, ул. Первомайская, д. 11а</w:t>
            </w:r>
            <w:r>
              <w:rPr>
                <w:sz w:val="20"/>
                <w:szCs w:val="20"/>
                <w:lang w:eastAsia="ru-RU"/>
              </w:rPr>
            </w:r>
            <w:r>
              <w:rPr>
                <w:sz w:val="20"/>
                <w:szCs w:val="20"/>
                <w:lang w:eastAsia="ru-RU"/>
              </w:rPr>
            </w:r>
          </w:p>
        </w:tc>
      </w:tr>
      <w:tr>
        <w:tblPrEx/>
        <w:trPr>
          <w:trHeight w:val="20"/>
        </w:trPr>
        <w:tc>
          <w:tcPr>
            <w:tcW w:w="1359" w:type="pct"/>
            <w:vAlign w:val="center"/>
            <w:textDirection w:val="lrTb"/>
            <w:noWrap w:val="false"/>
          </w:tcPr>
          <w:p>
            <w:pPr>
              <w:jc w:val="center"/>
              <w:widowControl/>
              <w:rPr>
                <w:sz w:val="20"/>
                <w:szCs w:val="20"/>
                <w:lang w:eastAsia="ru-RU"/>
              </w:rPr>
            </w:pPr>
            <w:r>
              <w:rPr>
                <w:sz w:val="20"/>
                <w:szCs w:val="20"/>
              </w:rPr>
              <w:t xml:space="preserve">Котельная</w:t>
            </w:r>
            <w:r>
              <w:rPr>
                <w:sz w:val="20"/>
                <w:szCs w:val="20"/>
                <w:lang w:eastAsia="ru-RU"/>
              </w:rPr>
              <w:t xml:space="preserve">, р.п.Юргамыш,, ул. Леспромхоза, 4А</w:t>
            </w:r>
            <w:r>
              <w:rPr>
                <w:sz w:val="20"/>
                <w:szCs w:val="20"/>
                <w:lang w:eastAsia="ru-RU"/>
              </w:rPr>
            </w:r>
            <w:r>
              <w:rPr>
                <w:sz w:val="20"/>
                <w:szCs w:val="20"/>
                <w:lang w:eastAsia="ru-RU"/>
              </w:rPr>
            </w:r>
          </w:p>
        </w:tc>
        <w:tc>
          <w:tcPr>
            <w:tcW w:w="1697" w:type="pct"/>
            <w:vAlign w:val="center"/>
            <w:textDirection w:val="lrTb"/>
            <w:noWrap w:val="false"/>
          </w:tcPr>
          <w:p>
            <w:pPr>
              <w:jc w:val="center"/>
              <w:widowControl/>
              <w:rPr>
                <w:sz w:val="20"/>
                <w:szCs w:val="20"/>
                <w:lang w:eastAsia="ru-RU"/>
              </w:rPr>
            </w:pPr>
            <w:r>
              <w:rPr>
                <w:sz w:val="20"/>
                <w:szCs w:val="20"/>
                <w:lang w:eastAsia="ru-RU"/>
              </w:rPr>
              <w:t xml:space="preserve">ООО «ЖКХ Юго-Запад»</w:t>
            </w:r>
            <w:r>
              <w:rPr>
                <w:sz w:val="20"/>
                <w:szCs w:val="20"/>
                <w:lang w:eastAsia="ru-RU"/>
              </w:rPr>
            </w:r>
            <w:r>
              <w:rPr>
                <w:sz w:val="20"/>
                <w:szCs w:val="20"/>
                <w:lang w:eastAsia="ru-RU"/>
              </w:rPr>
            </w:r>
          </w:p>
        </w:tc>
        <w:tc>
          <w:tcPr>
            <w:shd w:val="clear" w:color="auto" w:fill="auto"/>
            <w:tcW w:w="625" w:type="pct"/>
            <w:vAlign w:val="center"/>
            <w:textDirection w:val="lrTb"/>
            <w:noWrap/>
          </w:tcPr>
          <w:p>
            <w:pPr>
              <w:jc w:val="center"/>
              <w:widowControl/>
              <w:rPr>
                <w:sz w:val="20"/>
                <w:szCs w:val="20"/>
                <w:lang w:eastAsia="ru-RU"/>
              </w:rPr>
            </w:pPr>
            <w:r>
              <w:rPr>
                <w:sz w:val="20"/>
                <w:szCs w:val="20"/>
                <w:lang w:eastAsia="ru-RU"/>
              </w:rPr>
              <w:t xml:space="preserve">4519006185</w:t>
            </w:r>
            <w:r>
              <w:rPr>
                <w:sz w:val="20"/>
                <w:szCs w:val="20"/>
                <w:lang w:eastAsia="ru-RU"/>
              </w:rPr>
            </w:r>
            <w:r>
              <w:rPr>
                <w:sz w:val="20"/>
                <w:szCs w:val="20"/>
                <w:lang w:eastAsia="ru-RU"/>
              </w:rPr>
            </w:r>
          </w:p>
        </w:tc>
        <w:tc>
          <w:tcPr>
            <w:tcW w:w="1319" w:type="pct"/>
            <w:vAlign w:val="center"/>
            <w:textDirection w:val="lrTb"/>
            <w:noWrap w:val="false"/>
          </w:tcPr>
          <w:p>
            <w:pPr>
              <w:jc w:val="center"/>
              <w:widowControl/>
              <w:rPr>
                <w:sz w:val="20"/>
                <w:szCs w:val="20"/>
                <w:lang w:eastAsia="ru-RU"/>
              </w:rPr>
            </w:pPr>
            <w:r>
              <w:rPr>
                <w:sz w:val="20"/>
                <w:szCs w:val="20"/>
              </w:rPr>
              <w:t xml:space="preserve">641080, Курганская область, Сафакулевский район, село Сафакулево, ул. Первомайская, д. 11а</w:t>
            </w:r>
            <w:r>
              <w:rPr>
                <w:sz w:val="20"/>
                <w:szCs w:val="20"/>
                <w:lang w:eastAsia="ru-RU"/>
              </w:rPr>
            </w:r>
            <w:r>
              <w:rPr>
                <w:sz w:val="20"/>
                <w:szCs w:val="20"/>
                <w:lang w:eastAsia="ru-RU"/>
              </w:rPr>
            </w:r>
          </w:p>
        </w:tc>
      </w:tr>
      <w:tr>
        <w:tblPrEx/>
        <w:trPr>
          <w:trHeight w:val="20"/>
        </w:trPr>
        <w:tc>
          <w:tcPr>
            <w:tcW w:w="1359" w:type="pct"/>
            <w:vAlign w:val="center"/>
            <w:textDirection w:val="lrTb"/>
            <w:noWrap w:val="false"/>
          </w:tcPr>
          <w:p>
            <w:pPr>
              <w:jc w:val="center"/>
              <w:widowControl/>
              <w:rPr>
                <w:sz w:val="20"/>
                <w:szCs w:val="20"/>
                <w:lang w:eastAsia="ru-RU"/>
              </w:rPr>
            </w:pPr>
            <w:r>
              <w:rPr>
                <w:sz w:val="20"/>
                <w:szCs w:val="20"/>
              </w:rPr>
              <w:t xml:space="preserve">Котельная </w:t>
            </w:r>
            <w:r>
              <w:rPr>
                <w:sz w:val="20"/>
                <w:szCs w:val="20"/>
                <w:lang w:eastAsia="ru-RU"/>
              </w:rPr>
              <w:t xml:space="preserve">с. Кислянское, ул. Советская, 25А</w:t>
            </w:r>
            <w:r>
              <w:rPr>
                <w:sz w:val="20"/>
                <w:szCs w:val="20"/>
                <w:lang w:eastAsia="ru-RU"/>
              </w:rPr>
            </w:r>
            <w:r>
              <w:rPr>
                <w:sz w:val="20"/>
                <w:szCs w:val="20"/>
                <w:lang w:eastAsia="ru-RU"/>
              </w:rPr>
            </w:r>
          </w:p>
        </w:tc>
        <w:tc>
          <w:tcPr>
            <w:tcW w:w="1697" w:type="pct"/>
            <w:vAlign w:val="center"/>
            <w:textDirection w:val="lrTb"/>
            <w:noWrap w:val="false"/>
          </w:tcPr>
          <w:p>
            <w:pPr>
              <w:jc w:val="center"/>
              <w:widowControl/>
              <w:rPr>
                <w:sz w:val="20"/>
                <w:szCs w:val="20"/>
                <w:lang w:eastAsia="ru-RU"/>
              </w:rPr>
            </w:pPr>
            <w:r>
              <w:rPr>
                <w:sz w:val="20"/>
                <w:szCs w:val="20"/>
                <w:lang w:eastAsia="ru-RU"/>
              </w:rPr>
              <w:t xml:space="preserve">ООО «ЖКХ Юго-Запад»</w:t>
            </w:r>
            <w:r>
              <w:rPr>
                <w:sz w:val="20"/>
                <w:szCs w:val="20"/>
                <w:lang w:eastAsia="ru-RU"/>
              </w:rPr>
            </w:r>
            <w:r>
              <w:rPr>
                <w:sz w:val="20"/>
                <w:szCs w:val="20"/>
                <w:lang w:eastAsia="ru-RU"/>
              </w:rPr>
            </w:r>
          </w:p>
        </w:tc>
        <w:tc>
          <w:tcPr>
            <w:shd w:val="clear" w:color="auto" w:fill="auto"/>
            <w:tcW w:w="625" w:type="pct"/>
            <w:vAlign w:val="center"/>
            <w:textDirection w:val="lrTb"/>
            <w:noWrap/>
          </w:tcPr>
          <w:p>
            <w:pPr>
              <w:jc w:val="center"/>
              <w:widowControl/>
              <w:rPr>
                <w:sz w:val="20"/>
                <w:szCs w:val="20"/>
                <w:lang w:eastAsia="ru-RU"/>
              </w:rPr>
            </w:pPr>
            <w:r>
              <w:rPr>
                <w:sz w:val="20"/>
                <w:szCs w:val="20"/>
                <w:lang w:eastAsia="ru-RU"/>
              </w:rPr>
              <w:t xml:space="preserve">4519006185</w:t>
            </w:r>
            <w:r>
              <w:rPr>
                <w:sz w:val="20"/>
                <w:szCs w:val="20"/>
                <w:lang w:eastAsia="ru-RU"/>
              </w:rPr>
            </w:r>
            <w:r>
              <w:rPr>
                <w:sz w:val="20"/>
                <w:szCs w:val="20"/>
                <w:lang w:eastAsia="ru-RU"/>
              </w:rPr>
            </w:r>
          </w:p>
        </w:tc>
        <w:tc>
          <w:tcPr>
            <w:tcW w:w="1319" w:type="pct"/>
            <w:vAlign w:val="center"/>
            <w:textDirection w:val="lrTb"/>
            <w:noWrap w:val="false"/>
          </w:tcPr>
          <w:p>
            <w:pPr>
              <w:jc w:val="center"/>
              <w:widowControl/>
              <w:rPr>
                <w:sz w:val="20"/>
                <w:szCs w:val="20"/>
                <w:lang w:eastAsia="ru-RU"/>
              </w:rPr>
            </w:pPr>
            <w:r>
              <w:rPr>
                <w:sz w:val="20"/>
                <w:szCs w:val="20"/>
              </w:rPr>
              <w:t xml:space="preserve">641080, Курганская область, Сафакулевский район, село Сафакулево, ул. Первомайская, д. 11а</w:t>
            </w:r>
            <w:r>
              <w:rPr>
                <w:sz w:val="20"/>
                <w:szCs w:val="20"/>
                <w:lang w:eastAsia="ru-RU"/>
              </w:rPr>
            </w:r>
            <w:r>
              <w:rPr>
                <w:sz w:val="20"/>
                <w:szCs w:val="20"/>
                <w:lang w:eastAsia="ru-RU"/>
              </w:rPr>
            </w:r>
          </w:p>
        </w:tc>
      </w:tr>
      <w:tr>
        <w:tblPrEx/>
        <w:trPr>
          <w:trHeight w:val="20"/>
        </w:trPr>
        <w:tc>
          <w:tcPr>
            <w:tcW w:w="1359" w:type="pct"/>
            <w:vAlign w:val="center"/>
            <w:textDirection w:val="lrTb"/>
            <w:noWrap w:val="false"/>
          </w:tcPr>
          <w:p>
            <w:pPr>
              <w:jc w:val="center"/>
              <w:widowControl/>
              <w:rPr>
                <w:sz w:val="20"/>
                <w:szCs w:val="20"/>
                <w:lang w:eastAsia="ru-RU"/>
              </w:rPr>
            </w:pPr>
            <w:r>
              <w:rPr>
                <w:sz w:val="20"/>
                <w:szCs w:val="20"/>
              </w:rPr>
              <w:t xml:space="preserve">Котельная </w:t>
            </w:r>
            <w:r>
              <w:rPr>
                <w:sz w:val="20"/>
                <w:szCs w:val="20"/>
                <w:lang w:eastAsia="ru-RU"/>
              </w:rPr>
              <w:t xml:space="preserve">с</w:t>
            </w:r>
            <w:r>
              <w:rPr>
                <w:sz w:val="20"/>
                <w:szCs w:val="20"/>
                <w:lang w:eastAsia="ru-RU"/>
              </w:rPr>
              <w:t xml:space="preserve">. Чинеево, ул. Центральная, 7Б</w:t>
            </w:r>
            <w:r>
              <w:rPr>
                <w:sz w:val="20"/>
                <w:szCs w:val="20"/>
                <w:lang w:eastAsia="ru-RU"/>
              </w:rPr>
            </w:r>
            <w:r>
              <w:rPr>
                <w:sz w:val="20"/>
                <w:szCs w:val="20"/>
                <w:lang w:eastAsia="ru-RU"/>
              </w:rPr>
            </w:r>
          </w:p>
        </w:tc>
        <w:tc>
          <w:tcPr>
            <w:tcW w:w="1697" w:type="pct"/>
            <w:vAlign w:val="center"/>
            <w:textDirection w:val="lrTb"/>
            <w:noWrap w:val="false"/>
          </w:tcPr>
          <w:p>
            <w:pPr>
              <w:jc w:val="center"/>
              <w:widowControl/>
              <w:rPr>
                <w:sz w:val="20"/>
                <w:szCs w:val="20"/>
                <w:lang w:eastAsia="ru-RU"/>
              </w:rPr>
            </w:pPr>
            <w:r>
              <w:rPr>
                <w:sz w:val="20"/>
                <w:szCs w:val="20"/>
                <w:lang w:eastAsia="ru-RU"/>
              </w:rPr>
              <w:t xml:space="preserve">ООО «ЖКХ Юго-Запад»</w:t>
            </w:r>
            <w:r>
              <w:rPr>
                <w:sz w:val="20"/>
                <w:szCs w:val="20"/>
                <w:lang w:eastAsia="ru-RU"/>
              </w:rPr>
            </w:r>
            <w:r>
              <w:rPr>
                <w:sz w:val="20"/>
                <w:szCs w:val="20"/>
                <w:lang w:eastAsia="ru-RU"/>
              </w:rPr>
            </w:r>
          </w:p>
        </w:tc>
        <w:tc>
          <w:tcPr>
            <w:shd w:val="clear" w:color="auto" w:fill="auto"/>
            <w:tcW w:w="625" w:type="pct"/>
            <w:vAlign w:val="center"/>
            <w:textDirection w:val="lrTb"/>
            <w:noWrap/>
          </w:tcPr>
          <w:p>
            <w:pPr>
              <w:jc w:val="center"/>
              <w:widowControl/>
              <w:rPr>
                <w:sz w:val="20"/>
                <w:szCs w:val="20"/>
                <w:lang w:eastAsia="ru-RU"/>
              </w:rPr>
            </w:pPr>
            <w:r>
              <w:rPr>
                <w:sz w:val="20"/>
                <w:szCs w:val="20"/>
                <w:lang w:eastAsia="ru-RU"/>
              </w:rPr>
              <w:t xml:space="preserve">4519006185</w:t>
            </w:r>
            <w:r>
              <w:rPr>
                <w:sz w:val="20"/>
                <w:szCs w:val="20"/>
                <w:lang w:eastAsia="ru-RU"/>
              </w:rPr>
            </w:r>
            <w:r>
              <w:rPr>
                <w:sz w:val="20"/>
                <w:szCs w:val="20"/>
                <w:lang w:eastAsia="ru-RU"/>
              </w:rPr>
            </w:r>
          </w:p>
        </w:tc>
        <w:tc>
          <w:tcPr>
            <w:tcW w:w="1319" w:type="pct"/>
            <w:vAlign w:val="center"/>
            <w:textDirection w:val="lrTb"/>
            <w:noWrap w:val="false"/>
          </w:tcPr>
          <w:p>
            <w:pPr>
              <w:jc w:val="center"/>
              <w:widowControl/>
              <w:rPr>
                <w:sz w:val="20"/>
                <w:szCs w:val="20"/>
                <w:lang w:eastAsia="ru-RU"/>
              </w:rPr>
            </w:pPr>
            <w:r>
              <w:rPr>
                <w:sz w:val="20"/>
                <w:szCs w:val="20"/>
              </w:rPr>
              <w:t xml:space="preserve">641080, Курганская область, Сафакулевский район, село Сафакулево, ул. Первомайская, д. 11а</w:t>
            </w:r>
            <w:r>
              <w:rPr>
                <w:sz w:val="20"/>
                <w:szCs w:val="20"/>
                <w:lang w:eastAsia="ru-RU"/>
              </w:rPr>
            </w:r>
            <w:r>
              <w:rPr>
                <w:sz w:val="20"/>
                <w:szCs w:val="20"/>
                <w:lang w:eastAsia="ru-RU"/>
              </w:rPr>
            </w:r>
          </w:p>
        </w:tc>
      </w:tr>
      <w:tr>
        <w:tblPrEx/>
        <w:trPr>
          <w:trHeight w:val="20"/>
        </w:trPr>
        <w:tc>
          <w:tcPr>
            <w:tcW w:w="1359" w:type="pct"/>
            <w:vAlign w:val="center"/>
            <w:textDirection w:val="lrTb"/>
            <w:noWrap w:val="false"/>
          </w:tcPr>
          <w:p>
            <w:pPr>
              <w:jc w:val="center"/>
              <w:widowControl/>
              <w:rPr>
                <w:sz w:val="20"/>
                <w:szCs w:val="20"/>
                <w:lang w:eastAsia="ru-RU"/>
              </w:rPr>
            </w:pPr>
            <w:r>
              <w:rPr>
                <w:sz w:val="20"/>
                <w:szCs w:val="20"/>
              </w:rPr>
              <w:t xml:space="preserve">Котельная </w:t>
            </w:r>
            <w:r>
              <w:rPr>
                <w:sz w:val="20"/>
                <w:szCs w:val="20"/>
                <w:lang w:eastAsia="ru-RU"/>
              </w:rPr>
              <w:t xml:space="preserve">р.п.Юргамыш, ул. Ленина, 16А</w:t>
            </w:r>
            <w:r>
              <w:rPr>
                <w:sz w:val="20"/>
                <w:szCs w:val="20"/>
                <w:lang w:eastAsia="ru-RU"/>
              </w:rPr>
            </w:r>
            <w:r>
              <w:rPr>
                <w:sz w:val="20"/>
                <w:szCs w:val="20"/>
                <w:lang w:eastAsia="ru-RU"/>
              </w:rPr>
            </w:r>
          </w:p>
        </w:tc>
        <w:tc>
          <w:tcPr>
            <w:tcW w:w="1697" w:type="pct"/>
            <w:vAlign w:val="center"/>
            <w:textDirection w:val="lrTb"/>
            <w:noWrap w:val="false"/>
          </w:tcPr>
          <w:p>
            <w:pPr>
              <w:jc w:val="center"/>
              <w:widowControl/>
              <w:rPr>
                <w:sz w:val="20"/>
                <w:szCs w:val="20"/>
                <w:lang w:eastAsia="ru-RU"/>
              </w:rPr>
            </w:pPr>
            <w:r>
              <w:rPr>
                <w:sz w:val="20"/>
                <w:szCs w:val="20"/>
                <w:lang w:eastAsia="ru-RU"/>
              </w:rPr>
              <w:t xml:space="preserve">ООО «ЖКХ Юго-Запад»</w:t>
            </w:r>
            <w:r>
              <w:rPr>
                <w:sz w:val="20"/>
                <w:szCs w:val="20"/>
                <w:lang w:eastAsia="ru-RU"/>
              </w:rPr>
            </w:r>
            <w:r>
              <w:rPr>
                <w:sz w:val="20"/>
                <w:szCs w:val="20"/>
                <w:lang w:eastAsia="ru-RU"/>
              </w:rPr>
            </w:r>
          </w:p>
        </w:tc>
        <w:tc>
          <w:tcPr>
            <w:shd w:val="clear" w:color="auto" w:fill="auto"/>
            <w:tcW w:w="625" w:type="pct"/>
            <w:vAlign w:val="center"/>
            <w:textDirection w:val="lrTb"/>
            <w:noWrap/>
          </w:tcPr>
          <w:p>
            <w:pPr>
              <w:jc w:val="center"/>
              <w:widowControl/>
              <w:rPr>
                <w:sz w:val="20"/>
                <w:szCs w:val="20"/>
                <w:lang w:eastAsia="ru-RU"/>
              </w:rPr>
            </w:pPr>
            <w:r>
              <w:rPr>
                <w:sz w:val="20"/>
                <w:szCs w:val="20"/>
                <w:lang w:eastAsia="ru-RU"/>
              </w:rPr>
              <w:t xml:space="preserve">4519006185</w:t>
            </w:r>
            <w:r>
              <w:rPr>
                <w:sz w:val="20"/>
                <w:szCs w:val="20"/>
                <w:lang w:eastAsia="ru-RU"/>
              </w:rPr>
            </w:r>
            <w:r>
              <w:rPr>
                <w:sz w:val="20"/>
                <w:szCs w:val="20"/>
                <w:lang w:eastAsia="ru-RU"/>
              </w:rPr>
            </w:r>
          </w:p>
        </w:tc>
        <w:tc>
          <w:tcPr>
            <w:tcW w:w="1319" w:type="pct"/>
            <w:vAlign w:val="center"/>
            <w:textDirection w:val="lrTb"/>
            <w:noWrap w:val="false"/>
          </w:tcPr>
          <w:p>
            <w:pPr>
              <w:jc w:val="center"/>
              <w:widowControl/>
              <w:rPr>
                <w:sz w:val="20"/>
                <w:szCs w:val="20"/>
                <w:lang w:eastAsia="ru-RU"/>
              </w:rPr>
            </w:pPr>
            <w:r>
              <w:rPr>
                <w:sz w:val="20"/>
                <w:szCs w:val="20"/>
              </w:rPr>
              <w:t xml:space="preserve">641080, Курганская область, Сафакулевский район, село Сафакулево, ул. Первомайская, д. 11а</w:t>
            </w:r>
            <w:r>
              <w:rPr>
                <w:sz w:val="20"/>
                <w:szCs w:val="20"/>
                <w:lang w:eastAsia="ru-RU"/>
              </w:rPr>
            </w:r>
            <w:r>
              <w:rPr>
                <w:sz w:val="20"/>
                <w:szCs w:val="20"/>
                <w:lang w:eastAsia="ru-RU"/>
              </w:rPr>
            </w:r>
          </w:p>
        </w:tc>
      </w:tr>
      <w:tr>
        <w:tblPrEx/>
        <w:trPr>
          <w:trHeight w:val="20"/>
        </w:trPr>
        <w:tc>
          <w:tcPr>
            <w:tcW w:w="1359" w:type="pct"/>
            <w:vAlign w:val="center"/>
            <w:textDirection w:val="lrTb"/>
            <w:noWrap w:val="false"/>
          </w:tcPr>
          <w:p>
            <w:pPr>
              <w:jc w:val="center"/>
              <w:widowControl/>
              <w:rPr>
                <w:sz w:val="20"/>
                <w:szCs w:val="20"/>
                <w:lang w:eastAsia="ru-RU"/>
              </w:rPr>
            </w:pPr>
            <w:r>
              <w:rPr>
                <w:sz w:val="20"/>
                <w:szCs w:val="20"/>
              </w:rPr>
              <w:t xml:space="preserve">Котельная </w:t>
            </w:r>
            <w:r>
              <w:rPr>
                <w:sz w:val="20"/>
                <w:szCs w:val="20"/>
                <w:lang w:eastAsia="ru-RU"/>
              </w:rPr>
              <w:t xml:space="preserve">р.п.Юргамыш, ул. Блюхера 2А</w:t>
            </w:r>
            <w:r>
              <w:rPr>
                <w:sz w:val="20"/>
                <w:szCs w:val="20"/>
                <w:lang w:eastAsia="ru-RU"/>
              </w:rPr>
            </w:r>
            <w:r>
              <w:rPr>
                <w:sz w:val="20"/>
                <w:szCs w:val="20"/>
                <w:lang w:eastAsia="ru-RU"/>
              </w:rPr>
            </w:r>
          </w:p>
        </w:tc>
        <w:tc>
          <w:tcPr>
            <w:tcW w:w="1697" w:type="pct"/>
            <w:vAlign w:val="center"/>
            <w:textDirection w:val="lrTb"/>
            <w:noWrap w:val="false"/>
          </w:tcPr>
          <w:p>
            <w:pPr>
              <w:jc w:val="center"/>
              <w:widowControl/>
              <w:rPr>
                <w:sz w:val="20"/>
                <w:szCs w:val="20"/>
                <w:lang w:eastAsia="ru-RU"/>
              </w:rPr>
            </w:pPr>
            <w:r>
              <w:rPr>
                <w:sz w:val="20"/>
                <w:szCs w:val="20"/>
                <w:lang w:eastAsia="ru-RU"/>
              </w:rPr>
              <w:t xml:space="preserve">ООО «ЖКХ Юго-Запад»</w:t>
            </w:r>
            <w:r>
              <w:rPr>
                <w:sz w:val="20"/>
                <w:szCs w:val="20"/>
                <w:lang w:eastAsia="ru-RU"/>
              </w:rPr>
            </w:r>
            <w:r>
              <w:rPr>
                <w:sz w:val="20"/>
                <w:szCs w:val="20"/>
                <w:lang w:eastAsia="ru-RU"/>
              </w:rPr>
            </w:r>
          </w:p>
        </w:tc>
        <w:tc>
          <w:tcPr>
            <w:shd w:val="clear" w:color="auto" w:fill="auto"/>
            <w:tcW w:w="625" w:type="pct"/>
            <w:vAlign w:val="center"/>
            <w:textDirection w:val="lrTb"/>
            <w:noWrap/>
          </w:tcPr>
          <w:p>
            <w:pPr>
              <w:jc w:val="center"/>
              <w:widowControl/>
              <w:rPr>
                <w:sz w:val="20"/>
                <w:szCs w:val="20"/>
                <w:lang w:eastAsia="ru-RU"/>
              </w:rPr>
            </w:pPr>
            <w:r>
              <w:rPr>
                <w:sz w:val="20"/>
                <w:szCs w:val="20"/>
                <w:lang w:eastAsia="ru-RU"/>
              </w:rPr>
              <w:t xml:space="preserve">4519006185</w:t>
            </w:r>
            <w:r>
              <w:rPr>
                <w:sz w:val="20"/>
                <w:szCs w:val="20"/>
                <w:lang w:eastAsia="ru-RU"/>
              </w:rPr>
            </w:r>
            <w:r>
              <w:rPr>
                <w:sz w:val="20"/>
                <w:szCs w:val="20"/>
                <w:lang w:eastAsia="ru-RU"/>
              </w:rPr>
            </w:r>
          </w:p>
        </w:tc>
        <w:tc>
          <w:tcPr>
            <w:tcW w:w="1319" w:type="pct"/>
            <w:vAlign w:val="center"/>
            <w:textDirection w:val="lrTb"/>
            <w:noWrap w:val="false"/>
          </w:tcPr>
          <w:p>
            <w:pPr>
              <w:jc w:val="center"/>
              <w:widowControl/>
              <w:rPr>
                <w:sz w:val="20"/>
                <w:szCs w:val="20"/>
                <w:lang w:eastAsia="ru-RU"/>
              </w:rPr>
            </w:pPr>
            <w:r>
              <w:rPr>
                <w:sz w:val="20"/>
                <w:szCs w:val="20"/>
              </w:rPr>
              <w:t xml:space="preserve">641080, Курганская область, Сафакулевский район, село Сафакулево, ул. Первомайская, д. 11а</w:t>
            </w:r>
            <w:r>
              <w:rPr>
                <w:sz w:val="20"/>
                <w:szCs w:val="20"/>
                <w:lang w:eastAsia="ru-RU"/>
              </w:rPr>
            </w:r>
            <w:r>
              <w:rPr>
                <w:sz w:val="20"/>
                <w:szCs w:val="20"/>
                <w:lang w:eastAsia="ru-RU"/>
              </w:rPr>
            </w:r>
          </w:p>
        </w:tc>
      </w:tr>
      <w:tr>
        <w:tblPrEx/>
        <w:trPr>
          <w:trHeight w:val="20"/>
        </w:trPr>
        <w:tc>
          <w:tcPr>
            <w:tcW w:w="1359" w:type="pct"/>
            <w:vAlign w:val="center"/>
            <w:textDirection w:val="lrTb"/>
            <w:noWrap w:val="false"/>
          </w:tcPr>
          <w:p>
            <w:pPr>
              <w:jc w:val="center"/>
              <w:widowControl/>
              <w:rPr>
                <w:sz w:val="20"/>
                <w:szCs w:val="20"/>
                <w:lang w:eastAsia="ru-RU"/>
              </w:rPr>
            </w:pPr>
            <w:r>
              <w:rPr>
                <w:sz w:val="20"/>
                <w:szCs w:val="20"/>
              </w:rPr>
              <w:t xml:space="preserve">Котельная </w:t>
            </w:r>
            <w:r>
              <w:rPr>
                <w:sz w:val="20"/>
                <w:szCs w:val="20"/>
                <w:lang w:eastAsia="ru-RU"/>
              </w:rPr>
              <w:t xml:space="preserve">с.Кипель, ул.Советская, 81а</w:t>
            </w:r>
            <w:r>
              <w:rPr>
                <w:sz w:val="20"/>
                <w:szCs w:val="20"/>
                <w:lang w:eastAsia="ru-RU"/>
              </w:rPr>
            </w:r>
            <w:r>
              <w:rPr>
                <w:sz w:val="20"/>
                <w:szCs w:val="20"/>
                <w:lang w:eastAsia="ru-RU"/>
              </w:rPr>
            </w:r>
          </w:p>
        </w:tc>
        <w:tc>
          <w:tcPr>
            <w:tcW w:w="1697" w:type="pct"/>
            <w:vAlign w:val="center"/>
            <w:textDirection w:val="lrTb"/>
            <w:noWrap w:val="false"/>
          </w:tcPr>
          <w:p>
            <w:pPr>
              <w:jc w:val="center"/>
              <w:widowControl/>
              <w:rPr>
                <w:sz w:val="20"/>
                <w:szCs w:val="20"/>
                <w:lang w:eastAsia="ru-RU"/>
              </w:rPr>
            </w:pPr>
            <w:r>
              <w:rPr>
                <w:sz w:val="20"/>
                <w:szCs w:val="20"/>
                <w:lang w:eastAsia="ru-RU"/>
              </w:rPr>
              <w:t xml:space="preserve">ООО «Курган Тепло»</w:t>
            </w:r>
            <w:r>
              <w:rPr>
                <w:sz w:val="20"/>
                <w:szCs w:val="20"/>
                <w:lang w:eastAsia="ru-RU"/>
              </w:rPr>
            </w:r>
            <w:r>
              <w:rPr>
                <w:sz w:val="20"/>
                <w:szCs w:val="20"/>
                <w:lang w:eastAsia="ru-RU"/>
              </w:rPr>
            </w:r>
          </w:p>
        </w:tc>
        <w:tc>
          <w:tcPr>
            <w:shd w:val="clear" w:color="auto" w:fill="auto"/>
            <w:tcW w:w="625" w:type="pct"/>
            <w:vAlign w:val="center"/>
            <w:textDirection w:val="lrTb"/>
            <w:noWrap/>
          </w:tcPr>
          <w:p>
            <w:pPr>
              <w:jc w:val="center"/>
              <w:widowControl/>
              <w:rPr>
                <w:sz w:val="20"/>
                <w:szCs w:val="20"/>
                <w:lang w:eastAsia="ru-RU"/>
              </w:rPr>
            </w:pPr>
            <w:r>
              <w:rPr>
                <w:sz w:val="20"/>
                <w:szCs w:val="20"/>
                <w:lang w:eastAsia="ru-RU"/>
              </w:rPr>
              <w:t xml:space="preserve">4526006556</w:t>
            </w:r>
            <w:r>
              <w:rPr>
                <w:sz w:val="20"/>
                <w:szCs w:val="20"/>
                <w:lang w:eastAsia="ru-RU"/>
              </w:rPr>
            </w:r>
            <w:r>
              <w:rPr>
                <w:sz w:val="20"/>
                <w:szCs w:val="20"/>
                <w:lang w:eastAsia="ru-RU"/>
              </w:rPr>
            </w:r>
          </w:p>
        </w:tc>
        <w:tc>
          <w:tcPr>
            <w:tcW w:w="1319" w:type="pct"/>
            <w:vAlign w:val="center"/>
            <w:textDirection w:val="lrTb"/>
            <w:noWrap w:val="false"/>
          </w:tcPr>
          <w:p>
            <w:pPr>
              <w:jc w:val="center"/>
              <w:widowControl/>
              <w:rPr>
                <w:sz w:val="20"/>
                <w:szCs w:val="20"/>
                <w:lang w:eastAsia="ru-RU"/>
              </w:rPr>
            </w:pPr>
            <w:r>
              <w:rPr>
                <w:sz w:val="20"/>
                <w:szCs w:val="20"/>
              </w:rPr>
              <w:t xml:space="preserve">641200, Курганская область, Юргамышский р-н, рп Юргамыш, ул Хлебозавод, д. 1, офис 1</w:t>
            </w:r>
            <w:r>
              <w:rPr>
                <w:sz w:val="20"/>
                <w:szCs w:val="20"/>
                <w:lang w:eastAsia="ru-RU"/>
              </w:rPr>
            </w:r>
            <w:r>
              <w:rPr>
                <w:sz w:val="20"/>
                <w:szCs w:val="20"/>
                <w:lang w:eastAsia="ru-RU"/>
              </w:rPr>
            </w:r>
          </w:p>
        </w:tc>
      </w:tr>
      <w:tr>
        <w:tblPrEx/>
        <w:trPr>
          <w:trHeight w:val="20"/>
        </w:trPr>
        <w:tc>
          <w:tcPr>
            <w:tcW w:w="1359" w:type="pct"/>
            <w:vAlign w:val="center"/>
            <w:textDirection w:val="lrTb"/>
            <w:noWrap w:val="false"/>
          </w:tcPr>
          <w:p>
            <w:pPr>
              <w:jc w:val="center"/>
              <w:widowControl/>
              <w:rPr>
                <w:sz w:val="20"/>
                <w:szCs w:val="20"/>
                <w:lang w:eastAsia="ru-RU"/>
              </w:rPr>
            </w:pPr>
            <w:r>
              <w:rPr>
                <w:sz w:val="20"/>
                <w:szCs w:val="20"/>
              </w:rPr>
              <w:t xml:space="preserve">Котельная </w:t>
            </w:r>
            <w:r>
              <w:rPr>
                <w:sz w:val="20"/>
                <w:szCs w:val="20"/>
                <w:lang w:eastAsia="ru-RU"/>
              </w:rPr>
              <w:t xml:space="preserve">с.Горохово, ул.Школьная, 37Б</w:t>
            </w:r>
            <w:r>
              <w:rPr>
                <w:sz w:val="20"/>
                <w:szCs w:val="20"/>
                <w:lang w:eastAsia="ru-RU"/>
              </w:rPr>
            </w:r>
            <w:r>
              <w:rPr>
                <w:sz w:val="20"/>
                <w:szCs w:val="20"/>
                <w:lang w:eastAsia="ru-RU"/>
              </w:rPr>
            </w:r>
          </w:p>
        </w:tc>
        <w:tc>
          <w:tcPr>
            <w:tcW w:w="1697" w:type="pct"/>
            <w:vAlign w:val="center"/>
            <w:textDirection w:val="lrTb"/>
            <w:noWrap w:val="false"/>
          </w:tcPr>
          <w:p>
            <w:pPr>
              <w:jc w:val="center"/>
              <w:widowControl/>
              <w:rPr>
                <w:sz w:val="20"/>
                <w:szCs w:val="20"/>
                <w:lang w:eastAsia="ru-RU"/>
              </w:rPr>
            </w:pPr>
            <w:r>
              <w:rPr>
                <w:sz w:val="20"/>
                <w:szCs w:val="20"/>
                <w:lang w:eastAsia="ru-RU"/>
              </w:rPr>
              <w:t xml:space="preserve">ООО «Курган Тепло»</w:t>
            </w:r>
            <w:r>
              <w:rPr>
                <w:sz w:val="20"/>
                <w:szCs w:val="20"/>
                <w:lang w:eastAsia="ru-RU"/>
              </w:rPr>
            </w:r>
            <w:r>
              <w:rPr>
                <w:sz w:val="20"/>
                <w:szCs w:val="20"/>
                <w:lang w:eastAsia="ru-RU"/>
              </w:rPr>
            </w:r>
          </w:p>
        </w:tc>
        <w:tc>
          <w:tcPr>
            <w:shd w:val="clear" w:color="auto" w:fill="auto"/>
            <w:tcW w:w="625" w:type="pct"/>
            <w:vAlign w:val="center"/>
            <w:textDirection w:val="lrTb"/>
            <w:noWrap/>
          </w:tcPr>
          <w:p>
            <w:pPr>
              <w:jc w:val="center"/>
              <w:widowControl/>
              <w:rPr>
                <w:sz w:val="20"/>
                <w:szCs w:val="20"/>
                <w:lang w:eastAsia="ru-RU"/>
              </w:rPr>
            </w:pPr>
            <w:r>
              <w:rPr>
                <w:sz w:val="20"/>
                <w:szCs w:val="20"/>
                <w:lang w:eastAsia="ru-RU"/>
              </w:rPr>
              <w:t xml:space="preserve">4526006556</w:t>
            </w:r>
            <w:r>
              <w:rPr>
                <w:sz w:val="20"/>
                <w:szCs w:val="20"/>
                <w:lang w:eastAsia="ru-RU"/>
              </w:rPr>
            </w:r>
            <w:r>
              <w:rPr>
                <w:sz w:val="20"/>
                <w:szCs w:val="20"/>
                <w:lang w:eastAsia="ru-RU"/>
              </w:rPr>
            </w:r>
          </w:p>
        </w:tc>
        <w:tc>
          <w:tcPr>
            <w:tcW w:w="1319" w:type="pct"/>
            <w:vAlign w:val="center"/>
            <w:textDirection w:val="lrTb"/>
            <w:noWrap w:val="false"/>
          </w:tcPr>
          <w:p>
            <w:pPr>
              <w:jc w:val="center"/>
              <w:widowControl/>
              <w:rPr>
                <w:sz w:val="20"/>
                <w:szCs w:val="20"/>
                <w:lang w:eastAsia="ru-RU"/>
              </w:rPr>
            </w:pPr>
            <w:r>
              <w:rPr>
                <w:sz w:val="20"/>
                <w:szCs w:val="20"/>
              </w:rPr>
              <w:t xml:space="preserve">641200, Курганская область, Юргамышский р-</w:t>
            </w:r>
            <w:r>
              <w:rPr>
                <w:sz w:val="20"/>
                <w:szCs w:val="20"/>
              </w:rPr>
              <w:t xml:space="preserve">н, рп Юргамыш, ул Хлебозавод, д. 1, офис 1</w:t>
            </w:r>
            <w:r>
              <w:rPr>
                <w:sz w:val="20"/>
                <w:szCs w:val="20"/>
                <w:lang w:eastAsia="ru-RU"/>
              </w:rPr>
            </w:r>
            <w:r>
              <w:rPr>
                <w:sz w:val="20"/>
                <w:szCs w:val="20"/>
                <w:lang w:eastAsia="ru-RU"/>
              </w:rPr>
            </w:r>
          </w:p>
        </w:tc>
      </w:tr>
      <w:tr>
        <w:tblPrEx/>
        <w:trPr>
          <w:trHeight w:val="20"/>
        </w:trPr>
        <w:tc>
          <w:tcPr>
            <w:tcW w:w="1359" w:type="pct"/>
            <w:vAlign w:val="center"/>
            <w:textDirection w:val="lrTb"/>
            <w:noWrap w:val="false"/>
          </w:tcPr>
          <w:p>
            <w:pPr>
              <w:jc w:val="center"/>
              <w:widowControl/>
              <w:rPr>
                <w:sz w:val="20"/>
                <w:szCs w:val="20"/>
                <w:lang w:eastAsia="ru-RU"/>
              </w:rPr>
            </w:pPr>
            <w:r>
              <w:rPr>
                <w:sz w:val="20"/>
                <w:szCs w:val="20"/>
              </w:rPr>
              <w:t xml:space="preserve">Котельная </w:t>
            </w:r>
            <w:r>
              <w:rPr>
                <w:sz w:val="20"/>
                <w:szCs w:val="20"/>
                <w:lang w:eastAsia="ru-RU"/>
              </w:rPr>
              <w:t xml:space="preserve">с.Гагарье, ул.Новая 5Б</w:t>
            </w:r>
            <w:r>
              <w:rPr>
                <w:sz w:val="20"/>
                <w:szCs w:val="20"/>
                <w:lang w:eastAsia="ru-RU"/>
              </w:rPr>
            </w:r>
            <w:r>
              <w:rPr>
                <w:sz w:val="20"/>
                <w:szCs w:val="20"/>
                <w:lang w:eastAsia="ru-RU"/>
              </w:rPr>
            </w:r>
          </w:p>
        </w:tc>
        <w:tc>
          <w:tcPr>
            <w:tcW w:w="1697" w:type="pct"/>
            <w:vAlign w:val="center"/>
            <w:textDirection w:val="lrTb"/>
            <w:noWrap w:val="false"/>
          </w:tcPr>
          <w:p>
            <w:pPr>
              <w:jc w:val="center"/>
              <w:widowControl/>
              <w:rPr>
                <w:sz w:val="20"/>
                <w:szCs w:val="20"/>
                <w:lang w:eastAsia="ru-RU"/>
              </w:rPr>
            </w:pPr>
            <w:r>
              <w:rPr>
                <w:sz w:val="20"/>
                <w:szCs w:val="20"/>
                <w:lang w:eastAsia="ru-RU"/>
              </w:rPr>
              <w:t xml:space="preserve">ООО «Курган Тепло»</w:t>
            </w:r>
            <w:r>
              <w:rPr>
                <w:sz w:val="20"/>
                <w:szCs w:val="20"/>
                <w:lang w:eastAsia="ru-RU"/>
              </w:rPr>
            </w:r>
            <w:r>
              <w:rPr>
                <w:sz w:val="20"/>
                <w:szCs w:val="20"/>
                <w:lang w:eastAsia="ru-RU"/>
              </w:rPr>
            </w:r>
          </w:p>
        </w:tc>
        <w:tc>
          <w:tcPr>
            <w:shd w:val="clear" w:color="auto" w:fill="auto"/>
            <w:tcW w:w="625" w:type="pct"/>
            <w:vAlign w:val="center"/>
            <w:textDirection w:val="lrTb"/>
            <w:noWrap/>
          </w:tcPr>
          <w:p>
            <w:pPr>
              <w:jc w:val="center"/>
              <w:widowControl/>
              <w:rPr>
                <w:sz w:val="20"/>
                <w:szCs w:val="20"/>
                <w:lang w:eastAsia="ru-RU"/>
              </w:rPr>
            </w:pPr>
            <w:r>
              <w:rPr>
                <w:sz w:val="20"/>
                <w:szCs w:val="20"/>
                <w:lang w:eastAsia="ru-RU"/>
              </w:rPr>
              <w:t xml:space="preserve">4526006556</w:t>
            </w:r>
            <w:r>
              <w:rPr>
                <w:sz w:val="20"/>
                <w:szCs w:val="20"/>
                <w:lang w:eastAsia="ru-RU"/>
              </w:rPr>
            </w:r>
            <w:r>
              <w:rPr>
                <w:sz w:val="20"/>
                <w:szCs w:val="20"/>
                <w:lang w:eastAsia="ru-RU"/>
              </w:rPr>
            </w:r>
          </w:p>
        </w:tc>
        <w:tc>
          <w:tcPr>
            <w:tcW w:w="1319" w:type="pct"/>
            <w:vAlign w:val="center"/>
            <w:textDirection w:val="lrTb"/>
            <w:noWrap w:val="false"/>
          </w:tcPr>
          <w:p>
            <w:pPr>
              <w:jc w:val="center"/>
              <w:widowControl/>
              <w:rPr>
                <w:sz w:val="20"/>
                <w:szCs w:val="20"/>
                <w:lang w:eastAsia="ru-RU"/>
              </w:rPr>
            </w:pPr>
            <w:r>
              <w:rPr>
                <w:sz w:val="20"/>
                <w:szCs w:val="20"/>
              </w:rPr>
              <w:t xml:space="preserve">641200, Курганская область, Юргамышский р-н, рп Юргамыш, ул Хлебозавод, д. 1, офис 1</w:t>
            </w:r>
            <w:r>
              <w:rPr>
                <w:sz w:val="20"/>
                <w:szCs w:val="20"/>
                <w:lang w:eastAsia="ru-RU"/>
              </w:rPr>
            </w:r>
            <w:r>
              <w:rPr>
                <w:sz w:val="20"/>
                <w:szCs w:val="20"/>
                <w:lang w:eastAsia="ru-RU"/>
              </w:rPr>
            </w:r>
          </w:p>
        </w:tc>
      </w:tr>
      <w:tr>
        <w:tblPrEx/>
        <w:trPr>
          <w:trHeight w:val="20"/>
        </w:trPr>
        <w:tc>
          <w:tcPr>
            <w:tcW w:w="1359" w:type="pct"/>
            <w:vAlign w:val="center"/>
            <w:textDirection w:val="lrTb"/>
            <w:noWrap w:val="false"/>
          </w:tcPr>
          <w:p>
            <w:pPr>
              <w:jc w:val="center"/>
              <w:widowControl/>
              <w:rPr>
                <w:sz w:val="20"/>
                <w:szCs w:val="20"/>
                <w:lang w:eastAsia="ru-RU"/>
              </w:rPr>
            </w:pPr>
            <w:r>
              <w:rPr>
                <w:sz w:val="20"/>
                <w:szCs w:val="20"/>
              </w:rPr>
              <w:t xml:space="preserve">Котельная </w:t>
            </w:r>
            <w:r>
              <w:rPr>
                <w:sz w:val="20"/>
                <w:szCs w:val="20"/>
                <w:lang w:eastAsia="ru-RU"/>
              </w:rPr>
              <w:t xml:space="preserve">с.Скоблино, ул.Школьная, 41Б</w:t>
            </w:r>
            <w:r>
              <w:rPr>
                <w:sz w:val="20"/>
                <w:szCs w:val="20"/>
                <w:lang w:eastAsia="ru-RU"/>
              </w:rPr>
            </w:r>
            <w:r>
              <w:rPr>
                <w:sz w:val="20"/>
                <w:szCs w:val="20"/>
                <w:lang w:eastAsia="ru-RU"/>
              </w:rPr>
            </w:r>
          </w:p>
        </w:tc>
        <w:tc>
          <w:tcPr>
            <w:tcW w:w="1697" w:type="pct"/>
            <w:vAlign w:val="center"/>
            <w:textDirection w:val="lrTb"/>
            <w:noWrap w:val="false"/>
          </w:tcPr>
          <w:p>
            <w:pPr>
              <w:jc w:val="center"/>
              <w:widowControl/>
              <w:rPr>
                <w:sz w:val="20"/>
                <w:szCs w:val="20"/>
                <w:lang w:eastAsia="ru-RU"/>
              </w:rPr>
            </w:pPr>
            <w:r>
              <w:rPr>
                <w:sz w:val="20"/>
                <w:szCs w:val="20"/>
                <w:lang w:eastAsia="ru-RU"/>
              </w:rPr>
              <w:t xml:space="preserve">ООО «Курган Тепло»</w:t>
            </w:r>
            <w:r>
              <w:rPr>
                <w:sz w:val="20"/>
                <w:szCs w:val="20"/>
                <w:lang w:eastAsia="ru-RU"/>
              </w:rPr>
            </w:r>
            <w:r>
              <w:rPr>
                <w:sz w:val="20"/>
                <w:szCs w:val="20"/>
                <w:lang w:eastAsia="ru-RU"/>
              </w:rPr>
            </w:r>
          </w:p>
        </w:tc>
        <w:tc>
          <w:tcPr>
            <w:shd w:val="clear" w:color="auto" w:fill="auto"/>
            <w:tcW w:w="625" w:type="pct"/>
            <w:vAlign w:val="center"/>
            <w:textDirection w:val="lrTb"/>
            <w:noWrap/>
          </w:tcPr>
          <w:p>
            <w:pPr>
              <w:jc w:val="center"/>
              <w:widowControl/>
              <w:rPr>
                <w:sz w:val="20"/>
                <w:szCs w:val="20"/>
                <w:lang w:eastAsia="ru-RU"/>
              </w:rPr>
            </w:pPr>
            <w:r>
              <w:rPr>
                <w:sz w:val="20"/>
                <w:szCs w:val="20"/>
                <w:lang w:eastAsia="ru-RU"/>
              </w:rPr>
              <w:t xml:space="preserve">4526006556</w:t>
            </w:r>
            <w:r>
              <w:rPr>
                <w:sz w:val="20"/>
                <w:szCs w:val="20"/>
                <w:lang w:eastAsia="ru-RU"/>
              </w:rPr>
            </w:r>
            <w:r>
              <w:rPr>
                <w:sz w:val="20"/>
                <w:szCs w:val="20"/>
                <w:lang w:eastAsia="ru-RU"/>
              </w:rPr>
            </w:r>
          </w:p>
        </w:tc>
        <w:tc>
          <w:tcPr>
            <w:tcW w:w="1319" w:type="pct"/>
            <w:vAlign w:val="center"/>
            <w:textDirection w:val="lrTb"/>
            <w:noWrap w:val="false"/>
          </w:tcPr>
          <w:p>
            <w:pPr>
              <w:jc w:val="center"/>
              <w:widowControl/>
              <w:rPr>
                <w:sz w:val="20"/>
                <w:szCs w:val="20"/>
                <w:lang w:eastAsia="ru-RU"/>
              </w:rPr>
            </w:pPr>
            <w:r>
              <w:rPr>
                <w:sz w:val="20"/>
                <w:szCs w:val="20"/>
              </w:rPr>
              <w:t xml:space="preserve">641200, Курганская область, Юргамышский р-н, рп Юргамыш, ул Хлебозавод, д. 1, офис 1</w:t>
            </w:r>
            <w:r>
              <w:rPr>
                <w:sz w:val="20"/>
                <w:szCs w:val="20"/>
                <w:lang w:eastAsia="ru-RU"/>
              </w:rPr>
            </w:r>
            <w:r>
              <w:rPr>
                <w:sz w:val="20"/>
                <w:szCs w:val="20"/>
                <w:lang w:eastAsia="ru-RU"/>
              </w:rPr>
            </w:r>
          </w:p>
        </w:tc>
      </w:tr>
      <w:tr>
        <w:tblPrEx/>
        <w:trPr>
          <w:trHeight w:val="20"/>
        </w:trPr>
        <w:tc>
          <w:tcPr>
            <w:tcW w:w="1359" w:type="pct"/>
            <w:vAlign w:val="center"/>
            <w:textDirection w:val="lrTb"/>
            <w:noWrap w:val="false"/>
          </w:tcPr>
          <w:p>
            <w:pPr>
              <w:jc w:val="center"/>
              <w:widowControl/>
              <w:rPr>
                <w:sz w:val="20"/>
                <w:szCs w:val="20"/>
                <w:lang w:eastAsia="ru-RU"/>
              </w:rPr>
            </w:pPr>
            <w:r>
              <w:rPr>
                <w:sz w:val="20"/>
                <w:szCs w:val="20"/>
              </w:rPr>
              <w:t xml:space="preserve">Котельная </w:t>
            </w:r>
            <w:r>
              <w:rPr>
                <w:sz w:val="20"/>
                <w:szCs w:val="20"/>
                <w:lang w:eastAsia="ru-RU"/>
              </w:rPr>
              <w:t xml:space="preserve">с.Красный Уралец, ул.Ленина, 6а</w:t>
            </w:r>
            <w:r>
              <w:rPr>
                <w:sz w:val="20"/>
                <w:szCs w:val="20"/>
                <w:lang w:eastAsia="ru-RU"/>
              </w:rPr>
            </w:r>
            <w:r>
              <w:rPr>
                <w:sz w:val="20"/>
                <w:szCs w:val="20"/>
                <w:lang w:eastAsia="ru-RU"/>
              </w:rPr>
            </w:r>
          </w:p>
        </w:tc>
        <w:tc>
          <w:tcPr>
            <w:tcW w:w="1697" w:type="pct"/>
            <w:vAlign w:val="center"/>
            <w:textDirection w:val="lrTb"/>
            <w:noWrap w:val="false"/>
          </w:tcPr>
          <w:p>
            <w:pPr>
              <w:jc w:val="center"/>
              <w:widowControl/>
              <w:rPr>
                <w:sz w:val="20"/>
                <w:szCs w:val="20"/>
                <w:lang w:eastAsia="ru-RU"/>
              </w:rPr>
            </w:pPr>
            <w:r>
              <w:rPr>
                <w:sz w:val="20"/>
                <w:szCs w:val="20"/>
                <w:lang w:eastAsia="ru-RU"/>
              </w:rPr>
              <w:t xml:space="preserve">ООО «Курган Тепло»</w:t>
            </w:r>
            <w:r>
              <w:rPr>
                <w:sz w:val="20"/>
                <w:szCs w:val="20"/>
                <w:lang w:eastAsia="ru-RU"/>
              </w:rPr>
            </w:r>
            <w:r>
              <w:rPr>
                <w:sz w:val="20"/>
                <w:szCs w:val="20"/>
                <w:lang w:eastAsia="ru-RU"/>
              </w:rPr>
            </w:r>
          </w:p>
        </w:tc>
        <w:tc>
          <w:tcPr>
            <w:shd w:val="clear" w:color="auto" w:fill="auto"/>
            <w:tcW w:w="625" w:type="pct"/>
            <w:vAlign w:val="center"/>
            <w:textDirection w:val="lrTb"/>
            <w:noWrap/>
          </w:tcPr>
          <w:p>
            <w:pPr>
              <w:jc w:val="center"/>
              <w:widowControl/>
              <w:rPr>
                <w:sz w:val="20"/>
                <w:szCs w:val="20"/>
                <w:lang w:eastAsia="ru-RU"/>
              </w:rPr>
            </w:pPr>
            <w:r>
              <w:rPr>
                <w:sz w:val="20"/>
                <w:szCs w:val="20"/>
                <w:lang w:eastAsia="ru-RU"/>
              </w:rPr>
              <w:t xml:space="preserve">4526006556</w:t>
            </w:r>
            <w:r>
              <w:rPr>
                <w:sz w:val="20"/>
                <w:szCs w:val="20"/>
                <w:lang w:eastAsia="ru-RU"/>
              </w:rPr>
            </w:r>
            <w:r>
              <w:rPr>
                <w:sz w:val="20"/>
                <w:szCs w:val="20"/>
                <w:lang w:eastAsia="ru-RU"/>
              </w:rPr>
            </w:r>
          </w:p>
        </w:tc>
        <w:tc>
          <w:tcPr>
            <w:tcW w:w="1319" w:type="pct"/>
            <w:vAlign w:val="center"/>
            <w:textDirection w:val="lrTb"/>
            <w:noWrap w:val="false"/>
          </w:tcPr>
          <w:p>
            <w:pPr>
              <w:jc w:val="center"/>
              <w:widowControl/>
              <w:rPr>
                <w:sz w:val="20"/>
                <w:szCs w:val="20"/>
                <w:lang w:eastAsia="ru-RU"/>
              </w:rPr>
            </w:pPr>
            <w:r>
              <w:rPr>
                <w:sz w:val="20"/>
                <w:szCs w:val="20"/>
              </w:rPr>
              <w:t xml:space="preserve">641200, Курганская область, Юргамышский р-н, рп Юргамыш, ул Хлебозавод, д. 1, офис 1</w:t>
            </w:r>
            <w:r>
              <w:rPr>
                <w:sz w:val="20"/>
                <w:szCs w:val="20"/>
                <w:lang w:eastAsia="ru-RU"/>
              </w:rPr>
            </w:r>
            <w:r>
              <w:rPr>
                <w:sz w:val="20"/>
                <w:szCs w:val="20"/>
                <w:lang w:eastAsia="ru-RU"/>
              </w:rPr>
            </w:r>
          </w:p>
        </w:tc>
      </w:tr>
      <w:tr>
        <w:tblPrEx/>
        <w:trPr>
          <w:trHeight w:val="20"/>
        </w:trPr>
        <w:tc>
          <w:tcPr>
            <w:tcW w:w="1359" w:type="pct"/>
            <w:vAlign w:val="center"/>
            <w:textDirection w:val="lrTb"/>
            <w:noWrap w:val="false"/>
          </w:tcPr>
          <w:p>
            <w:pPr>
              <w:jc w:val="center"/>
              <w:widowControl/>
              <w:rPr>
                <w:sz w:val="20"/>
                <w:szCs w:val="20"/>
                <w:lang w:eastAsia="ru-RU"/>
              </w:rPr>
            </w:pPr>
            <w:r>
              <w:rPr>
                <w:sz w:val="20"/>
                <w:szCs w:val="20"/>
              </w:rPr>
              <w:t xml:space="preserve">Котельная </w:t>
            </w:r>
            <w:r>
              <w:rPr>
                <w:sz w:val="20"/>
                <w:szCs w:val="20"/>
                <w:lang w:eastAsia="ru-RU"/>
              </w:rPr>
              <w:t xml:space="preserve">с.Красный Уралец, улица нет</w:t>
            </w:r>
            <w:r>
              <w:rPr>
                <w:sz w:val="20"/>
                <w:szCs w:val="20"/>
                <w:lang w:eastAsia="ru-RU"/>
              </w:rPr>
            </w:r>
            <w:r>
              <w:rPr>
                <w:sz w:val="20"/>
                <w:szCs w:val="20"/>
                <w:lang w:eastAsia="ru-RU"/>
              </w:rPr>
            </w:r>
          </w:p>
        </w:tc>
        <w:tc>
          <w:tcPr>
            <w:tcW w:w="1697" w:type="pct"/>
            <w:vAlign w:val="center"/>
            <w:textDirection w:val="lrTb"/>
            <w:noWrap w:val="false"/>
          </w:tcPr>
          <w:p>
            <w:pPr>
              <w:jc w:val="center"/>
              <w:widowControl/>
              <w:rPr>
                <w:sz w:val="20"/>
                <w:szCs w:val="20"/>
                <w:lang w:eastAsia="ru-RU"/>
              </w:rPr>
            </w:pPr>
            <w:r>
              <w:rPr>
                <w:sz w:val="20"/>
                <w:szCs w:val="20"/>
                <w:lang w:eastAsia="ru-RU"/>
              </w:rPr>
              <w:t xml:space="preserve">ООО «Курган Тепло»</w:t>
            </w:r>
            <w:r>
              <w:rPr>
                <w:sz w:val="20"/>
                <w:szCs w:val="20"/>
                <w:lang w:eastAsia="ru-RU"/>
              </w:rPr>
            </w:r>
            <w:r>
              <w:rPr>
                <w:sz w:val="20"/>
                <w:szCs w:val="20"/>
                <w:lang w:eastAsia="ru-RU"/>
              </w:rPr>
            </w:r>
          </w:p>
        </w:tc>
        <w:tc>
          <w:tcPr>
            <w:shd w:val="clear" w:color="auto" w:fill="auto"/>
            <w:tcW w:w="625" w:type="pct"/>
            <w:vAlign w:val="center"/>
            <w:textDirection w:val="lrTb"/>
            <w:noWrap/>
          </w:tcPr>
          <w:p>
            <w:pPr>
              <w:jc w:val="center"/>
              <w:widowControl/>
              <w:rPr>
                <w:sz w:val="20"/>
                <w:szCs w:val="20"/>
                <w:lang w:eastAsia="ru-RU"/>
              </w:rPr>
            </w:pPr>
            <w:r>
              <w:rPr>
                <w:sz w:val="20"/>
                <w:szCs w:val="20"/>
                <w:lang w:eastAsia="ru-RU"/>
              </w:rPr>
              <w:t xml:space="preserve">4526006556</w:t>
            </w:r>
            <w:r>
              <w:rPr>
                <w:sz w:val="20"/>
                <w:szCs w:val="20"/>
                <w:lang w:eastAsia="ru-RU"/>
              </w:rPr>
            </w:r>
            <w:r>
              <w:rPr>
                <w:sz w:val="20"/>
                <w:szCs w:val="20"/>
                <w:lang w:eastAsia="ru-RU"/>
              </w:rPr>
            </w:r>
          </w:p>
        </w:tc>
        <w:tc>
          <w:tcPr>
            <w:tcW w:w="1319" w:type="pct"/>
            <w:vAlign w:val="center"/>
            <w:textDirection w:val="lrTb"/>
            <w:noWrap w:val="false"/>
          </w:tcPr>
          <w:p>
            <w:pPr>
              <w:jc w:val="center"/>
              <w:widowControl/>
              <w:rPr>
                <w:sz w:val="20"/>
                <w:szCs w:val="20"/>
                <w:lang w:eastAsia="ru-RU"/>
              </w:rPr>
            </w:pPr>
            <w:r>
              <w:rPr>
                <w:sz w:val="20"/>
                <w:szCs w:val="20"/>
              </w:rPr>
              <w:t xml:space="preserve">641200, Курганская область, Юргамышский р-н, рп Юргамыш, ул Хлебозавод, д. 1, офис 1</w:t>
            </w:r>
            <w:r>
              <w:rPr>
                <w:sz w:val="20"/>
                <w:szCs w:val="20"/>
                <w:lang w:eastAsia="ru-RU"/>
              </w:rPr>
            </w:r>
            <w:r>
              <w:rPr>
                <w:sz w:val="20"/>
                <w:szCs w:val="20"/>
                <w:lang w:eastAsia="ru-RU"/>
              </w:rPr>
            </w:r>
          </w:p>
        </w:tc>
      </w:tr>
      <w:tr>
        <w:tblPrEx/>
        <w:trPr>
          <w:trHeight w:val="20"/>
        </w:trPr>
        <w:tc>
          <w:tcPr>
            <w:tcW w:w="1359" w:type="pct"/>
            <w:vAlign w:val="center"/>
            <w:textDirection w:val="lrTb"/>
            <w:noWrap w:val="false"/>
          </w:tcPr>
          <w:p>
            <w:pPr>
              <w:jc w:val="center"/>
              <w:widowControl/>
              <w:rPr>
                <w:sz w:val="20"/>
                <w:szCs w:val="20"/>
                <w:lang w:eastAsia="ru-RU"/>
              </w:rPr>
            </w:pPr>
            <w:r>
              <w:rPr>
                <w:sz w:val="20"/>
                <w:szCs w:val="20"/>
              </w:rPr>
              <w:t xml:space="preserve">Котельная </w:t>
            </w:r>
            <w:r>
              <w:rPr>
                <w:sz w:val="20"/>
                <w:szCs w:val="20"/>
                <w:lang w:eastAsia="ru-RU"/>
              </w:rPr>
              <w:t xml:space="preserve">с.Караси, ул.Школьная, 3б</w:t>
            </w:r>
            <w:r>
              <w:rPr>
                <w:sz w:val="20"/>
                <w:szCs w:val="20"/>
                <w:lang w:eastAsia="ru-RU"/>
              </w:rPr>
            </w:r>
            <w:r>
              <w:rPr>
                <w:sz w:val="20"/>
                <w:szCs w:val="20"/>
                <w:lang w:eastAsia="ru-RU"/>
              </w:rPr>
            </w:r>
          </w:p>
        </w:tc>
        <w:tc>
          <w:tcPr>
            <w:tcW w:w="1697" w:type="pct"/>
            <w:vAlign w:val="center"/>
            <w:textDirection w:val="lrTb"/>
            <w:noWrap w:val="false"/>
          </w:tcPr>
          <w:p>
            <w:pPr>
              <w:jc w:val="center"/>
              <w:widowControl/>
              <w:rPr>
                <w:sz w:val="20"/>
                <w:szCs w:val="20"/>
                <w:lang w:eastAsia="ru-RU"/>
              </w:rPr>
            </w:pPr>
            <w:r>
              <w:rPr>
                <w:sz w:val="20"/>
                <w:szCs w:val="20"/>
                <w:lang w:eastAsia="ru-RU"/>
              </w:rPr>
              <w:t xml:space="preserve">ООО «Курган Тепло»</w:t>
            </w:r>
            <w:r>
              <w:rPr>
                <w:sz w:val="20"/>
                <w:szCs w:val="20"/>
                <w:lang w:eastAsia="ru-RU"/>
              </w:rPr>
            </w:r>
            <w:r>
              <w:rPr>
                <w:sz w:val="20"/>
                <w:szCs w:val="20"/>
                <w:lang w:eastAsia="ru-RU"/>
              </w:rPr>
            </w:r>
          </w:p>
        </w:tc>
        <w:tc>
          <w:tcPr>
            <w:shd w:val="clear" w:color="auto" w:fill="auto"/>
            <w:tcW w:w="625" w:type="pct"/>
            <w:vAlign w:val="center"/>
            <w:textDirection w:val="lrTb"/>
            <w:noWrap/>
          </w:tcPr>
          <w:p>
            <w:pPr>
              <w:jc w:val="center"/>
              <w:widowControl/>
              <w:rPr>
                <w:sz w:val="20"/>
                <w:szCs w:val="20"/>
                <w:lang w:eastAsia="ru-RU"/>
              </w:rPr>
            </w:pPr>
            <w:r>
              <w:rPr>
                <w:sz w:val="20"/>
                <w:szCs w:val="20"/>
                <w:lang w:eastAsia="ru-RU"/>
              </w:rPr>
              <w:t xml:space="preserve">4526006556</w:t>
            </w:r>
            <w:r>
              <w:rPr>
                <w:sz w:val="20"/>
                <w:szCs w:val="20"/>
                <w:lang w:eastAsia="ru-RU"/>
              </w:rPr>
            </w:r>
            <w:r>
              <w:rPr>
                <w:sz w:val="20"/>
                <w:szCs w:val="20"/>
                <w:lang w:eastAsia="ru-RU"/>
              </w:rPr>
            </w:r>
          </w:p>
        </w:tc>
        <w:tc>
          <w:tcPr>
            <w:tcW w:w="1319" w:type="pct"/>
            <w:vAlign w:val="center"/>
            <w:textDirection w:val="lrTb"/>
            <w:noWrap w:val="false"/>
          </w:tcPr>
          <w:p>
            <w:pPr>
              <w:jc w:val="center"/>
              <w:widowControl/>
              <w:rPr>
                <w:sz w:val="20"/>
                <w:szCs w:val="20"/>
                <w:lang w:eastAsia="ru-RU"/>
              </w:rPr>
            </w:pPr>
            <w:r>
              <w:rPr>
                <w:sz w:val="20"/>
                <w:szCs w:val="20"/>
              </w:rPr>
              <w:t xml:space="preserve">641200, Курганская область, Юргамышский р-н, рп Юргамыш, ул Хлебозавод, д. 1, офис 1</w:t>
            </w:r>
            <w:r>
              <w:rPr>
                <w:sz w:val="20"/>
                <w:szCs w:val="20"/>
                <w:lang w:eastAsia="ru-RU"/>
              </w:rPr>
            </w:r>
            <w:r>
              <w:rPr>
                <w:sz w:val="20"/>
                <w:szCs w:val="20"/>
                <w:lang w:eastAsia="ru-RU"/>
              </w:rPr>
            </w:r>
          </w:p>
        </w:tc>
      </w:tr>
      <w:tr>
        <w:tblPrEx/>
        <w:trPr>
          <w:trHeight w:val="20"/>
        </w:trPr>
        <w:tc>
          <w:tcPr>
            <w:tcW w:w="1359" w:type="pct"/>
            <w:vAlign w:val="center"/>
            <w:textDirection w:val="lrTb"/>
            <w:noWrap w:val="false"/>
          </w:tcPr>
          <w:p>
            <w:pPr>
              <w:jc w:val="center"/>
              <w:widowControl/>
              <w:rPr>
                <w:sz w:val="20"/>
                <w:szCs w:val="20"/>
                <w:lang w:eastAsia="ru-RU"/>
              </w:rPr>
            </w:pPr>
            <w:r>
              <w:rPr>
                <w:sz w:val="20"/>
                <w:szCs w:val="20"/>
              </w:rPr>
              <w:t xml:space="preserve">Котельная </w:t>
            </w:r>
            <w:r>
              <w:rPr>
                <w:sz w:val="20"/>
                <w:szCs w:val="20"/>
                <w:lang w:eastAsia="ru-RU"/>
              </w:rPr>
              <w:t xml:space="preserve">с.Вилкино, ул.Ленина, 9а</w:t>
            </w:r>
            <w:r>
              <w:rPr>
                <w:sz w:val="20"/>
                <w:szCs w:val="20"/>
                <w:lang w:eastAsia="ru-RU"/>
              </w:rPr>
            </w:r>
            <w:r>
              <w:rPr>
                <w:sz w:val="20"/>
                <w:szCs w:val="20"/>
                <w:lang w:eastAsia="ru-RU"/>
              </w:rPr>
            </w:r>
          </w:p>
        </w:tc>
        <w:tc>
          <w:tcPr>
            <w:tcW w:w="1697" w:type="pct"/>
            <w:vAlign w:val="center"/>
            <w:textDirection w:val="lrTb"/>
            <w:noWrap w:val="false"/>
          </w:tcPr>
          <w:p>
            <w:pPr>
              <w:jc w:val="center"/>
              <w:widowControl/>
              <w:rPr>
                <w:sz w:val="20"/>
                <w:szCs w:val="20"/>
                <w:lang w:eastAsia="ru-RU"/>
              </w:rPr>
            </w:pPr>
            <w:r>
              <w:rPr>
                <w:sz w:val="20"/>
                <w:szCs w:val="20"/>
                <w:lang w:eastAsia="ru-RU"/>
              </w:rPr>
              <w:t xml:space="preserve">ООО «Курган Тепло»</w:t>
            </w:r>
            <w:r>
              <w:rPr>
                <w:sz w:val="20"/>
                <w:szCs w:val="20"/>
                <w:lang w:eastAsia="ru-RU"/>
              </w:rPr>
            </w:r>
            <w:r>
              <w:rPr>
                <w:sz w:val="20"/>
                <w:szCs w:val="20"/>
                <w:lang w:eastAsia="ru-RU"/>
              </w:rPr>
            </w:r>
          </w:p>
        </w:tc>
        <w:tc>
          <w:tcPr>
            <w:shd w:val="clear" w:color="auto" w:fill="auto"/>
            <w:tcW w:w="625" w:type="pct"/>
            <w:vAlign w:val="center"/>
            <w:textDirection w:val="lrTb"/>
            <w:noWrap/>
          </w:tcPr>
          <w:p>
            <w:pPr>
              <w:jc w:val="center"/>
              <w:widowControl/>
              <w:rPr>
                <w:sz w:val="20"/>
                <w:szCs w:val="20"/>
                <w:lang w:eastAsia="ru-RU"/>
              </w:rPr>
            </w:pPr>
            <w:r>
              <w:rPr>
                <w:sz w:val="20"/>
                <w:szCs w:val="20"/>
                <w:lang w:eastAsia="ru-RU"/>
              </w:rPr>
              <w:t xml:space="preserve">4526006556</w:t>
            </w:r>
            <w:r>
              <w:rPr>
                <w:sz w:val="20"/>
                <w:szCs w:val="20"/>
                <w:lang w:eastAsia="ru-RU"/>
              </w:rPr>
            </w:r>
            <w:r>
              <w:rPr>
                <w:sz w:val="20"/>
                <w:szCs w:val="20"/>
                <w:lang w:eastAsia="ru-RU"/>
              </w:rPr>
            </w:r>
          </w:p>
        </w:tc>
        <w:tc>
          <w:tcPr>
            <w:tcW w:w="1319" w:type="pct"/>
            <w:vAlign w:val="center"/>
            <w:textDirection w:val="lrTb"/>
            <w:noWrap w:val="false"/>
          </w:tcPr>
          <w:p>
            <w:pPr>
              <w:jc w:val="center"/>
              <w:widowControl/>
              <w:rPr>
                <w:sz w:val="20"/>
                <w:szCs w:val="20"/>
                <w:lang w:eastAsia="ru-RU"/>
              </w:rPr>
            </w:pPr>
            <w:r>
              <w:rPr>
                <w:sz w:val="20"/>
                <w:szCs w:val="20"/>
              </w:rPr>
              <w:t xml:space="preserve">641200, Курганская область, Юргамышский р-н, рп Юргамыш, ул Хлебозавод, д. 1, офис 1</w:t>
            </w:r>
            <w:r>
              <w:rPr>
                <w:sz w:val="20"/>
                <w:szCs w:val="20"/>
                <w:lang w:eastAsia="ru-RU"/>
              </w:rPr>
            </w:r>
            <w:r>
              <w:rPr>
                <w:sz w:val="20"/>
                <w:szCs w:val="20"/>
                <w:lang w:eastAsia="ru-RU"/>
              </w:rPr>
            </w:r>
          </w:p>
        </w:tc>
      </w:tr>
      <w:tr>
        <w:tblPrEx/>
        <w:trPr>
          <w:trHeight w:val="20"/>
        </w:trPr>
        <w:tc>
          <w:tcPr>
            <w:tcW w:w="1359" w:type="pct"/>
            <w:vAlign w:val="center"/>
            <w:textDirection w:val="lrTb"/>
            <w:noWrap w:val="false"/>
          </w:tcPr>
          <w:p>
            <w:pPr>
              <w:jc w:val="center"/>
              <w:widowControl/>
              <w:rPr>
                <w:sz w:val="20"/>
                <w:szCs w:val="20"/>
                <w:lang w:eastAsia="ru-RU"/>
              </w:rPr>
            </w:pPr>
            <w:r>
              <w:rPr>
                <w:sz w:val="20"/>
                <w:szCs w:val="20"/>
              </w:rPr>
              <w:t xml:space="preserve">Котельная </w:t>
            </w:r>
            <w:r>
              <w:rPr>
                <w:sz w:val="20"/>
                <w:szCs w:val="20"/>
                <w:lang w:eastAsia="ru-RU"/>
              </w:rPr>
              <w:t xml:space="preserve">с.Губерля, ул.Школьная, 10А</w:t>
            </w:r>
            <w:r>
              <w:rPr>
                <w:sz w:val="20"/>
                <w:szCs w:val="20"/>
                <w:lang w:eastAsia="ru-RU"/>
              </w:rPr>
            </w:r>
            <w:r>
              <w:rPr>
                <w:sz w:val="20"/>
                <w:szCs w:val="20"/>
                <w:lang w:eastAsia="ru-RU"/>
              </w:rPr>
            </w:r>
          </w:p>
        </w:tc>
        <w:tc>
          <w:tcPr>
            <w:tcW w:w="1697" w:type="pct"/>
            <w:vAlign w:val="center"/>
            <w:textDirection w:val="lrTb"/>
            <w:noWrap w:val="false"/>
          </w:tcPr>
          <w:p>
            <w:pPr>
              <w:jc w:val="center"/>
              <w:widowControl/>
              <w:rPr>
                <w:sz w:val="20"/>
                <w:szCs w:val="20"/>
                <w:lang w:eastAsia="ru-RU"/>
              </w:rPr>
            </w:pPr>
            <w:r>
              <w:rPr>
                <w:sz w:val="20"/>
                <w:szCs w:val="20"/>
                <w:lang w:eastAsia="ru-RU"/>
              </w:rPr>
              <w:t xml:space="preserve">ООО «Курган Тепло»</w:t>
            </w:r>
            <w:r>
              <w:rPr>
                <w:sz w:val="20"/>
                <w:szCs w:val="20"/>
                <w:lang w:eastAsia="ru-RU"/>
              </w:rPr>
            </w:r>
            <w:r>
              <w:rPr>
                <w:sz w:val="20"/>
                <w:szCs w:val="20"/>
                <w:lang w:eastAsia="ru-RU"/>
              </w:rPr>
            </w:r>
          </w:p>
        </w:tc>
        <w:tc>
          <w:tcPr>
            <w:shd w:val="clear" w:color="auto" w:fill="auto"/>
            <w:tcW w:w="625" w:type="pct"/>
            <w:vAlign w:val="center"/>
            <w:textDirection w:val="lrTb"/>
            <w:noWrap/>
          </w:tcPr>
          <w:p>
            <w:pPr>
              <w:jc w:val="center"/>
              <w:widowControl/>
              <w:rPr>
                <w:sz w:val="20"/>
                <w:szCs w:val="20"/>
                <w:lang w:eastAsia="ru-RU"/>
              </w:rPr>
            </w:pPr>
            <w:r>
              <w:rPr>
                <w:sz w:val="20"/>
                <w:szCs w:val="20"/>
                <w:lang w:eastAsia="ru-RU"/>
              </w:rPr>
              <w:t xml:space="preserve">4526006556</w:t>
            </w:r>
            <w:r>
              <w:rPr>
                <w:sz w:val="20"/>
                <w:szCs w:val="20"/>
                <w:lang w:eastAsia="ru-RU"/>
              </w:rPr>
            </w:r>
            <w:r>
              <w:rPr>
                <w:sz w:val="20"/>
                <w:szCs w:val="20"/>
                <w:lang w:eastAsia="ru-RU"/>
              </w:rPr>
            </w:r>
          </w:p>
        </w:tc>
        <w:tc>
          <w:tcPr>
            <w:tcW w:w="1319" w:type="pct"/>
            <w:vAlign w:val="center"/>
            <w:textDirection w:val="lrTb"/>
            <w:noWrap w:val="false"/>
          </w:tcPr>
          <w:p>
            <w:pPr>
              <w:jc w:val="center"/>
              <w:widowControl/>
              <w:rPr>
                <w:sz w:val="20"/>
                <w:szCs w:val="20"/>
                <w:lang w:eastAsia="ru-RU"/>
              </w:rPr>
            </w:pPr>
            <w:r>
              <w:rPr>
                <w:sz w:val="20"/>
                <w:szCs w:val="20"/>
              </w:rPr>
              <w:t xml:space="preserve">641200, Курганская область, Юргамышский р-н, рп Юргамыш, ул Хлебозавод, д. 1, офис 1</w:t>
            </w:r>
            <w:r>
              <w:rPr>
                <w:sz w:val="20"/>
                <w:szCs w:val="20"/>
                <w:lang w:eastAsia="ru-RU"/>
              </w:rPr>
            </w:r>
            <w:r>
              <w:rPr>
                <w:sz w:val="20"/>
                <w:szCs w:val="20"/>
                <w:lang w:eastAsia="ru-RU"/>
              </w:rPr>
            </w:r>
          </w:p>
        </w:tc>
      </w:tr>
      <w:tr>
        <w:tblPrEx/>
        <w:trPr>
          <w:trHeight w:val="20"/>
        </w:trPr>
        <w:tc>
          <w:tcPr>
            <w:tcW w:w="1359" w:type="pct"/>
            <w:vAlign w:val="center"/>
            <w:textDirection w:val="lrTb"/>
            <w:noWrap w:val="false"/>
          </w:tcPr>
          <w:p>
            <w:pPr>
              <w:jc w:val="center"/>
              <w:widowControl/>
              <w:rPr>
                <w:sz w:val="20"/>
                <w:szCs w:val="20"/>
                <w:lang w:eastAsia="ru-RU"/>
              </w:rPr>
            </w:pPr>
            <w:r>
              <w:rPr>
                <w:sz w:val="20"/>
                <w:szCs w:val="20"/>
              </w:rPr>
              <w:t xml:space="preserve">Котельная д. Фадюшино, ул. Центральная, 50Б</w:t>
            </w:r>
            <w:r>
              <w:rPr>
                <w:sz w:val="20"/>
                <w:szCs w:val="20"/>
                <w:lang w:eastAsia="ru-RU"/>
              </w:rPr>
            </w:r>
            <w:r>
              <w:rPr>
                <w:sz w:val="20"/>
                <w:szCs w:val="20"/>
                <w:lang w:eastAsia="ru-RU"/>
              </w:rPr>
            </w:r>
          </w:p>
        </w:tc>
        <w:tc>
          <w:tcPr>
            <w:tcW w:w="1697" w:type="pct"/>
            <w:vAlign w:val="center"/>
            <w:textDirection w:val="lrTb"/>
            <w:noWrap w:val="false"/>
          </w:tcPr>
          <w:p>
            <w:pPr>
              <w:jc w:val="center"/>
              <w:widowControl/>
              <w:rPr>
                <w:sz w:val="20"/>
                <w:szCs w:val="20"/>
                <w:lang w:eastAsia="ru-RU"/>
              </w:rPr>
            </w:pPr>
            <w:r>
              <w:rPr>
                <w:sz w:val="20"/>
                <w:szCs w:val="20"/>
                <w:lang w:eastAsia="ru-RU"/>
              </w:rPr>
              <w:t xml:space="preserve">ООО «Курган Тепло»</w:t>
            </w:r>
            <w:r>
              <w:rPr>
                <w:sz w:val="20"/>
                <w:szCs w:val="20"/>
                <w:lang w:eastAsia="ru-RU"/>
              </w:rPr>
            </w:r>
            <w:r>
              <w:rPr>
                <w:sz w:val="20"/>
                <w:szCs w:val="20"/>
                <w:lang w:eastAsia="ru-RU"/>
              </w:rPr>
            </w:r>
          </w:p>
        </w:tc>
        <w:tc>
          <w:tcPr>
            <w:shd w:val="clear" w:color="auto" w:fill="auto"/>
            <w:tcW w:w="625" w:type="pct"/>
            <w:vAlign w:val="center"/>
            <w:textDirection w:val="lrTb"/>
            <w:noWrap/>
          </w:tcPr>
          <w:p>
            <w:pPr>
              <w:jc w:val="center"/>
              <w:widowControl/>
              <w:rPr>
                <w:sz w:val="20"/>
                <w:szCs w:val="20"/>
                <w:lang w:eastAsia="ru-RU"/>
              </w:rPr>
            </w:pPr>
            <w:r>
              <w:rPr>
                <w:sz w:val="20"/>
                <w:szCs w:val="20"/>
                <w:lang w:eastAsia="ru-RU"/>
              </w:rPr>
              <w:t xml:space="preserve">4526006556</w:t>
            </w:r>
            <w:r>
              <w:rPr>
                <w:sz w:val="20"/>
                <w:szCs w:val="20"/>
                <w:lang w:eastAsia="ru-RU"/>
              </w:rPr>
            </w:r>
            <w:r>
              <w:rPr>
                <w:sz w:val="20"/>
                <w:szCs w:val="20"/>
                <w:lang w:eastAsia="ru-RU"/>
              </w:rPr>
            </w:r>
          </w:p>
        </w:tc>
        <w:tc>
          <w:tcPr>
            <w:tcW w:w="1319" w:type="pct"/>
            <w:vAlign w:val="center"/>
            <w:textDirection w:val="lrTb"/>
            <w:noWrap w:val="false"/>
          </w:tcPr>
          <w:p>
            <w:pPr>
              <w:jc w:val="center"/>
              <w:widowControl/>
              <w:rPr>
                <w:sz w:val="20"/>
                <w:szCs w:val="20"/>
                <w:lang w:eastAsia="ru-RU"/>
              </w:rPr>
            </w:pPr>
            <w:r>
              <w:rPr>
                <w:sz w:val="20"/>
                <w:szCs w:val="20"/>
              </w:rPr>
              <w:t xml:space="preserve">641200, Курганская область, Юргамышский р-н, рп Юргамыш, ул Хлебозавод, д. 1, офис 1</w:t>
            </w:r>
            <w:r>
              <w:rPr>
                <w:sz w:val="20"/>
                <w:szCs w:val="20"/>
                <w:lang w:eastAsia="ru-RU"/>
              </w:rPr>
            </w:r>
            <w:r>
              <w:rPr>
                <w:sz w:val="20"/>
                <w:szCs w:val="20"/>
                <w:lang w:eastAsia="ru-RU"/>
              </w:rPr>
            </w:r>
          </w:p>
        </w:tc>
      </w:tr>
      <w:tr>
        <w:tblPrEx/>
        <w:trPr>
          <w:trHeight w:val="20"/>
        </w:trPr>
        <w:tc>
          <w:tcPr>
            <w:tcW w:w="1359" w:type="pct"/>
            <w:vAlign w:val="center"/>
            <w:textDirection w:val="lrTb"/>
            <w:noWrap w:val="false"/>
          </w:tcPr>
          <w:p>
            <w:pPr>
              <w:jc w:val="center"/>
              <w:widowControl/>
              <w:rPr>
                <w:sz w:val="20"/>
                <w:szCs w:val="20"/>
                <w:lang w:eastAsia="ru-RU"/>
              </w:rPr>
            </w:pPr>
            <w:r>
              <w:rPr>
                <w:sz w:val="20"/>
                <w:szCs w:val="20"/>
              </w:rPr>
              <w:t xml:space="preserve">Котельная </w:t>
            </w:r>
            <w:r>
              <w:rPr>
                <w:sz w:val="20"/>
                <w:szCs w:val="20"/>
                <w:lang w:eastAsia="ru-RU"/>
              </w:rPr>
              <w:t xml:space="preserve">с.М.Белое, ул.Школьная, 2А</w:t>
            </w:r>
            <w:r>
              <w:rPr>
                <w:sz w:val="20"/>
                <w:szCs w:val="20"/>
                <w:lang w:eastAsia="ru-RU"/>
              </w:rPr>
            </w:r>
            <w:r>
              <w:rPr>
                <w:sz w:val="20"/>
                <w:szCs w:val="20"/>
                <w:lang w:eastAsia="ru-RU"/>
              </w:rPr>
            </w:r>
          </w:p>
        </w:tc>
        <w:tc>
          <w:tcPr>
            <w:tcW w:w="1697" w:type="pct"/>
            <w:vAlign w:val="center"/>
            <w:textDirection w:val="lrTb"/>
            <w:noWrap w:val="false"/>
          </w:tcPr>
          <w:p>
            <w:pPr>
              <w:jc w:val="center"/>
              <w:widowControl/>
              <w:rPr>
                <w:sz w:val="20"/>
                <w:szCs w:val="20"/>
                <w:lang w:eastAsia="ru-RU"/>
              </w:rPr>
            </w:pPr>
            <w:r>
              <w:rPr>
                <w:sz w:val="20"/>
                <w:szCs w:val="20"/>
                <w:lang w:eastAsia="ru-RU"/>
              </w:rPr>
              <w:t xml:space="preserve">ООО «Арабика»</w:t>
            </w:r>
            <w:r>
              <w:rPr>
                <w:sz w:val="20"/>
                <w:szCs w:val="20"/>
                <w:lang w:eastAsia="ru-RU"/>
              </w:rPr>
            </w:r>
            <w:r>
              <w:rPr>
                <w:sz w:val="20"/>
                <w:szCs w:val="20"/>
                <w:lang w:eastAsia="ru-RU"/>
              </w:rPr>
            </w:r>
          </w:p>
        </w:tc>
        <w:tc>
          <w:tcPr>
            <w:shd w:val="clear" w:color="auto" w:fill="auto"/>
            <w:tcW w:w="625" w:type="pct"/>
            <w:vAlign w:val="center"/>
            <w:textDirection w:val="lrTb"/>
            <w:noWrap/>
          </w:tcPr>
          <w:p>
            <w:pPr>
              <w:jc w:val="center"/>
              <w:widowControl/>
              <w:rPr>
                <w:sz w:val="20"/>
                <w:szCs w:val="20"/>
                <w:lang w:eastAsia="ru-RU"/>
              </w:rPr>
            </w:pPr>
            <w:r>
              <w:rPr>
                <w:sz w:val="20"/>
                <w:szCs w:val="20"/>
                <w:lang w:eastAsia="ru-RU"/>
              </w:rPr>
              <w:t xml:space="preserve">6623095996</w:t>
            </w:r>
            <w:r>
              <w:rPr>
                <w:sz w:val="20"/>
                <w:szCs w:val="20"/>
                <w:lang w:eastAsia="ru-RU"/>
              </w:rPr>
            </w:r>
            <w:r>
              <w:rPr>
                <w:sz w:val="20"/>
                <w:szCs w:val="20"/>
                <w:lang w:eastAsia="ru-RU"/>
              </w:rPr>
            </w:r>
          </w:p>
        </w:tc>
        <w:tc>
          <w:tcPr>
            <w:tcW w:w="1319" w:type="pct"/>
            <w:vAlign w:val="center"/>
            <w:textDirection w:val="lrTb"/>
            <w:noWrap w:val="false"/>
          </w:tcPr>
          <w:p>
            <w:pPr>
              <w:jc w:val="center"/>
              <w:widowControl/>
              <w:rPr>
                <w:sz w:val="20"/>
                <w:szCs w:val="20"/>
                <w:lang w:eastAsia="ru-RU"/>
              </w:rPr>
            </w:pPr>
            <w:r>
              <w:rPr>
                <w:sz w:val="20"/>
                <w:szCs w:val="20"/>
              </w:rPr>
              <w:t xml:space="preserve">641200, Курганская область, Юргамышский район, рабочий поселок Юргамыш, ул. Мира, д. 58, офис 4</w:t>
            </w:r>
            <w:r>
              <w:rPr>
                <w:sz w:val="20"/>
                <w:szCs w:val="20"/>
                <w:lang w:eastAsia="ru-RU"/>
              </w:rPr>
            </w:r>
            <w:r>
              <w:rPr>
                <w:sz w:val="20"/>
                <w:szCs w:val="20"/>
                <w:lang w:eastAsia="ru-RU"/>
              </w:rPr>
            </w:r>
          </w:p>
        </w:tc>
      </w:tr>
      <w:tr>
        <w:tblPrEx/>
        <w:trPr>
          <w:trHeight w:val="20"/>
        </w:trPr>
        <w:tc>
          <w:tcPr>
            <w:tcW w:w="1359" w:type="pct"/>
            <w:vAlign w:val="center"/>
            <w:textDirection w:val="lrTb"/>
            <w:noWrap w:val="false"/>
          </w:tcPr>
          <w:p>
            <w:pPr>
              <w:jc w:val="center"/>
              <w:widowControl/>
              <w:rPr>
                <w:sz w:val="20"/>
                <w:szCs w:val="20"/>
                <w:lang w:eastAsia="ru-RU"/>
              </w:rPr>
            </w:pPr>
            <w:r>
              <w:rPr>
                <w:sz w:val="20"/>
                <w:szCs w:val="20"/>
              </w:rPr>
              <w:t xml:space="preserve">Котельная </w:t>
            </w:r>
            <w:r>
              <w:rPr>
                <w:sz w:val="20"/>
                <w:szCs w:val="20"/>
                <w:lang w:eastAsia="ru-RU"/>
              </w:rPr>
              <w:t xml:space="preserve">с.М.Белое, ул.Школьная, 2Б</w:t>
            </w:r>
            <w:r>
              <w:rPr>
                <w:sz w:val="20"/>
                <w:szCs w:val="20"/>
                <w:lang w:eastAsia="ru-RU"/>
              </w:rPr>
            </w:r>
            <w:r>
              <w:rPr>
                <w:sz w:val="20"/>
                <w:szCs w:val="20"/>
                <w:lang w:eastAsia="ru-RU"/>
              </w:rPr>
            </w:r>
          </w:p>
        </w:tc>
        <w:tc>
          <w:tcPr>
            <w:tcW w:w="1697" w:type="pct"/>
            <w:vAlign w:val="center"/>
            <w:textDirection w:val="lrTb"/>
            <w:noWrap w:val="false"/>
          </w:tcPr>
          <w:p>
            <w:pPr>
              <w:jc w:val="center"/>
              <w:widowControl/>
              <w:rPr>
                <w:sz w:val="20"/>
                <w:szCs w:val="20"/>
                <w:lang w:eastAsia="ru-RU"/>
              </w:rPr>
            </w:pPr>
            <w:r>
              <w:rPr>
                <w:sz w:val="20"/>
                <w:szCs w:val="20"/>
                <w:lang w:eastAsia="ru-RU"/>
              </w:rPr>
              <w:t xml:space="preserve">ООО «Арабика»</w:t>
            </w:r>
            <w:r>
              <w:rPr>
                <w:sz w:val="20"/>
                <w:szCs w:val="20"/>
                <w:lang w:eastAsia="ru-RU"/>
              </w:rPr>
            </w:r>
            <w:r>
              <w:rPr>
                <w:sz w:val="20"/>
                <w:szCs w:val="20"/>
                <w:lang w:eastAsia="ru-RU"/>
              </w:rPr>
            </w:r>
          </w:p>
        </w:tc>
        <w:tc>
          <w:tcPr>
            <w:shd w:val="clear" w:color="auto" w:fill="auto"/>
            <w:tcW w:w="625" w:type="pct"/>
            <w:vAlign w:val="center"/>
            <w:textDirection w:val="lrTb"/>
            <w:noWrap/>
          </w:tcPr>
          <w:p>
            <w:pPr>
              <w:jc w:val="center"/>
              <w:widowControl/>
              <w:rPr>
                <w:sz w:val="20"/>
                <w:szCs w:val="20"/>
                <w:lang w:eastAsia="ru-RU"/>
              </w:rPr>
            </w:pPr>
            <w:r>
              <w:rPr>
                <w:sz w:val="20"/>
                <w:szCs w:val="20"/>
                <w:lang w:eastAsia="ru-RU"/>
              </w:rPr>
              <w:t xml:space="preserve">6623095996</w:t>
            </w:r>
            <w:r>
              <w:rPr>
                <w:sz w:val="20"/>
                <w:szCs w:val="20"/>
                <w:lang w:eastAsia="ru-RU"/>
              </w:rPr>
            </w:r>
            <w:r>
              <w:rPr>
                <w:sz w:val="20"/>
                <w:szCs w:val="20"/>
                <w:lang w:eastAsia="ru-RU"/>
              </w:rPr>
            </w:r>
          </w:p>
        </w:tc>
        <w:tc>
          <w:tcPr>
            <w:tcW w:w="1319" w:type="pct"/>
            <w:vAlign w:val="center"/>
            <w:textDirection w:val="lrTb"/>
            <w:noWrap w:val="false"/>
          </w:tcPr>
          <w:p>
            <w:pPr>
              <w:jc w:val="center"/>
              <w:widowControl/>
              <w:rPr>
                <w:sz w:val="20"/>
                <w:szCs w:val="20"/>
                <w:lang w:eastAsia="ru-RU"/>
              </w:rPr>
            </w:pPr>
            <w:r>
              <w:rPr>
                <w:sz w:val="20"/>
                <w:szCs w:val="20"/>
              </w:rPr>
              <w:t xml:space="preserve">641200, Курганская область, Юргамышский район, рабочий поселок Юргамыш, ул. Мира, д. 58, офис 4</w:t>
            </w:r>
            <w:r>
              <w:rPr>
                <w:sz w:val="20"/>
                <w:szCs w:val="20"/>
                <w:lang w:eastAsia="ru-RU"/>
              </w:rPr>
            </w:r>
            <w:r>
              <w:rPr>
                <w:sz w:val="20"/>
                <w:szCs w:val="20"/>
                <w:lang w:eastAsia="ru-RU"/>
              </w:rPr>
            </w:r>
          </w:p>
        </w:tc>
      </w:tr>
    </w:tbl>
    <w:p>
      <w:pPr>
        <w:pStyle w:val="1248"/>
        <w:ind w:right="113" w:firstLine="733"/>
        <w:spacing w:before="0"/>
        <w:rPr>
          <w:lang w:eastAsia="ru-RU"/>
        </w:rPr>
      </w:pPr>
      <w:r>
        <w:rPr>
          <w:lang w:eastAsia="ru-RU"/>
        </w:rPr>
      </w:r>
      <w:r>
        <w:rPr>
          <w:lang w:eastAsia="ru-RU"/>
        </w:rPr>
      </w:r>
      <w:r>
        <w:rPr>
          <w:lang w:eastAsia="ru-RU"/>
        </w:rPr>
      </w:r>
    </w:p>
    <w:p>
      <w:pPr>
        <w:pStyle w:val="1248"/>
        <w:ind w:right="113" w:firstLine="733"/>
        <w:spacing w:before="0"/>
      </w:pPr>
      <w:r>
        <w:rPr>
          <w:lang w:eastAsia="ru-RU"/>
        </w:rPr>
        <w:t xml:space="preserve">15.2 </w:t>
      </w:r>
      <w:r>
        <w:t xml:space="preserve">Реестр</w:t>
      </w:r>
      <w:r>
        <w:rPr>
          <w:spacing w:val="-11"/>
        </w:rPr>
        <w:t xml:space="preserve"> </w:t>
      </w:r>
      <w:r>
        <w:t xml:space="preserve">единых</w:t>
      </w:r>
      <w:r>
        <w:rPr>
          <w:spacing w:val="-14"/>
        </w:rPr>
        <w:t xml:space="preserve"> </w:t>
      </w:r>
      <w:r>
        <w:t xml:space="preserve">теплоснабжающих</w:t>
      </w:r>
      <w:r>
        <w:rPr>
          <w:spacing w:val="-11"/>
        </w:rPr>
        <w:t xml:space="preserve"> </w:t>
      </w:r>
      <w:r>
        <w:t xml:space="preserve">организаций,</w:t>
      </w:r>
      <w:r>
        <w:rPr>
          <w:spacing w:val="-11"/>
        </w:rPr>
        <w:t xml:space="preserve"> </w:t>
      </w:r>
      <w:r>
        <w:t xml:space="preserve">содержащий</w:t>
      </w:r>
      <w:r>
        <w:rPr>
          <w:spacing w:val="-11"/>
        </w:rPr>
        <w:t xml:space="preserve"> </w:t>
      </w:r>
      <w:r>
        <w:t xml:space="preserve">перечень</w:t>
      </w:r>
      <w:r>
        <w:rPr>
          <w:spacing w:val="-11"/>
        </w:rPr>
        <w:t xml:space="preserve"> </w:t>
      </w:r>
      <w:r>
        <w:t xml:space="preserve">систем теплоснабжения, входящих в состав единой теплоснабжающей организации</w:t>
      </w:r>
      <w:bookmarkEnd w:id="660"/>
      <w:r/>
      <w:bookmarkEnd w:id="661"/>
      <w:r/>
      <w:r/>
    </w:p>
    <w:p>
      <w:pPr>
        <w:pStyle w:val="1247"/>
        <w:ind w:firstLine="851"/>
        <w:jc w:val="right"/>
        <w:spacing w:before="120"/>
      </w:pPr>
      <w:r>
        <w:t xml:space="preserve">Таблица </w:t>
      </w:r>
      <w:r>
        <w:t xml:space="preserve">15.2.1</w:t>
      </w:r>
      <w:r/>
    </w:p>
    <w:p>
      <w:pPr>
        <w:pStyle w:val="1247"/>
        <w:ind w:firstLine="851"/>
        <w:jc w:val="center"/>
      </w:pPr>
      <w:r>
        <w:t xml:space="preserve">Реестр единых теплоснабжающих организаций, содержащий перечень систем теплоснабжения</w:t>
      </w:r>
      <w:r/>
    </w:p>
    <w:tbl>
      <w:tblPr>
        <w:tblStyle w:val="1237"/>
        <w:tblW w:w="0" w:type="auto"/>
        <w:tblInd w:w="-11"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Look w:val="01E0" w:firstRow="1" w:lastRow="1" w:firstColumn="1" w:lastColumn="1" w:noHBand="0" w:noVBand="0"/>
      </w:tblPr>
      <w:tblGrid>
        <w:gridCol w:w="2971"/>
        <w:gridCol w:w="1198"/>
        <w:gridCol w:w="2916"/>
        <w:gridCol w:w="2693"/>
      </w:tblGrid>
      <w:tr>
        <w:tblPrEx/>
        <w:trPr>
          <w:trHeight w:val="460"/>
        </w:trPr>
        <w:tc>
          <w:tcPr>
            <w:tcW w:w="2971" w:type="dxa"/>
            <w:vAlign w:val="center"/>
            <w:textDirection w:val="lrTb"/>
            <w:noWrap w:val="false"/>
          </w:tcPr>
          <w:p>
            <w:pPr>
              <w:pStyle w:val="1251"/>
              <w:rPr>
                <w:sz w:val="20"/>
                <w:szCs w:val="20"/>
              </w:rPr>
            </w:pPr>
            <w:r>
              <w:rPr>
                <w:bCs/>
                <w:sz w:val="20"/>
                <w:szCs w:val="20"/>
                <w:lang w:eastAsia="ru-RU"/>
              </w:rPr>
              <w:t xml:space="preserve">Наименование эксплуатирующей организации</w:t>
            </w:r>
            <w:r>
              <w:rPr>
                <w:sz w:val="20"/>
                <w:szCs w:val="20"/>
              </w:rPr>
            </w:r>
            <w:r>
              <w:rPr>
                <w:sz w:val="20"/>
                <w:szCs w:val="20"/>
              </w:rPr>
            </w:r>
          </w:p>
        </w:tc>
        <w:tc>
          <w:tcPr>
            <w:tcW w:w="1198" w:type="dxa"/>
            <w:vAlign w:val="center"/>
            <w:textDirection w:val="lrTb"/>
            <w:noWrap w:val="false"/>
          </w:tcPr>
          <w:p>
            <w:pPr>
              <w:pStyle w:val="1251"/>
              <w:ind w:left="84" w:right="77"/>
              <w:rPr>
                <w:sz w:val="20"/>
                <w:szCs w:val="20"/>
              </w:rPr>
            </w:pPr>
            <w:r>
              <w:rPr>
                <w:spacing w:val="-5"/>
                <w:sz w:val="20"/>
                <w:szCs w:val="20"/>
              </w:rPr>
              <w:t xml:space="preserve">ИНН</w:t>
            </w:r>
            <w:r>
              <w:rPr>
                <w:sz w:val="20"/>
                <w:szCs w:val="20"/>
              </w:rPr>
            </w:r>
            <w:r>
              <w:rPr>
                <w:sz w:val="20"/>
                <w:szCs w:val="20"/>
              </w:rPr>
            </w:r>
          </w:p>
        </w:tc>
        <w:tc>
          <w:tcPr>
            <w:tcW w:w="2916" w:type="dxa"/>
            <w:vAlign w:val="center"/>
            <w:textDirection w:val="lrTb"/>
            <w:noWrap w:val="false"/>
          </w:tcPr>
          <w:p>
            <w:pPr>
              <w:pStyle w:val="1251"/>
              <w:ind w:left="149"/>
              <w:jc w:val="left"/>
              <w:rPr>
                <w:sz w:val="20"/>
                <w:szCs w:val="20"/>
              </w:rPr>
            </w:pPr>
            <w:r>
              <w:rPr>
                <w:spacing w:val="-2"/>
                <w:sz w:val="20"/>
                <w:szCs w:val="20"/>
              </w:rPr>
              <w:t xml:space="preserve">Юридический/почтовый</w:t>
            </w:r>
            <w:r>
              <w:rPr>
                <w:spacing w:val="15"/>
                <w:sz w:val="20"/>
                <w:szCs w:val="20"/>
              </w:rPr>
              <w:t xml:space="preserve"> </w:t>
            </w:r>
            <w:r>
              <w:rPr>
                <w:spacing w:val="-2"/>
                <w:sz w:val="20"/>
                <w:szCs w:val="20"/>
              </w:rPr>
              <w:t xml:space="preserve">адрес</w:t>
            </w:r>
            <w:r>
              <w:rPr>
                <w:sz w:val="20"/>
                <w:szCs w:val="20"/>
              </w:rPr>
            </w:r>
            <w:r>
              <w:rPr>
                <w:sz w:val="20"/>
                <w:szCs w:val="20"/>
              </w:rPr>
            </w:r>
          </w:p>
        </w:tc>
        <w:tc>
          <w:tcPr>
            <w:tcW w:w="2693" w:type="dxa"/>
            <w:vAlign w:val="center"/>
            <w:textDirection w:val="lrTb"/>
            <w:noWrap w:val="false"/>
          </w:tcPr>
          <w:p>
            <w:pPr>
              <w:pStyle w:val="1251"/>
              <w:rPr>
                <w:sz w:val="20"/>
                <w:szCs w:val="20"/>
              </w:rPr>
            </w:pPr>
            <w:r>
              <w:rPr>
                <w:sz w:val="20"/>
                <w:szCs w:val="20"/>
              </w:rPr>
              <w:t xml:space="preserve">Системы</w:t>
            </w:r>
            <w:r>
              <w:rPr>
                <w:spacing w:val="-9"/>
                <w:sz w:val="20"/>
                <w:szCs w:val="20"/>
              </w:rPr>
              <w:t xml:space="preserve"> </w:t>
            </w:r>
            <w:r>
              <w:rPr>
                <w:spacing w:val="-2"/>
                <w:sz w:val="20"/>
                <w:szCs w:val="20"/>
              </w:rPr>
              <w:t xml:space="preserve">теплоснабжения</w:t>
            </w:r>
            <w:r>
              <w:rPr>
                <w:sz w:val="20"/>
                <w:szCs w:val="20"/>
              </w:rPr>
            </w:r>
            <w:r>
              <w:rPr>
                <w:sz w:val="20"/>
                <w:szCs w:val="20"/>
              </w:rPr>
            </w:r>
          </w:p>
        </w:tc>
      </w:tr>
      <w:tr>
        <w:tblPrEx/>
        <w:trPr>
          <w:trHeight w:val="72"/>
        </w:trPr>
        <w:tc>
          <w:tcPr>
            <w:tcW w:w="2971" w:type="dxa"/>
            <w:vAlign w:val="center"/>
            <w:textDirection w:val="lrTb"/>
            <w:noWrap w:val="false"/>
          </w:tcPr>
          <w:p>
            <w:pPr>
              <w:jc w:val="center"/>
              <w:widowControl/>
              <w:rPr>
                <w:sz w:val="20"/>
                <w:szCs w:val="20"/>
                <w:lang w:eastAsia="ru-RU"/>
              </w:rPr>
            </w:pPr>
            <w:r>
              <w:rPr>
                <w:sz w:val="20"/>
                <w:szCs w:val="20"/>
              </w:rPr>
              <w:t xml:space="preserve">ООО «Новомировское домоуправление»</w:t>
            </w:r>
            <w:r>
              <w:rPr>
                <w:sz w:val="20"/>
                <w:szCs w:val="20"/>
                <w:lang w:eastAsia="ru-RU"/>
              </w:rPr>
            </w:r>
            <w:r>
              <w:rPr>
                <w:sz w:val="20"/>
                <w:szCs w:val="20"/>
                <w:lang w:eastAsia="ru-RU"/>
              </w:rPr>
            </w:r>
          </w:p>
        </w:tc>
        <w:tc>
          <w:tcPr>
            <w:tcW w:w="1198" w:type="dxa"/>
            <w:vAlign w:val="center"/>
            <w:textDirection w:val="lrTb"/>
            <w:noWrap w:val="false"/>
          </w:tcPr>
          <w:p>
            <w:pPr>
              <w:jc w:val="center"/>
              <w:widowControl/>
              <w:rPr>
                <w:sz w:val="20"/>
                <w:szCs w:val="20"/>
                <w:lang w:eastAsia="ru-RU"/>
              </w:rPr>
            </w:pPr>
            <w:r>
              <w:rPr>
                <w:sz w:val="20"/>
                <w:szCs w:val="20"/>
                <w:lang w:eastAsia="ru-RU"/>
              </w:rPr>
              <w:t xml:space="preserve">4500015965</w:t>
            </w:r>
            <w:r>
              <w:rPr>
                <w:sz w:val="20"/>
                <w:szCs w:val="20"/>
                <w:lang w:eastAsia="ru-RU"/>
              </w:rPr>
            </w:r>
            <w:r>
              <w:rPr>
                <w:sz w:val="20"/>
                <w:szCs w:val="20"/>
                <w:lang w:eastAsia="ru-RU"/>
              </w:rPr>
            </w:r>
          </w:p>
        </w:tc>
        <w:tc>
          <w:tcPr>
            <w:tcW w:w="2916" w:type="dxa"/>
            <w:vAlign w:val="center"/>
            <w:textDirection w:val="lrTb"/>
            <w:noWrap w:val="false"/>
          </w:tcPr>
          <w:p>
            <w:pPr>
              <w:jc w:val="center"/>
              <w:widowControl/>
              <w:rPr>
                <w:sz w:val="20"/>
                <w:szCs w:val="20"/>
                <w:lang w:eastAsia="ru-RU"/>
              </w:rPr>
            </w:pPr>
            <w:r>
              <w:rPr>
                <w:sz w:val="20"/>
                <w:szCs w:val="20"/>
              </w:rPr>
              <w:t xml:space="preserve">641210, Курганская область, Юргамышский район, пос. Новый Мир, ул. Советская 1</w:t>
            </w:r>
            <w:r>
              <w:rPr>
                <w:sz w:val="20"/>
                <w:szCs w:val="20"/>
                <w:lang w:eastAsia="ru-RU"/>
              </w:rPr>
            </w:r>
            <w:r>
              <w:rPr>
                <w:sz w:val="20"/>
                <w:szCs w:val="20"/>
                <w:lang w:eastAsia="ru-RU"/>
              </w:rPr>
            </w:r>
          </w:p>
        </w:tc>
        <w:tc>
          <w:tcPr>
            <w:tcW w:w="2693" w:type="dxa"/>
            <w:vAlign w:val="center"/>
            <w:textDirection w:val="lrTb"/>
            <w:noWrap w:val="false"/>
          </w:tcPr>
          <w:p>
            <w:pPr>
              <w:jc w:val="center"/>
              <w:widowControl/>
              <w:rPr>
                <w:sz w:val="20"/>
                <w:szCs w:val="20"/>
                <w:lang w:eastAsia="ru-RU"/>
              </w:rPr>
            </w:pPr>
            <w:r>
              <w:rPr>
                <w:sz w:val="20"/>
                <w:szCs w:val="20"/>
                <w:lang w:eastAsia="ru-RU"/>
              </w:rPr>
              <w:t xml:space="preserve">Покупка тепла у котельной п. Новый Мир, ЛПДС «Юргамыш»</w:t>
            </w:r>
            <w:r>
              <w:rPr>
                <w:sz w:val="20"/>
                <w:szCs w:val="20"/>
                <w:lang w:eastAsia="ru-RU"/>
              </w:rPr>
            </w:r>
            <w:r>
              <w:rPr>
                <w:sz w:val="20"/>
                <w:szCs w:val="20"/>
                <w:lang w:eastAsia="ru-RU"/>
              </w:rPr>
            </w:r>
          </w:p>
        </w:tc>
      </w:tr>
      <w:tr>
        <w:tblPrEx/>
        <w:trPr>
          <w:trHeight w:val="229"/>
        </w:trPr>
        <w:tc>
          <w:tcPr>
            <w:tcBorders>
              <w:top w:val="none" w:color="000000" w:sz="4" w:space="0"/>
              <w:bottom w:val="single" w:color="auto" w:sz="4" w:space="0"/>
            </w:tcBorders>
            <w:tcW w:w="2971" w:type="dxa"/>
            <w:vAlign w:val="center"/>
            <w:textDirection w:val="lrTb"/>
            <w:noWrap w:val="false"/>
          </w:tcPr>
          <w:p>
            <w:pPr>
              <w:jc w:val="center"/>
              <w:widowControl/>
              <w:rPr>
                <w:iCs/>
                <w:sz w:val="20"/>
                <w:szCs w:val="20"/>
                <w:lang w:eastAsia="ru-RU"/>
              </w:rPr>
            </w:pPr>
            <w:r>
              <w:rPr>
                <w:iCs/>
                <w:sz w:val="20"/>
                <w:szCs w:val="20"/>
                <w:lang w:eastAsia="ru-RU"/>
              </w:rPr>
              <w:t xml:space="preserve">Курганское отделение Южно-Уральской железной дороги-Филиала Открытого Акционерного Общества «Российские железные дороги»</w:t>
            </w:r>
            <w:r>
              <w:rPr>
                <w:iCs/>
                <w:sz w:val="20"/>
                <w:szCs w:val="20"/>
                <w:lang w:eastAsia="ru-RU"/>
              </w:rPr>
            </w:r>
            <w:r>
              <w:rPr>
                <w:iCs/>
                <w:sz w:val="20"/>
                <w:szCs w:val="20"/>
                <w:lang w:eastAsia="ru-RU"/>
              </w:rPr>
            </w:r>
          </w:p>
        </w:tc>
        <w:tc>
          <w:tcPr>
            <w:tcBorders>
              <w:top w:val="none" w:color="000000" w:sz="4" w:space="0"/>
              <w:bottom w:val="single" w:color="auto" w:sz="4" w:space="0"/>
            </w:tcBorders>
            <w:tcW w:w="1198" w:type="dxa"/>
            <w:vAlign w:val="center"/>
            <w:textDirection w:val="lrTb"/>
            <w:noWrap w:val="false"/>
          </w:tcPr>
          <w:p>
            <w:pPr>
              <w:jc w:val="center"/>
              <w:widowControl/>
              <w:rPr>
                <w:iCs/>
                <w:sz w:val="20"/>
                <w:szCs w:val="20"/>
                <w:lang w:eastAsia="ru-RU"/>
              </w:rPr>
            </w:pPr>
            <w:r>
              <w:rPr>
                <w:sz w:val="20"/>
                <w:szCs w:val="20"/>
                <w:shd w:val="clear" w:color="auto" w:fill="ffffff"/>
              </w:rPr>
              <w:t xml:space="preserve">7708503727</w:t>
            </w:r>
            <w:r>
              <w:rPr>
                <w:iCs/>
                <w:sz w:val="20"/>
                <w:szCs w:val="20"/>
                <w:lang w:eastAsia="ru-RU"/>
              </w:rPr>
            </w:r>
            <w:r>
              <w:rPr>
                <w:iCs/>
                <w:sz w:val="20"/>
                <w:szCs w:val="20"/>
                <w:lang w:eastAsia="ru-RU"/>
              </w:rPr>
            </w:r>
          </w:p>
        </w:tc>
        <w:tc>
          <w:tcPr>
            <w:tcBorders>
              <w:top w:val="none" w:color="000000" w:sz="4" w:space="0"/>
              <w:bottom w:val="single" w:color="auto" w:sz="4" w:space="0"/>
            </w:tcBorders>
            <w:tcW w:w="2916" w:type="dxa"/>
            <w:vAlign w:val="center"/>
            <w:textDirection w:val="lrTb"/>
            <w:noWrap w:val="false"/>
          </w:tcPr>
          <w:p>
            <w:pPr>
              <w:jc w:val="center"/>
              <w:widowControl/>
              <w:rPr>
                <w:iCs/>
                <w:sz w:val="20"/>
                <w:szCs w:val="20"/>
                <w:lang w:eastAsia="ru-RU"/>
              </w:rPr>
            </w:pPr>
            <w:r>
              <w:rPr>
                <w:sz w:val="20"/>
                <w:szCs w:val="20"/>
              </w:rPr>
              <w:t xml:space="preserve">640007, г. Курган, ул. Омская, д.68</w:t>
            </w:r>
            <w:r>
              <w:rPr>
                <w:iCs/>
                <w:sz w:val="20"/>
                <w:szCs w:val="20"/>
                <w:lang w:eastAsia="ru-RU"/>
              </w:rPr>
            </w:r>
            <w:r>
              <w:rPr>
                <w:iCs/>
                <w:sz w:val="20"/>
                <w:szCs w:val="20"/>
                <w:lang w:eastAsia="ru-RU"/>
              </w:rPr>
            </w:r>
          </w:p>
        </w:tc>
        <w:tc>
          <w:tcPr>
            <w:tcW w:w="2693" w:type="dxa"/>
            <w:vAlign w:val="center"/>
            <w:textDirection w:val="lrTb"/>
            <w:noWrap w:val="false"/>
          </w:tcPr>
          <w:p>
            <w:pPr>
              <w:ind w:hanging="8"/>
              <w:jc w:val="center"/>
              <w:widowControl/>
              <w:rPr>
                <w:sz w:val="20"/>
                <w:szCs w:val="20"/>
                <w:lang w:eastAsia="ru-RU"/>
              </w:rPr>
            </w:pPr>
            <w:r>
              <w:rPr>
                <w:color w:val="000000"/>
                <w:sz w:val="20"/>
                <w:szCs w:val="20"/>
              </w:rPr>
              <w:t xml:space="preserve">Котельная </w:t>
            </w:r>
            <w:r>
              <w:rPr>
                <w:rFonts w:ascii="Liberation Serif" w:hAnsi="Liberation Serif" w:cs="Calibri"/>
                <w:color w:val="000000"/>
                <w:sz w:val="20"/>
                <w:szCs w:val="20"/>
              </w:rPr>
              <w:t xml:space="preserve">р.п.  Юргамыш, ул. Железнодорожная, территория тягловой подстанции ОАО «РЖД»</w:t>
            </w:r>
            <w:r>
              <w:rPr>
                <w:sz w:val="20"/>
                <w:szCs w:val="20"/>
                <w:lang w:eastAsia="ru-RU"/>
              </w:rPr>
            </w:r>
            <w:r>
              <w:rPr>
                <w:sz w:val="20"/>
                <w:szCs w:val="20"/>
                <w:lang w:eastAsia="ru-RU"/>
              </w:rPr>
            </w:r>
          </w:p>
        </w:tc>
      </w:tr>
      <w:tr>
        <w:tblPrEx/>
        <w:trPr>
          <w:trHeight w:val="229"/>
        </w:trPr>
        <w:tc>
          <w:tcPr>
            <w:tcBorders>
              <w:top w:val="single" w:color="auto" w:sz="4" w:space="0"/>
              <w:left w:val="single" w:color="auto" w:sz="4" w:space="0"/>
              <w:bottom w:val="single" w:color="auto" w:sz="4" w:space="0"/>
              <w:right w:val="single" w:color="auto" w:sz="4" w:space="0"/>
            </w:tcBorders>
            <w:tcW w:w="2971" w:type="dxa"/>
            <w:vAlign w:val="center"/>
            <w:textDirection w:val="lrTb"/>
            <w:noWrap w:val="false"/>
          </w:tcPr>
          <w:p>
            <w:pPr>
              <w:jc w:val="center"/>
              <w:widowControl/>
              <w:rPr>
                <w:sz w:val="20"/>
                <w:szCs w:val="20"/>
                <w:lang w:eastAsia="ru-RU"/>
              </w:rPr>
            </w:pPr>
            <w:r>
              <w:rPr>
                <w:sz w:val="20"/>
                <w:szCs w:val="20"/>
                <w:lang w:eastAsia="ru-RU"/>
              </w:rPr>
              <w:t xml:space="preserve">ФКУ «ИК №7 Федеральной службы исполнения наказания по Курганской области»</w:t>
            </w:r>
            <w:r>
              <w:rPr>
                <w:sz w:val="20"/>
                <w:szCs w:val="20"/>
                <w:lang w:eastAsia="ru-RU"/>
              </w:rPr>
            </w:r>
            <w:r>
              <w:rPr>
                <w:sz w:val="20"/>
                <w:szCs w:val="20"/>
                <w:lang w:eastAsia="ru-RU"/>
              </w:rPr>
            </w:r>
          </w:p>
        </w:tc>
        <w:tc>
          <w:tcPr>
            <w:tcBorders>
              <w:top w:val="single" w:color="auto" w:sz="4" w:space="0"/>
              <w:left w:val="single" w:color="auto" w:sz="4" w:space="0"/>
              <w:bottom w:val="single" w:color="auto" w:sz="4" w:space="0"/>
              <w:right w:val="single" w:color="auto" w:sz="4" w:space="0"/>
            </w:tcBorders>
            <w:tcW w:w="1198" w:type="dxa"/>
            <w:vAlign w:val="center"/>
            <w:textDirection w:val="lrTb"/>
            <w:noWrap w:val="false"/>
          </w:tcPr>
          <w:p>
            <w:pPr>
              <w:jc w:val="center"/>
              <w:widowControl/>
              <w:rPr>
                <w:sz w:val="20"/>
                <w:szCs w:val="20"/>
                <w:lang w:eastAsia="ru-RU"/>
              </w:rPr>
            </w:pPr>
            <w:r>
              <w:rPr>
                <w:sz w:val="20"/>
                <w:szCs w:val="20"/>
                <w:lang w:eastAsia="ru-RU"/>
              </w:rPr>
              <w:t xml:space="preserve">4526004189</w:t>
            </w:r>
            <w:r>
              <w:rPr>
                <w:sz w:val="20"/>
                <w:szCs w:val="20"/>
                <w:lang w:eastAsia="ru-RU"/>
              </w:rPr>
            </w:r>
            <w:r>
              <w:rPr>
                <w:sz w:val="20"/>
                <w:szCs w:val="20"/>
                <w:lang w:eastAsia="ru-RU"/>
              </w:rPr>
            </w:r>
          </w:p>
        </w:tc>
        <w:tc>
          <w:tcPr>
            <w:tcBorders>
              <w:top w:val="single" w:color="auto" w:sz="4" w:space="0"/>
              <w:left w:val="single" w:color="auto" w:sz="4" w:space="0"/>
              <w:bottom w:val="single" w:color="auto" w:sz="4" w:space="0"/>
              <w:right w:val="single" w:color="auto" w:sz="4" w:space="0"/>
            </w:tcBorders>
            <w:tcW w:w="2916" w:type="dxa"/>
            <w:vAlign w:val="center"/>
            <w:textDirection w:val="lrTb"/>
            <w:noWrap w:val="false"/>
          </w:tcPr>
          <w:p>
            <w:pPr>
              <w:jc w:val="center"/>
              <w:widowControl/>
              <w:rPr>
                <w:sz w:val="20"/>
                <w:szCs w:val="20"/>
                <w:lang w:eastAsia="ru-RU"/>
              </w:rPr>
            </w:pPr>
            <w:r>
              <w:rPr>
                <w:sz w:val="20"/>
                <w:szCs w:val="20"/>
              </w:rPr>
              <w:t xml:space="preserve">641200, Курганская область, Юргамышский район, р.п. Юргамыш, ул. Труда, д. 147</w:t>
            </w:r>
            <w:r>
              <w:rPr>
                <w:sz w:val="20"/>
                <w:szCs w:val="20"/>
                <w:lang w:eastAsia="ru-RU"/>
              </w:rPr>
            </w:r>
            <w:r>
              <w:rPr>
                <w:sz w:val="20"/>
                <w:szCs w:val="20"/>
                <w:lang w:eastAsia="ru-RU"/>
              </w:rPr>
            </w:r>
          </w:p>
        </w:tc>
        <w:tc>
          <w:tcPr>
            <w:tcBorders>
              <w:left w:val="single" w:color="auto" w:sz="4" w:space="0"/>
            </w:tcBorders>
            <w:tcW w:w="2693" w:type="dxa"/>
            <w:vAlign w:val="center"/>
            <w:textDirection w:val="lrTb"/>
            <w:noWrap w:val="false"/>
          </w:tcPr>
          <w:p>
            <w:pPr>
              <w:ind w:hanging="8"/>
              <w:jc w:val="center"/>
              <w:widowControl/>
              <w:rPr>
                <w:sz w:val="20"/>
                <w:szCs w:val="20"/>
                <w:lang w:eastAsia="ru-RU"/>
              </w:rPr>
            </w:pPr>
            <w:r>
              <w:rPr>
                <w:sz w:val="20"/>
                <w:szCs w:val="20"/>
              </w:rPr>
              <w:t xml:space="preserve">Котельная ФКУ ИК №7 УФСИН России по Курганской области,</w:t>
            </w:r>
            <w:r>
              <w:rPr>
                <w:rFonts w:ascii="Liberation Serif" w:hAnsi="Liberation Serif" w:cs="Calibri"/>
                <w:color w:val="000000"/>
                <w:sz w:val="20"/>
                <w:szCs w:val="20"/>
              </w:rPr>
              <w:t xml:space="preserve"> Курганская область, р.п. Юргамыш, ул. Труда, 147</w:t>
            </w:r>
            <w:r>
              <w:rPr>
                <w:sz w:val="20"/>
                <w:szCs w:val="20"/>
                <w:lang w:eastAsia="ru-RU"/>
              </w:rPr>
            </w:r>
            <w:r>
              <w:rPr>
                <w:sz w:val="20"/>
                <w:szCs w:val="20"/>
                <w:lang w:eastAsia="ru-RU"/>
              </w:rPr>
            </w:r>
          </w:p>
        </w:tc>
      </w:tr>
      <w:tr>
        <w:tblPrEx/>
        <w:trPr>
          <w:trHeight w:val="229"/>
        </w:trPr>
        <w:tc>
          <w:tcPr>
            <w:tcBorders>
              <w:top w:val="single" w:color="auto" w:sz="4" w:space="0"/>
            </w:tcBorders>
            <w:tcW w:w="2971" w:type="dxa"/>
            <w:vAlign w:val="center"/>
            <w:textDirection w:val="lrTb"/>
            <w:noWrap w:val="false"/>
          </w:tcPr>
          <w:p>
            <w:pPr>
              <w:jc w:val="center"/>
              <w:widowControl/>
              <w:rPr>
                <w:sz w:val="20"/>
                <w:szCs w:val="20"/>
                <w:lang w:eastAsia="ru-RU"/>
              </w:rPr>
            </w:pPr>
            <w:r>
              <w:rPr>
                <w:sz w:val="20"/>
                <w:szCs w:val="20"/>
                <w:lang w:eastAsia="ru-RU"/>
              </w:rPr>
              <w:t xml:space="preserve">ООО «ЮТЭК»</w:t>
            </w:r>
            <w:r>
              <w:rPr>
                <w:sz w:val="20"/>
                <w:szCs w:val="20"/>
                <w:lang w:eastAsia="ru-RU"/>
              </w:rPr>
            </w:r>
            <w:r>
              <w:rPr>
                <w:sz w:val="20"/>
                <w:szCs w:val="20"/>
                <w:lang w:eastAsia="ru-RU"/>
              </w:rPr>
            </w:r>
          </w:p>
        </w:tc>
        <w:tc>
          <w:tcPr>
            <w:tcBorders>
              <w:top w:val="single" w:color="auto" w:sz="4" w:space="0"/>
            </w:tcBorders>
            <w:tcW w:w="1198" w:type="dxa"/>
            <w:vAlign w:val="center"/>
            <w:textDirection w:val="lrTb"/>
            <w:noWrap w:val="false"/>
          </w:tcPr>
          <w:p>
            <w:pPr>
              <w:jc w:val="center"/>
              <w:widowControl/>
              <w:rPr>
                <w:sz w:val="20"/>
                <w:szCs w:val="20"/>
                <w:lang w:eastAsia="ru-RU"/>
              </w:rPr>
            </w:pPr>
            <w:r>
              <w:rPr>
                <w:sz w:val="20"/>
                <w:szCs w:val="20"/>
                <w:lang w:eastAsia="ru-RU"/>
              </w:rPr>
              <w:t xml:space="preserve">4526006500</w:t>
            </w:r>
            <w:r>
              <w:rPr>
                <w:sz w:val="20"/>
                <w:szCs w:val="20"/>
                <w:lang w:eastAsia="ru-RU"/>
              </w:rPr>
            </w:r>
            <w:r>
              <w:rPr>
                <w:sz w:val="20"/>
                <w:szCs w:val="20"/>
                <w:lang w:eastAsia="ru-RU"/>
              </w:rPr>
            </w:r>
          </w:p>
        </w:tc>
        <w:tc>
          <w:tcPr>
            <w:tcBorders>
              <w:top w:val="single" w:color="auto" w:sz="4" w:space="0"/>
            </w:tcBorders>
            <w:tcW w:w="2916" w:type="dxa"/>
            <w:vAlign w:val="center"/>
            <w:textDirection w:val="lrTb"/>
            <w:noWrap w:val="false"/>
          </w:tcPr>
          <w:p>
            <w:pPr>
              <w:jc w:val="center"/>
              <w:widowControl/>
              <w:rPr>
                <w:sz w:val="20"/>
                <w:szCs w:val="20"/>
                <w:lang w:eastAsia="ru-RU"/>
              </w:rPr>
            </w:pPr>
            <w:r>
              <w:rPr>
                <w:sz w:val="20"/>
                <w:szCs w:val="20"/>
              </w:rPr>
              <w:t xml:space="preserve">641200, Курганская область, Юргамышский район, р.п. Юргамыш, ул Ленина, д. 47а, офис 1</w:t>
            </w:r>
            <w:r>
              <w:rPr>
                <w:sz w:val="20"/>
                <w:szCs w:val="20"/>
                <w:lang w:eastAsia="ru-RU"/>
              </w:rPr>
            </w:r>
            <w:r>
              <w:rPr>
                <w:sz w:val="20"/>
                <w:szCs w:val="20"/>
                <w:lang w:eastAsia="ru-RU"/>
              </w:rPr>
            </w:r>
          </w:p>
        </w:tc>
        <w:tc>
          <w:tcPr>
            <w:tcW w:w="2693" w:type="dxa"/>
            <w:vAlign w:val="center"/>
            <w:textDirection w:val="lrTb"/>
            <w:noWrap w:val="false"/>
          </w:tcPr>
          <w:p>
            <w:pPr>
              <w:jc w:val="center"/>
              <w:widowControl/>
              <w:rPr>
                <w:sz w:val="20"/>
                <w:szCs w:val="20"/>
                <w:lang w:eastAsia="ru-RU"/>
              </w:rPr>
            </w:pPr>
            <w:r>
              <w:rPr>
                <w:sz w:val="20"/>
                <w:szCs w:val="20"/>
              </w:rPr>
              <w:t xml:space="preserve">Котельная </w:t>
            </w:r>
            <w:r>
              <w:rPr>
                <w:sz w:val="20"/>
                <w:szCs w:val="20"/>
                <w:lang w:eastAsia="ru-RU"/>
              </w:rPr>
              <w:t xml:space="preserve">р.п.Юргамыш, ул. Ленина, 47а</w:t>
            </w:r>
            <w:r>
              <w:rPr>
                <w:sz w:val="20"/>
                <w:szCs w:val="20"/>
                <w:lang w:eastAsia="ru-RU"/>
              </w:rPr>
            </w:r>
            <w:r>
              <w:rPr>
                <w:sz w:val="20"/>
                <w:szCs w:val="20"/>
                <w:lang w:eastAsia="ru-RU"/>
              </w:rPr>
            </w:r>
          </w:p>
        </w:tc>
      </w:tr>
      <w:tr>
        <w:tblPrEx/>
        <w:trPr>
          <w:trHeight w:val="72"/>
        </w:trPr>
        <w:tc>
          <w:tcPr>
            <w:tcBorders>
              <w:top w:val="none" w:color="000000" w:sz="4" w:space="0"/>
            </w:tcBorders>
            <w:tcW w:w="2971" w:type="dxa"/>
            <w:vAlign w:val="center"/>
            <w:textDirection w:val="lrTb"/>
            <w:noWrap w:val="false"/>
          </w:tcPr>
          <w:p>
            <w:pPr>
              <w:jc w:val="center"/>
              <w:widowControl/>
              <w:rPr>
                <w:sz w:val="20"/>
                <w:szCs w:val="20"/>
                <w:lang w:eastAsia="ru-RU"/>
              </w:rPr>
            </w:pPr>
            <w:r>
              <w:rPr>
                <w:sz w:val="20"/>
                <w:szCs w:val="20"/>
                <w:lang w:eastAsia="ru-RU"/>
              </w:rPr>
              <w:t xml:space="preserve">ООО «ЖКХ Юго-Запад»</w:t>
            </w:r>
            <w:r>
              <w:rPr>
                <w:sz w:val="20"/>
                <w:szCs w:val="20"/>
                <w:lang w:eastAsia="ru-RU"/>
              </w:rPr>
            </w:r>
            <w:r>
              <w:rPr>
                <w:sz w:val="20"/>
                <w:szCs w:val="20"/>
                <w:lang w:eastAsia="ru-RU"/>
              </w:rPr>
            </w:r>
          </w:p>
        </w:tc>
        <w:tc>
          <w:tcPr>
            <w:tcBorders>
              <w:top w:val="none" w:color="000000" w:sz="4" w:space="0"/>
            </w:tcBorders>
            <w:tcW w:w="1198" w:type="dxa"/>
            <w:vAlign w:val="center"/>
            <w:textDirection w:val="lrTb"/>
            <w:noWrap w:val="false"/>
          </w:tcPr>
          <w:p>
            <w:pPr>
              <w:jc w:val="center"/>
              <w:widowControl/>
              <w:rPr>
                <w:sz w:val="20"/>
                <w:szCs w:val="20"/>
                <w:lang w:eastAsia="ru-RU"/>
              </w:rPr>
            </w:pPr>
            <w:r>
              <w:rPr>
                <w:sz w:val="20"/>
                <w:szCs w:val="20"/>
                <w:lang w:eastAsia="ru-RU"/>
              </w:rPr>
              <w:t xml:space="preserve">4519006185</w:t>
            </w:r>
            <w:r>
              <w:rPr>
                <w:sz w:val="20"/>
                <w:szCs w:val="20"/>
                <w:lang w:eastAsia="ru-RU"/>
              </w:rPr>
            </w:r>
            <w:r>
              <w:rPr>
                <w:sz w:val="20"/>
                <w:szCs w:val="20"/>
                <w:lang w:eastAsia="ru-RU"/>
              </w:rPr>
            </w:r>
          </w:p>
        </w:tc>
        <w:tc>
          <w:tcPr>
            <w:tcBorders>
              <w:top w:val="none" w:color="000000" w:sz="4" w:space="0"/>
            </w:tcBorders>
            <w:tcW w:w="2916" w:type="dxa"/>
            <w:vAlign w:val="center"/>
            <w:textDirection w:val="lrTb"/>
            <w:noWrap w:val="false"/>
          </w:tcPr>
          <w:p>
            <w:pPr>
              <w:jc w:val="center"/>
              <w:widowControl/>
              <w:rPr>
                <w:sz w:val="20"/>
                <w:szCs w:val="20"/>
                <w:lang w:eastAsia="ru-RU"/>
              </w:rPr>
            </w:pPr>
            <w:r>
              <w:rPr>
                <w:sz w:val="20"/>
                <w:szCs w:val="20"/>
              </w:rPr>
              <w:t xml:space="preserve">641080, Курганская область, Сафакулевский район, село Сафакулево, ул. Первомайская, д. 11а</w:t>
            </w:r>
            <w:r>
              <w:rPr>
                <w:sz w:val="20"/>
                <w:szCs w:val="20"/>
                <w:lang w:eastAsia="ru-RU"/>
              </w:rPr>
            </w:r>
            <w:r>
              <w:rPr>
                <w:sz w:val="20"/>
                <w:szCs w:val="20"/>
                <w:lang w:eastAsia="ru-RU"/>
              </w:rPr>
            </w:r>
          </w:p>
        </w:tc>
        <w:tc>
          <w:tcPr>
            <w:tcW w:w="2693" w:type="dxa"/>
            <w:vAlign w:val="center"/>
            <w:textDirection w:val="lrTb"/>
            <w:noWrap w:val="false"/>
          </w:tcPr>
          <w:p>
            <w:pPr>
              <w:jc w:val="center"/>
              <w:widowControl/>
              <w:rPr>
                <w:sz w:val="20"/>
                <w:szCs w:val="20"/>
                <w:lang w:eastAsia="ru-RU"/>
              </w:rPr>
            </w:pPr>
            <w:r>
              <w:rPr>
                <w:sz w:val="20"/>
                <w:szCs w:val="20"/>
              </w:rPr>
              <w:t xml:space="preserve">Котельная</w:t>
            </w:r>
            <w:r>
              <w:rPr>
                <w:sz w:val="20"/>
                <w:szCs w:val="20"/>
                <w:lang w:eastAsia="ru-RU"/>
              </w:rPr>
              <w:t xml:space="preserve">, р.п.Юргамыш, ул. Свободы 25А</w:t>
            </w:r>
            <w:r>
              <w:rPr>
                <w:sz w:val="20"/>
                <w:szCs w:val="20"/>
                <w:lang w:eastAsia="ru-RU"/>
              </w:rPr>
            </w:r>
            <w:r>
              <w:rPr>
                <w:sz w:val="20"/>
                <w:szCs w:val="20"/>
                <w:lang w:eastAsia="ru-RU"/>
              </w:rPr>
            </w:r>
          </w:p>
        </w:tc>
      </w:tr>
      <w:tr>
        <w:tblPrEx/>
        <w:trPr>
          <w:trHeight w:val="229"/>
        </w:trPr>
        <w:tc>
          <w:tcPr>
            <w:tcBorders>
              <w:top w:val="none" w:color="000000" w:sz="4" w:space="0"/>
            </w:tcBorders>
            <w:tcW w:w="2971" w:type="dxa"/>
            <w:vAlign w:val="center"/>
            <w:textDirection w:val="lrTb"/>
            <w:noWrap w:val="false"/>
          </w:tcPr>
          <w:p>
            <w:pPr>
              <w:jc w:val="center"/>
              <w:widowControl/>
              <w:rPr>
                <w:sz w:val="20"/>
                <w:szCs w:val="20"/>
                <w:lang w:eastAsia="ru-RU"/>
              </w:rPr>
            </w:pPr>
            <w:r>
              <w:rPr>
                <w:sz w:val="20"/>
                <w:szCs w:val="20"/>
                <w:lang w:eastAsia="ru-RU"/>
              </w:rPr>
              <w:t xml:space="preserve">ООО «ЖКХ Юго-Запад»</w:t>
            </w:r>
            <w:r>
              <w:rPr>
                <w:sz w:val="20"/>
                <w:szCs w:val="20"/>
                <w:lang w:eastAsia="ru-RU"/>
              </w:rPr>
            </w:r>
            <w:r>
              <w:rPr>
                <w:sz w:val="20"/>
                <w:szCs w:val="20"/>
                <w:lang w:eastAsia="ru-RU"/>
              </w:rPr>
            </w:r>
          </w:p>
        </w:tc>
        <w:tc>
          <w:tcPr>
            <w:tcBorders>
              <w:top w:val="none" w:color="000000" w:sz="4" w:space="0"/>
            </w:tcBorders>
            <w:tcW w:w="1198" w:type="dxa"/>
            <w:vAlign w:val="center"/>
            <w:textDirection w:val="lrTb"/>
            <w:noWrap w:val="false"/>
          </w:tcPr>
          <w:p>
            <w:pPr>
              <w:jc w:val="center"/>
              <w:widowControl/>
              <w:rPr>
                <w:sz w:val="20"/>
                <w:szCs w:val="20"/>
                <w:lang w:eastAsia="ru-RU"/>
              </w:rPr>
            </w:pPr>
            <w:r>
              <w:rPr>
                <w:sz w:val="20"/>
                <w:szCs w:val="20"/>
                <w:lang w:eastAsia="ru-RU"/>
              </w:rPr>
              <w:t xml:space="preserve">4519006185</w:t>
            </w:r>
            <w:r>
              <w:rPr>
                <w:sz w:val="20"/>
                <w:szCs w:val="20"/>
                <w:lang w:eastAsia="ru-RU"/>
              </w:rPr>
            </w:r>
            <w:r>
              <w:rPr>
                <w:sz w:val="20"/>
                <w:szCs w:val="20"/>
                <w:lang w:eastAsia="ru-RU"/>
              </w:rPr>
            </w:r>
          </w:p>
        </w:tc>
        <w:tc>
          <w:tcPr>
            <w:tcBorders>
              <w:top w:val="none" w:color="000000" w:sz="4" w:space="0"/>
            </w:tcBorders>
            <w:tcW w:w="2916" w:type="dxa"/>
            <w:vAlign w:val="center"/>
            <w:textDirection w:val="lrTb"/>
            <w:noWrap w:val="false"/>
          </w:tcPr>
          <w:p>
            <w:pPr>
              <w:jc w:val="center"/>
              <w:widowControl/>
              <w:rPr>
                <w:sz w:val="20"/>
                <w:szCs w:val="20"/>
                <w:lang w:eastAsia="ru-RU"/>
              </w:rPr>
            </w:pPr>
            <w:r>
              <w:rPr>
                <w:sz w:val="20"/>
                <w:szCs w:val="20"/>
              </w:rPr>
              <w:t xml:space="preserve">641080, Курганская область, Сафакулевский район, село Сафакулево, ул. Первомайская, д. 11а</w:t>
            </w:r>
            <w:r>
              <w:rPr>
                <w:sz w:val="20"/>
                <w:szCs w:val="20"/>
                <w:lang w:eastAsia="ru-RU"/>
              </w:rPr>
            </w:r>
            <w:r>
              <w:rPr>
                <w:sz w:val="20"/>
                <w:szCs w:val="20"/>
                <w:lang w:eastAsia="ru-RU"/>
              </w:rPr>
            </w:r>
          </w:p>
        </w:tc>
        <w:tc>
          <w:tcPr>
            <w:tcW w:w="2693" w:type="dxa"/>
            <w:vAlign w:val="center"/>
            <w:textDirection w:val="lrTb"/>
            <w:noWrap w:val="false"/>
          </w:tcPr>
          <w:p>
            <w:pPr>
              <w:jc w:val="center"/>
              <w:widowControl/>
              <w:rPr>
                <w:sz w:val="20"/>
                <w:szCs w:val="20"/>
                <w:lang w:eastAsia="ru-RU"/>
              </w:rPr>
            </w:pPr>
            <w:r>
              <w:rPr>
                <w:sz w:val="20"/>
                <w:szCs w:val="20"/>
              </w:rPr>
              <w:t xml:space="preserve">Котельная </w:t>
            </w:r>
            <w:r>
              <w:rPr>
                <w:sz w:val="20"/>
                <w:szCs w:val="20"/>
                <w:lang w:eastAsia="ru-RU"/>
              </w:rPr>
              <w:t xml:space="preserve">р.п.Юргамыш, ул. Кирова, 38Г</w:t>
            </w:r>
            <w:r>
              <w:rPr>
                <w:sz w:val="20"/>
                <w:szCs w:val="20"/>
                <w:lang w:eastAsia="ru-RU"/>
              </w:rPr>
            </w:r>
            <w:r>
              <w:rPr>
                <w:sz w:val="20"/>
                <w:szCs w:val="20"/>
                <w:lang w:eastAsia="ru-RU"/>
              </w:rPr>
            </w:r>
          </w:p>
        </w:tc>
      </w:tr>
      <w:tr>
        <w:tblPrEx/>
        <w:trPr>
          <w:trHeight w:val="229"/>
        </w:trPr>
        <w:tc>
          <w:tcPr>
            <w:tcBorders>
              <w:top w:val="none" w:color="000000" w:sz="4" w:space="0"/>
            </w:tcBorders>
            <w:tcW w:w="2971" w:type="dxa"/>
            <w:vAlign w:val="center"/>
            <w:textDirection w:val="lrTb"/>
            <w:noWrap w:val="false"/>
          </w:tcPr>
          <w:p>
            <w:pPr>
              <w:jc w:val="center"/>
              <w:widowControl/>
              <w:rPr>
                <w:sz w:val="20"/>
                <w:szCs w:val="20"/>
                <w:lang w:eastAsia="ru-RU"/>
              </w:rPr>
            </w:pPr>
            <w:r>
              <w:rPr>
                <w:sz w:val="20"/>
                <w:szCs w:val="20"/>
                <w:lang w:eastAsia="ru-RU"/>
              </w:rPr>
              <w:t xml:space="preserve">ООО «ЖКХ Юго-Запад»</w:t>
            </w:r>
            <w:r>
              <w:rPr>
                <w:sz w:val="20"/>
                <w:szCs w:val="20"/>
                <w:lang w:eastAsia="ru-RU"/>
              </w:rPr>
            </w:r>
            <w:r>
              <w:rPr>
                <w:sz w:val="20"/>
                <w:szCs w:val="20"/>
                <w:lang w:eastAsia="ru-RU"/>
              </w:rPr>
            </w:r>
          </w:p>
        </w:tc>
        <w:tc>
          <w:tcPr>
            <w:tcBorders>
              <w:top w:val="none" w:color="000000" w:sz="4" w:space="0"/>
            </w:tcBorders>
            <w:tcW w:w="1198" w:type="dxa"/>
            <w:vAlign w:val="center"/>
            <w:textDirection w:val="lrTb"/>
            <w:noWrap w:val="false"/>
          </w:tcPr>
          <w:p>
            <w:pPr>
              <w:jc w:val="center"/>
              <w:widowControl/>
              <w:rPr>
                <w:sz w:val="20"/>
                <w:szCs w:val="20"/>
                <w:lang w:eastAsia="ru-RU"/>
              </w:rPr>
            </w:pPr>
            <w:r>
              <w:rPr>
                <w:sz w:val="20"/>
                <w:szCs w:val="20"/>
                <w:lang w:eastAsia="ru-RU"/>
              </w:rPr>
              <w:t xml:space="preserve">4519006185</w:t>
            </w:r>
            <w:r>
              <w:rPr>
                <w:sz w:val="20"/>
                <w:szCs w:val="20"/>
                <w:lang w:eastAsia="ru-RU"/>
              </w:rPr>
            </w:r>
            <w:r>
              <w:rPr>
                <w:sz w:val="20"/>
                <w:szCs w:val="20"/>
                <w:lang w:eastAsia="ru-RU"/>
              </w:rPr>
            </w:r>
          </w:p>
        </w:tc>
        <w:tc>
          <w:tcPr>
            <w:tcBorders>
              <w:top w:val="none" w:color="000000" w:sz="4" w:space="0"/>
            </w:tcBorders>
            <w:tcW w:w="2916" w:type="dxa"/>
            <w:vAlign w:val="center"/>
            <w:textDirection w:val="lrTb"/>
            <w:noWrap w:val="false"/>
          </w:tcPr>
          <w:p>
            <w:pPr>
              <w:jc w:val="center"/>
              <w:widowControl/>
              <w:rPr>
                <w:sz w:val="20"/>
                <w:szCs w:val="20"/>
                <w:lang w:eastAsia="ru-RU"/>
              </w:rPr>
            </w:pPr>
            <w:r>
              <w:rPr>
                <w:sz w:val="20"/>
                <w:szCs w:val="20"/>
              </w:rPr>
              <w:t xml:space="preserve">641080, Курганская область, Сафакулевский район, село Сафакулево, ул. Первомайская, д. 11а</w:t>
            </w:r>
            <w:r>
              <w:rPr>
                <w:sz w:val="20"/>
                <w:szCs w:val="20"/>
                <w:lang w:eastAsia="ru-RU"/>
              </w:rPr>
            </w:r>
            <w:r>
              <w:rPr>
                <w:sz w:val="20"/>
                <w:szCs w:val="20"/>
                <w:lang w:eastAsia="ru-RU"/>
              </w:rPr>
            </w:r>
          </w:p>
        </w:tc>
        <w:tc>
          <w:tcPr>
            <w:tcW w:w="2693" w:type="dxa"/>
            <w:vAlign w:val="center"/>
            <w:textDirection w:val="lrTb"/>
            <w:noWrap w:val="false"/>
          </w:tcPr>
          <w:p>
            <w:pPr>
              <w:jc w:val="center"/>
              <w:widowControl/>
              <w:rPr>
                <w:sz w:val="20"/>
                <w:szCs w:val="20"/>
                <w:lang w:eastAsia="ru-RU"/>
              </w:rPr>
            </w:pPr>
            <w:r>
              <w:rPr>
                <w:sz w:val="20"/>
                <w:szCs w:val="20"/>
              </w:rPr>
              <w:t xml:space="preserve">Котельная</w:t>
            </w:r>
            <w:r>
              <w:rPr>
                <w:sz w:val="20"/>
                <w:szCs w:val="20"/>
                <w:lang w:eastAsia="ru-RU"/>
              </w:rPr>
              <w:t xml:space="preserve">, р.п.Юргамыш,, ул. Леспромхоза, 4А</w:t>
            </w:r>
            <w:r>
              <w:rPr>
                <w:sz w:val="20"/>
                <w:szCs w:val="20"/>
                <w:lang w:eastAsia="ru-RU"/>
              </w:rPr>
            </w:r>
            <w:r>
              <w:rPr>
                <w:sz w:val="20"/>
                <w:szCs w:val="20"/>
                <w:lang w:eastAsia="ru-RU"/>
              </w:rPr>
            </w:r>
          </w:p>
        </w:tc>
      </w:tr>
      <w:tr>
        <w:tblPrEx/>
        <w:trPr>
          <w:trHeight w:val="229"/>
        </w:trPr>
        <w:tc>
          <w:tcPr>
            <w:tcBorders>
              <w:top w:val="none" w:color="000000" w:sz="4" w:space="0"/>
            </w:tcBorders>
            <w:tcW w:w="2971" w:type="dxa"/>
            <w:vAlign w:val="center"/>
            <w:textDirection w:val="lrTb"/>
            <w:noWrap w:val="false"/>
          </w:tcPr>
          <w:p>
            <w:pPr>
              <w:jc w:val="center"/>
              <w:widowControl/>
              <w:rPr>
                <w:sz w:val="20"/>
                <w:szCs w:val="20"/>
                <w:lang w:eastAsia="ru-RU"/>
              </w:rPr>
            </w:pPr>
            <w:r>
              <w:rPr>
                <w:sz w:val="20"/>
                <w:szCs w:val="20"/>
                <w:lang w:eastAsia="ru-RU"/>
              </w:rPr>
              <w:t xml:space="preserve">ООО «ЖКХ Юго-Запад»</w:t>
            </w:r>
            <w:r>
              <w:rPr>
                <w:sz w:val="20"/>
                <w:szCs w:val="20"/>
                <w:lang w:eastAsia="ru-RU"/>
              </w:rPr>
            </w:r>
            <w:r>
              <w:rPr>
                <w:sz w:val="20"/>
                <w:szCs w:val="20"/>
                <w:lang w:eastAsia="ru-RU"/>
              </w:rPr>
            </w:r>
          </w:p>
        </w:tc>
        <w:tc>
          <w:tcPr>
            <w:tcBorders>
              <w:top w:val="none" w:color="000000" w:sz="4" w:space="0"/>
            </w:tcBorders>
            <w:tcW w:w="1198" w:type="dxa"/>
            <w:vAlign w:val="center"/>
            <w:textDirection w:val="lrTb"/>
            <w:noWrap w:val="false"/>
          </w:tcPr>
          <w:p>
            <w:pPr>
              <w:jc w:val="center"/>
              <w:widowControl/>
              <w:rPr>
                <w:sz w:val="20"/>
                <w:szCs w:val="20"/>
                <w:lang w:eastAsia="ru-RU"/>
              </w:rPr>
            </w:pPr>
            <w:r>
              <w:rPr>
                <w:sz w:val="20"/>
                <w:szCs w:val="20"/>
                <w:lang w:eastAsia="ru-RU"/>
              </w:rPr>
              <w:t xml:space="preserve">4519006185</w:t>
            </w:r>
            <w:r>
              <w:rPr>
                <w:sz w:val="20"/>
                <w:szCs w:val="20"/>
                <w:lang w:eastAsia="ru-RU"/>
              </w:rPr>
            </w:r>
            <w:r>
              <w:rPr>
                <w:sz w:val="20"/>
                <w:szCs w:val="20"/>
                <w:lang w:eastAsia="ru-RU"/>
              </w:rPr>
            </w:r>
          </w:p>
        </w:tc>
        <w:tc>
          <w:tcPr>
            <w:tcBorders>
              <w:top w:val="none" w:color="000000" w:sz="4" w:space="0"/>
            </w:tcBorders>
            <w:tcW w:w="2916" w:type="dxa"/>
            <w:vAlign w:val="center"/>
            <w:textDirection w:val="lrTb"/>
            <w:noWrap w:val="false"/>
          </w:tcPr>
          <w:p>
            <w:pPr>
              <w:jc w:val="center"/>
              <w:widowControl/>
              <w:rPr>
                <w:sz w:val="20"/>
                <w:szCs w:val="20"/>
                <w:lang w:eastAsia="ru-RU"/>
              </w:rPr>
            </w:pPr>
            <w:r>
              <w:rPr>
                <w:sz w:val="20"/>
                <w:szCs w:val="20"/>
              </w:rPr>
              <w:t xml:space="preserve">641080, Курганская область, Сафакулевский район, село Сафакулево, ул. Первомайская, д. 11а</w:t>
            </w:r>
            <w:r>
              <w:rPr>
                <w:sz w:val="20"/>
                <w:szCs w:val="20"/>
                <w:lang w:eastAsia="ru-RU"/>
              </w:rPr>
            </w:r>
            <w:r>
              <w:rPr>
                <w:sz w:val="20"/>
                <w:szCs w:val="20"/>
                <w:lang w:eastAsia="ru-RU"/>
              </w:rPr>
            </w:r>
          </w:p>
        </w:tc>
        <w:tc>
          <w:tcPr>
            <w:tcW w:w="2693" w:type="dxa"/>
            <w:vAlign w:val="center"/>
            <w:textDirection w:val="lrTb"/>
            <w:noWrap w:val="false"/>
          </w:tcPr>
          <w:p>
            <w:pPr>
              <w:jc w:val="center"/>
              <w:widowControl/>
              <w:rPr>
                <w:sz w:val="20"/>
                <w:szCs w:val="20"/>
                <w:lang w:eastAsia="ru-RU"/>
              </w:rPr>
            </w:pPr>
            <w:r>
              <w:rPr>
                <w:sz w:val="20"/>
                <w:szCs w:val="20"/>
              </w:rPr>
              <w:t xml:space="preserve">Котельная </w:t>
            </w:r>
            <w:r>
              <w:rPr>
                <w:sz w:val="20"/>
                <w:szCs w:val="20"/>
                <w:lang w:eastAsia="ru-RU"/>
              </w:rPr>
              <w:t xml:space="preserve">с. Кислянское, ул. Советская, 25А</w:t>
            </w:r>
            <w:r>
              <w:rPr>
                <w:sz w:val="20"/>
                <w:szCs w:val="20"/>
                <w:lang w:eastAsia="ru-RU"/>
              </w:rPr>
            </w:r>
            <w:r>
              <w:rPr>
                <w:sz w:val="20"/>
                <w:szCs w:val="20"/>
                <w:lang w:eastAsia="ru-RU"/>
              </w:rPr>
            </w:r>
          </w:p>
        </w:tc>
      </w:tr>
      <w:tr>
        <w:tblPrEx/>
        <w:trPr>
          <w:trHeight w:val="229"/>
        </w:trPr>
        <w:tc>
          <w:tcPr>
            <w:tcBorders>
              <w:top w:val="none" w:color="000000" w:sz="4" w:space="0"/>
            </w:tcBorders>
            <w:tcW w:w="2971" w:type="dxa"/>
            <w:vAlign w:val="center"/>
            <w:textDirection w:val="lrTb"/>
            <w:noWrap w:val="false"/>
          </w:tcPr>
          <w:p>
            <w:pPr>
              <w:jc w:val="center"/>
              <w:widowControl/>
              <w:rPr>
                <w:sz w:val="20"/>
                <w:szCs w:val="20"/>
                <w:lang w:eastAsia="ru-RU"/>
              </w:rPr>
            </w:pPr>
            <w:r>
              <w:rPr>
                <w:sz w:val="20"/>
                <w:szCs w:val="20"/>
                <w:lang w:eastAsia="ru-RU"/>
              </w:rPr>
              <w:t xml:space="preserve">ООО «ЖКХ Юго-Запад»</w:t>
            </w:r>
            <w:r>
              <w:rPr>
                <w:sz w:val="20"/>
                <w:szCs w:val="20"/>
                <w:lang w:eastAsia="ru-RU"/>
              </w:rPr>
            </w:r>
            <w:r>
              <w:rPr>
                <w:sz w:val="20"/>
                <w:szCs w:val="20"/>
                <w:lang w:eastAsia="ru-RU"/>
              </w:rPr>
            </w:r>
          </w:p>
        </w:tc>
        <w:tc>
          <w:tcPr>
            <w:tcBorders>
              <w:top w:val="none" w:color="000000" w:sz="4" w:space="0"/>
            </w:tcBorders>
            <w:tcW w:w="1198" w:type="dxa"/>
            <w:vAlign w:val="center"/>
            <w:textDirection w:val="lrTb"/>
            <w:noWrap w:val="false"/>
          </w:tcPr>
          <w:p>
            <w:pPr>
              <w:jc w:val="center"/>
              <w:widowControl/>
              <w:rPr>
                <w:sz w:val="20"/>
                <w:szCs w:val="20"/>
                <w:lang w:eastAsia="ru-RU"/>
              </w:rPr>
            </w:pPr>
            <w:r>
              <w:rPr>
                <w:sz w:val="20"/>
                <w:szCs w:val="20"/>
                <w:lang w:eastAsia="ru-RU"/>
              </w:rPr>
              <w:t xml:space="preserve">4519006185</w:t>
            </w:r>
            <w:r>
              <w:rPr>
                <w:sz w:val="20"/>
                <w:szCs w:val="20"/>
                <w:lang w:eastAsia="ru-RU"/>
              </w:rPr>
            </w:r>
            <w:r>
              <w:rPr>
                <w:sz w:val="20"/>
                <w:szCs w:val="20"/>
                <w:lang w:eastAsia="ru-RU"/>
              </w:rPr>
            </w:r>
          </w:p>
        </w:tc>
        <w:tc>
          <w:tcPr>
            <w:tcBorders>
              <w:top w:val="none" w:color="000000" w:sz="4" w:space="0"/>
            </w:tcBorders>
            <w:tcW w:w="2916" w:type="dxa"/>
            <w:vAlign w:val="center"/>
            <w:textDirection w:val="lrTb"/>
            <w:noWrap w:val="false"/>
          </w:tcPr>
          <w:p>
            <w:pPr>
              <w:jc w:val="center"/>
              <w:widowControl/>
              <w:rPr>
                <w:sz w:val="20"/>
                <w:szCs w:val="20"/>
                <w:lang w:eastAsia="ru-RU"/>
              </w:rPr>
            </w:pPr>
            <w:r>
              <w:rPr>
                <w:sz w:val="20"/>
                <w:szCs w:val="20"/>
              </w:rPr>
              <w:t xml:space="preserve">641080, Курганская область, Сафакулевский район, село Сафакулево, ул. Первомайская, д. 11а</w:t>
            </w:r>
            <w:r>
              <w:rPr>
                <w:sz w:val="20"/>
                <w:szCs w:val="20"/>
                <w:lang w:eastAsia="ru-RU"/>
              </w:rPr>
            </w:r>
            <w:r>
              <w:rPr>
                <w:sz w:val="20"/>
                <w:szCs w:val="20"/>
                <w:lang w:eastAsia="ru-RU"/>
              </w:rPr>
            </w:r>
          </w:p>
        </w:tc>
        <w:tc>
          <w:tcPr>
            <w:tcW w:w="2693" w:type="dxa"/>
            <w:vAlign w:val="center"/>
            <w:textDirection w:val="lrTb"/>
            <w:noWrap w:val="false"/>
          </w:tcPr>
          <w:p>
            <w:pPr>
              <w:jc w:val="center"/>
              <w:widowControl/>
              <w:rPr>
                <w:sz w:val="20"/>
                <w:szCs w:val="20"/>
                <w:lang w:eastAsia="ru-RU"/>
              </w:rPr>
            </w:pPr>
            <w:r>
              <w:rPr>
                <w:sz w:val="20"/>
                <w:szCs w:val="20"/>
              </w:rPr>
              <w:t xml:space="preserve">Котельная </w:t>
            </w:r>
            <w:r>
              <w:rPr>
                <w:sz w:val="20"/>
                <w:szCs w:val="20"/>
                <w:lang w:eastAsia="ru-RU"/>
              </w:rPr>
              <w:t xml:space="preserve">с. Чинеево, ул. Центральная, 7Б</w:t>
            </w:r>
            <w:r>
              <w:rPr>
                <w:sz w:val="20"/>
                <w:szCs w:val="20"/>
                <w:lang w:eastAsia="ru-RU"/>
              </w:rPr>
            </w:r>
            <w:r>
              <w:rPr>
                <w:sz w:val="20"/>
                <w:szCs w:val="20"/>
                <w:lang w:eastAsia="ru-RU"/>
              </w:rPr>
            </w:r>
          </w:p>
        </w:tc>
      </w:tr>
      <w:tr>
        <w:tblPrEx/>
        <w:trPr>
          <w:trHeight w:val="229"/>
        </w:trPr>
        <w:tc>
          <w:tcPr>
            <w:tcBorders>
              <w:top w:val="none" w:color="000000" w:sz="4" w:space="0"/>
            </w:tcBorders>
            <w:tcW w:w="2971" w:type="dxa"/>
            <w:vAlign w:val="center"/>
            <w:textDirection w:val="lrTb"/>
            <w:noWrap w:val="false"/>
          </w:tcPr>
          <w:p>
            <w:pPr>
              <w:jc w:val="center"/>
              <w:widowControl/>
              <w:rPr>
                <w:sz w:val="20"/>
                <w:szCs w:val="20"/>
                <w:lang w:eastAsia="ru-RU"/>
              </w:rPr>
            </w:pPr>
            <w:r>
              <w:rPr>
                <w:sz w:val="20"/>
                <w:szCs w:val="20"/>
                <w:lang w:eastAsia="ru-RU"/>
              </w:rPr>
              <w:t xml:space="preserve">ООО «ЖКХ Юго-Запад»</w:t>
            </w:r>
            <w:r>
              <w:rPr>
                <w:sz w:val="20"/>
                <w:szCs w:val="20"/>
                <w:lang w:eastAsia="ru-RU"/>
              </w:rPr>
            </w:r>
            <w:r>
              <w:rPr>
                <w:sz w:val="20"/>
                <w:szCs w:val="20"/>
                <w:lang w:eastAsia="ru-RU"/>
              </w:rPr>
            </w:r>
          </w:p>
        </w:tc>
        <w:tc>
          <w:tcPr>
            <w:tcBorders>
              <w:top w:val="none" w:color="000000" w:sz="4" w:space="0"/>
            </w:tcBorders>
            <w:tcW w:w="1198" w:type="dxa"/>
            <w:vAlign w:val="center"/>
            <w:textDirection w:val="lrTb"/>
            <w:noWrap w:val="false"/>
          </w:tcPr>
          <w:p>
            <w:pPr>
              <w:jc w:val="center"/>
              <w:widowControl/>
              <w:rPr>
                <w:sz w:val="20"/>
                <w:szCs w:val="20"/>
                <w:lang w:eastAsia="ru-RU"/>
              </w:rPr>
            </w:pPr>
            <w:r>
              <w:rPr>
                <w:sz w:val="20"/>
                <w:szCs w:val="20"/>
                <w:lang w:eastAsia="ru-RU"/>
              </w:rPr>
              <w:t xml:space="preserve">4519006185</w:t>
            </w:r>
            <w:r>
              <w:rPr>
                <w:sz w:val="20"/>
                <w:szCs w:val="20"/>
                <w:lang w:eastAsia="ru-RU"/>
              </w:rPr>
            </w:r>
            <w:r>
              <w:rPr>
                <w:sz w:val="20"/>
                <w:szCs w:val="20"/>
                <w:lang w:eastAsia="ru-RU"/>
              </w:rPr>
            </w:r>
          </w:p>
        </w:tc>
        <w:tc>
          <w:tcPr>
            <w:tcBorders>
              <w:top w:val="none" w:color="000000" w:sz="4" w:space="0"/>
            </w:tcBorders>
            <w:tcW w:w="2916" w:type="dxa"/>
            <w:vAlign w:val="center"/>
            <w:textDirection w:val="lrTb"/>
            <w:noWrap w:val="false"/>
          </w:tcPr>
          <w:p>
            <w:pPr>
              <w:jc w:val="center"/>
              <w:widowControl/>
              <w:rPr>
                <w:sz w:val="20"/>
                <w:szCs w:val="20"/>
                <w:lang w:eastAsia="ru-RU"/>
              </w:rPr>
            </w:pPr>
            <w:r>
              <w:rPr>
                <w:sz w:val="20"/>
                <w:szCs w:val="20"/>
              </w:rPr>
              <w:t xml:space="preserve">641080, Курганская область, Сафакулевский район, село Сафакулево, ул. Первомайская, д. 11а</w:t>
            </w:r>
            <w:r>
              <w:rPr>
                <w:sz w:val="20"/>
                <w:szCs w:val="20"/>
                <w:lang w:eastAsia="ru-RU"/>
              </w:rPr>
            </w:r>
            <w:r>
              <w:rPr>
                <w:sz w:val="20"/>
                <w:szCs w:val="20"/>
                <w:lang w:eastAsia="ru-RU"/>
              </w:rPr>
            </w:r>
          </w:p>
        </w:tc>
        <w:tc>
          <w:tcPr>
            <w:tcW w:w="2693" w:type="dxa"/>
            <w:vAlign w:val="center"/>
            <w:textDirection w:val="lrTb"/>
            <w:noWrap w:val="false"/>
          </w:tcPr>
          <w:p>
            <w:pPr>
              <w:jc w:val="center"/>
              <w:widowControl/>
              <w:rPr>
                <w:sz w:val="20"/>
                <w:szCs w:val="20"/>
                <w:lang w:eastAsia="ru-RU"/>
              </w:rPr>
            </w:pPr>
            <w:r>
              <w:rPr>
                <w:sz w:val="20"/>
                <w:szCs w:val="20"/>
              </w:rPr>
              <w:t xml:space="preserve">Котельная </w:t>
            </w:r>
            <w:r>
              <w:rPr>
                <w:sz w:val="20"/>
                <w:szCs w:val="20"/>
                <w:lang w:eastAsia="ru-RU"/>
              </w:rPr>
              <w:t xml:space="preserve">р.п.Юргамыш, ул. Ленина, 16А</w:t>
            </w:r>
            <w:r>
              <w:rPr>
                <w:sz w:val="20"/>
                <w:szCs w:val="20"/>
                <w:lang w:eastAsia="ru-RU"/>
              </w:rPr>
            </w:r>
            <w:r>
              <w:rPr>
                <w:sz w:val="20"/>
                <w:szCs w:val="20"/>
                <w:lang w:eastAsia="ru-RU"/>
              </w:rPr>
            </w:r>
          </w:p>
        </w:tc>
      </w:tr>
      <w:tr>
        <w:tblPrEx/>
        <w:trPr>
          <w:trHeight w:val="229"/>
        </w:trPr>
        <w:tc>
          <w:tcPr>
            <w:tcBorders>
              <w:top w:val="none" w:color="000000" w:sz="4" w:space="0"/>
            </w:tcBorders>
            <w:tcW w:w="2971" w:type="dxa"/>
            <w:vAlign w:val="center"/>
            <w:textDirection w:val="lrTb"/>
            <w:noWrap w:val="false"/>
          </w:tcPr>
          <w:p>
            <w:pPr>
              <w:jc w:val="center"/>
              <w:widowControl/>
              <w:rPr>
                <w:sz w:val="20"/>
                <w:szCs w:val="20"/>
                <w:lang w:eastAsia="ru-RU"/>
              </w:rPr>
            </w:pPr>
            <w:r>
              <w:rPr>
                <w:sz w:val="20"/>
                <w:szCs w:val="20"/>
                <w:lang w:eastAsia="ru-RU"/>
              </w:rPr>
              <w:t xml:space="preserve">ООО «ЖКХ Юго-Запад»</w:t>
            </w:r>
            <w:r>
              <w:rPr>
                <w:sz w:val="20"/>
                <w:szCs w:val="20"/>
                <w:lang w:eastAsia="ru-RU"/>
              </w:rPr>
            </w:r>
            <w:r>
              <w:rPr>
                <w:sz w:val="20"/>
                <w:szCs w:val="20"/>
                <w:lang w:eastAsia="ru-RU"/>
              </w:rPr>
            </w:r>
          </w:p>
        </w:tc>
        <w:tc>
          <w:tcPr>
            <w:tcBorders>
              <w:top w:val="none" w:color="000000" w:sz="4" w:space="0"/>
            </w:tcBorders>
            <w:tcW w:w="1198" w:type="dxa"/>
            <w:vAlign w:val="center"/>
            <w:textDirection w:val="lrTb"/>
            <w:noWrap w:val="false"/>
          </w:tcPr>
          <w:p>
            <w:pPr>
              <w:jc w:val="center"/>
              <w:widowControl/>
              <w:rPr>
                <w:sz w:val="20"/>
                <w:szCs w:val="20"/>
                <w:lang w:eastAsia="ru-RU"/>
              </w:rPr>
            </w:pPr>
            <w:r>
              <w:rPr>
                <w:sz w:val="20"/>
                <w:szCs w:val="20"/>
                <w:lang w:eastAsia="ru-RU"/>
              </w:rPr>
              <w:t xml:space="preserve">4519006185</w:t>
            </w:r>
            <w:r>
              <w:rPr>
                <w:sz w:val="20"/>
                <w:szCs w:val="20"/>
                <w:lang w:eastAsia="ru-RU"/>
              </w:rPr>
            </w:r>
            <w:r>
              <w:rPr>
                <w:sz w:val="20"/>
                <w:szCs w:val="20"/>
                <w:lang w:eastAsia="ru-RU"/>
              </w:rPr>
            </w:r>
          </w:p>
        </w:tc>
        <w:tc>
          <w:tcPr>
            <w:tcBorders>
              <w:top w:val="none" w:color="000000" w:sz="4" w:space="0"/>
            </w:tcBorders>
            <w:tcW w:w="2916" w:type="dxa"/>
            <w:vAlign w:val="center"/>
            <w:textDirection w:val="lrTb"/>
            <w:noWrap w:val="false"/>
          </w:tcPr>
          <w:p>
            <w:pPr>
              <w:jc w:val="center"/>
              <w:widowControl/>
              <w:rPr>
                <w:sz w:val="20"/>
                <w:szCs w:val="20"/>
                <w:lang w:eastAsia="ru-RU"/>
              </w:rPr>
            </w:pPr>
            <w:r>
              <w:rPr>
                <w:sz w:val="20"/>
                <w:szCs w:val="20"/>
              </w:rPr>
              <w:t xml:space="preserve">641080, Курганская область, Сафакулевский район, село Сафакулево, ул. Первомайская, д. 11а</w:t>
            </w:r>
            <w:r>
              <w:rPr>
                <w:sz w:val="20"/>
                <w:szCs w:val="20"/>
                <w:lang w:eastAsia="ru-RU"/>
              </w:rPr>
            </w:r>
            <w:r>
              <w:rPr>
                <w:sz w:val="20"/>
                <w:szCs w:val="20"/>
                <w:lang w:eastAsia="ru-RU"/>
              </w:rPr>
            </w:r>
          </w:p>
        </w:tc>
        <w:tc>
          <w:tcPr>
            <w:tcW w:w="2693" w:type="dxa"/>
            <w:vAlign w:val="center"/>
            <w:textDirection w:val="lrTb"/>
            <w:noWrap w:val="false"/>
          </w:tcPr>
          <w:p>
            <w:pPr>
              <w:jc w:val="center"/>
              <w:widowControl/>
              <w:rPr>
                <w:sz w:val="20"/>
                <w:szCs w:val="20"/>
                <w:lang w:eastAsia="ru-RU"/>
              </w:rPr>
            </w:pPr>
            <w:r>
              <w:rPr>
                <w:sz w:val="20"/>
                <w:szCs w:val="20"/>
              </w:rPr>
              <w:t xml:space="preserve">Котельная </w:t>
            </w:r>
            <w:r>
              <w:rPr>
                <w:sz w:val="20"/>
                <w:szCs w:val="20"/>
                <w:lang w:eastAsia="ru-RU"/>
              </w:rPr>
              <w:t xml:space="preserve">р.п.Юргамыш, ул. Блюхера 2А</w:t>
            </w:r>
            <w:r>
              <w:rPr>
                <w:sz w:val="20"/>
                <w:szCs w:val="20"/>
                <w:lang w:eastAsia="ru-RU"/>
              </w:rPr>
            </w:r>
            <w:r>
              <w:rPr>
                <w:sz w:val="20"/>
                <w:szCs w:val="20"/>
                <w:lang w:eastAsia="ru-RU"/>
              </w:rPr>
            </w:r>
          </w:p>
        </w:tc>
      </w:tr>
      <w:tr>
        <w:tblPrEx/>
        <w:trPr>
          <w:trHeight w:val="229"/>
        </w:trPr>
        <w:tc>
          <w:tcPr>
            <w:tcBorders>
              <w:top w:val="none" w:color="000000" w:sz="4" w:space="0"/>
            </w:tcBorders>
            <w:tcW w:w="2971" w:type="dxa"/>
            <w:vAlign w:val="center"/>
            <w:textDirection w:val="lrTb"/>
            <w:noWrap w:val="false"/>
          </w:tcPr>
          <w:p>
            <w:pPr>
              <w:jc w:val="center"/>
              <w:widowControl/>
              <w:rPr>
                <w:sz w:val="20"/>
                <w:szCs w:val="20"/>
                <w:lang w:eastAsia="ru-RU"/>
              </w:rPr>
            </w:pPr>
            <w:r>
              <w:rPr>
                <w:sz w:val="20"/>
                <w:szCs w:val="20"/>
                <w:lang w:eastAsia="ru-RU"/>
              </w:rPr>
              <w:t xml:space="preserve">ООО «Курган Тепло»</w:t>
            </w:r>
            <w:r>
              <w:rPr>
                <w:sz w:val="20"/>
                <w:szCs w:val="20"/>
                <w:lang w:eastAsia="ru-RU"/>
              </w:rPr>
            </w:r>
            <w:r>
              <w:rPr>
                <w:sz w:val="20"/>
                <w:szCs w:val="20"/>
                <w:lang w:eastAsia="ru-RU"/>
              </w:rPr>
            </w:r>
          </w:p>
        </w:tc>
        <w:tc>
          <w:tcPr>
            <w:tcBorders>
              <w:top w:val="none" w:color="000000" w:sz="4" w:space="0"/>
            </w:tcBorders>
            <w:tcW w:w="1198" w:type="dxa"/>
            <w:vAlign w:val="center"/>
            <w:textDirection w:val="lrTb"/>
            <w:noWrap w:val="false"/>
          </w:tcPr>
          <w:p>
            <w:pPr>
              <w:jc w:val="center"/>
              <w:widowControl/>
              <w:rPr>
                <w:sz w:val="20"/>
                <w:szCs w:val="20"/>
                <w:lang w:eastAsia="ru-RU"/>
              </w:rPr>
            </w:pPr>
            <w:r>
              <w:rPr>
                <w:sz w:val="20"/>
                <w:szCs w:val="20"/>
                <w:lang w:eastAsia="ru-RU"/>
              </w:rPr>
              <w:t xml:space="preserve">4526006556</w:t>
            </w:r>
            <w:r>
              <w:rPr>
                <w:sz w:val="20"/>
                <w:szCs w:val="20"/>
                <w:lang w:eastAsia="ru-RU"/>
              </w:rPr>
            </w:r>
            <w:r>
              <w:rPr>
                <w:sz w:val="20"/>
                <w:szCs w:val="20"/>
                <w:lang w:eastAsia="ru-RU"/>
              </w:rPr>
            </w:r>
          </w:p>
        </w:tc>
        <w:tc>
          <w:tcPr>
            <w:tcBorders>
              <w:top w:val="none" w:color="000000" w:sz="4" w:space="0"/>
            </w:tcBorders>
            <w:tcW w:w="2916" w:type="dxa"/>
            <w:vAlign w:val="center"/>
            <w:textDirection w:val="lrTb"/>
            <w:noWrap w:val="false"/>
          </w:tcPr>
          <w:p>
            <w:pPr>
              <w:jc w:val="center"/>
              <w:widowControl/>
              <w:rPr>
                <w:sz w:val="20"/>
                <w:szCs w:val="20"/>
                <w:lang w:eastAsia="ru-RU"/>
              </w:rPr>
            </w:pPr>
            <w:r>
              <w:rPr>
                <w:sz w:val="20"/>
                <w:szCs w:val="20"/>
              </w:rPr>
              <w:t xml:space="preserve">641200, Курганская область, Юргамышский р-н, рп Юргамыш, ул Хлебозавод, д. 1, офис 1</w:t>
            </w:r>
            <w:r>
              <w:rPr>
                <w:sz w:val="20"/>
                <w:szCs w:val="20"/>
                <w:lang w:eastAsia="ru-RU"/>
              </w:rPr>
            </w:r>
            <w:r>
              <w:rPr>
                <w:sz w:val="20"/>
                <w:szCs w:val="20"/>
                <w:lang w:eastAsia="ru-RU"/>
              </w:rPr>
            </w:r>
          </w:p>
        </w:tc>
        <w:tc>
          <w:tcPr>
            <w:tcW w:w="2693" w:type="dxa"/>
            <w:vAlign w:val="center"/>
            <w:textDirection w:val="lrTb"/>
            <w:noWrap w:val="false"/>
          </w:tcPr>
          <w:p>
            <w:pPr>
              <w:jc w:val="center"/>
              <w:widowControl/>
              <w:rPr>
                <w:sz w:val="20"/>
                <w:szCs w:val="20"/>
                <w:lang w:eastAsia="ru-RU"/>
              </w:rPr>
            </w:pPr>
            <w:r>
              <w:rPr>
                <w:sz w:val="20"/>
                <w:szCs w:val="20"/>
              </w:rPr>
              <w:t xml:space="preserve">Котельная </w:t>
            </w:r>
            <w:r>
              <w:rPr>
                <w:sz w:val="20"/>
                <w:szCs w:val="20"/>
                <w:lang w:eastAsia="ru-RU"/>
              </w:rPr>
              <w:t xml:space="preserve">с.Кипель, ул.Советская, 81а</w:t>
            </w:r>
            <w:r>
              <w:rPr>
                <w:sz w:val="20"/>
                <w:szCs w:val="20"/>
                <w:lang w:eastAsia="ru-RU"/>
              </w:rPr>
            </w:r>
            <w:r>
              <w:rPr>
                <w:sz w:val="20"/>
                <w:szCs w:val="20"/>
                <w:lang w:eastAsia="ru-RU"/>
              </w:rPr>
            </w:r>
          </w:p>
        </w:tc>
      </w:tr>
      <w:tr>
        <w:tblPrEx/>
        <w:trPr>
          <w:trHeight w:val="229"/>
        </w:trPr>
        <w:tc>
          <w:tcPr>
            <w:tcBorders>
              <w:top w:val="none" w:color="000000" w:sz="4" w:space="0"/>
            </w:tcBorders>
            <w:tcW w:w="2971" w:type="dxa"/>
            <w:vAlign w:val="center"/>
            <w:textDirection w:val="lrTb"/>
            <w:noWrap w:val="false"/>
          </w:tcPr>
          <w:p>
            <w:pPr>
              <w:jc w:val="center"/>
              <w:widowControl/>
              <w:rPr>
                <w:sz w:val="20"/>
                <w:szCs w:val="20"/>
                <w:lang w:eastAsia="ru-RU"/>
              </w:rPr>
            </w:pPr>
            <w:r>
              <w:rPr>
                <w:sz w:val="20"/>
                <w:szCs w:val="20"/>
                <w:lang w:eastAsia="ru-RU"/>
              </w:rPr>
              <w:t xml:space="preserve">ООО «Курган Тепло»</w:t>
            </w:r>
            <w:r>
              <w:rPr>
                <w:sz w:val="20"/>
                <w:szCs w:val="20"/>
                <w:lang w:eastAsia="ru-RU"/>
              </w:rPr>
            </w:r>
            <w:r>
              <w:rPr>
                <w:sz w:val="20"/>
                <w:szCs w:val="20"/>
                <w:lang w:eastAsia="ru-RU"/>
              </w:rPr>
            </w:r>
          </w:p>
        </w:tc>
        <w:tc>
          <w:tcPr>
            <w:tcBorders>
              <w:top w:val="none" w:color="000000" w:sz="4" w:space="0"/>
            </w:tcBorders>
            <w:tcW w:w="1198" w:type="dxa"/>
            <w:vAlign w:val="center"/>
            <w:textDirection w:val="lrTb"/>
            <w:noWrap w:val="false"/>
          </w:tcPr>
          <w:p>
            <w:pPr>
              <w:jc w:val="center"/>
              <w:widowControl/>
              <w:rPr>
                <w:sz w:val="20"/>
                <w:szCs w:val="20"/>
                <w:lang w:eastAsia="ru-RU"/>
              </w:rPr>
            </w:pPr>
            <w:r>
              <w:rPr>
                <w:sz w:val="20"/>
                <w:szCs w:val="20"/>
                <w:lang w:eastAsia="ru-RU"/>
              </w:rPr>
              <w:t xml:space="preserve">4526006556</w:t>
            </w:r>
            <w:r>
              <w:rPr>
                <w:sz w:val="20"/>
                <w:szCs w:val="20"/>
                <w:lang w:eastAsia="ru-RU"/>
              </w:rPr>
            </w:r>
            <w:r>
              <w:rPr>
                <w:sz w:val="20"/>
                <w:szCs w:val="20"/>
                <w:lang w:eastAsia="ru-RU"/>
              </w:rPr>
            </w:r>
          </w:p>
        </w:tc>
        <w:tc>
          <w:tcPr>
            <w:tcBorders>
              <w:top w:val="none" w:color="000000" w:sz="4" w:space="0"/>
            </w:tcBorders>
            <w:tcW w:w="2916" w:type="dxa"/>
            <w:vAlign w:val="center"/>
            <w:textDirection w:val="lrTb"/>
            <w:noWrap w:val="false"/>
          </w:tcPr>
          <w:p>
            <w:pPr>
              <w:jc w:val="center"/>
              <w:widowControl/>
              <w:rPr>
                <w:sz w:val="20"/>
                <w:szCs w:val="20"/>
                <w:lang w:eastAsia="ru-RU"/>
              </w:rPr>
            </w:pPr>
            <w:r>
              <w:rPr>
                <w:sz w:val="20"/>
                <w:szCs w:val="20"/>
              </w:rPr>
              <w:t xml:space="preserve">641200, Курганская область, Юргамышский р-н, рп Юргамыш, ул Хлебозавод, д. 1, офис 1</w:t>
            </w:r>
            <w:r>
              <w:rPr>
                <w:sz w:val="20"/>
                <w:szCs w:val="20"/>
                <w:lang w:eastAsia="ru-RU"/>
              </w:rPr>
            </w:r>
            <w:r>
              <w:rPr>
                <w:sz w:val="20"/>
                <w:szCs w:val="20"/>
                <w:lang w:eastAsia="ru-RU"/>
              </w:rPr>
            </w:r>
          </w:p>
        </w:tc>
        <w:tc>
          <w:tcPr>
            <w:tcW w:w="2693" w:type="dxa"/>
            <w:vAlign w:val="center"/>
            <w:textDirection w:val="lrTb"/>
            <w:noWrap w:val="false"/>
          </w:tcPr>
          <w:p>
            <w:pPr>
              <w:jc w:val="center"/>
              <w:widowControl/>
              <w:rPr>
                <w:sz w:val="20"/>
                <w:szCs w:val="20"/>
                <w:lang w:eastAsia="ru-RU"/>
              </w:rPr>
            </w:pPr>
            <w:r>
              <w:rPr>
                <w:sz w:val="20"/>
                <w:szCs w:val="20"/>
              </w:rPr>
              <w:t xml:space="preserve">Котельная </w:t>
            </w:r>
            <w:r>
              <w:rPr>
                <w:sz w:val="20"/>
                <w:szCs w:val="20"/>
                <w:lang w:eastAsia="ru-RU"/>
              </w:rPr>
              <w:t xml:space="preserve">с.Горохово, ул.Школьная, 37Б</w:t>
            </w:r>
            <w:r>
              <w:rPr>
                <w:sz w:val="20"/>
                <w:szCs w:val="20"/>
                <w:lang w:eastAsia="ru-RU"/>
              </w:rPr>
            </w:r>
            <w:r>
              <w:rPr>
                <w:sz w:val="20"/>
                <w:szCs w:val="20"/>
                <w:lang w:eastAsia="ru-RU"/>
              </w:rPr>
            </w:r>
          </w:p>
        </w:tc>
      </w:tr>
      <w:tr>
        <w:tblPrEx/>
        <w:trPr>
          <w:trHeight w:val="229"/>
        </w:trPr>
        <w:tc>
          <w:tcPr>
            <w:tcBorders>
              <w:top w:val="none" w:color="000000" w:sz="4" w:space="0"/>
            </w:tcBorders>
            <w:tcW w:w="2971" w:type="dxa"/>
            <w:vAlign w:val="center"/>
            <w:textDirection w:val="lrTb"/>
            <w:noWrap w:val="false"/>
          </w:tcPr>
          <w:p>
            <w:pPr>
              <w:jc w:val="center"/>
              <w:widowControl/>
              <w:rPr>
                <w:sz w:val="20"/>
                <w:szCs w:val="20"/>
                <w:lang w:eastAsia="ru-RU"/>
              </w:rPr>
            </w:pPr>
            <w:r>
              <w:rPr>
                <w:sz w:val="20"/>
                <w:szCs w:val="20"/>
                <w:lang w:eastAsia="ru-RU"/>
              </w:rPr>
              <w:t xml:space="preserve">ООО «Курган Тепло»</w:t>
            </w:r>
            <w:r>
              <w:rPr>
                <w:sz w:val="20"/>
                <w:szCs w:val="20"/>
                <w:lang w:eastAsia="ru-RU"/>
              </w:rPr>
            </w:r>
            <w:r>
              <w:rPr>
                <w:sz w:val="20"/>
                <w:szCs w:val="20"/>
                <w:lang w:eastAsia="ru-RU"/>
              </w:rPr>
            </w:r>
          </w:p>
        </w:tc>
        <w:tc>
          <w:tcPr>
            <w:tcBorders>
              <w:top w:val="none" w:color="000000" w:sz="4" w:space="0"/>
            </w:tcBorders>
            <w:tcW w:w="1198" w:type="dxa"/>
            <w:vAlign w:val="center"/>
            <w:textDirection w:val="lrTb"/>
            <w:noWrap w:val="false"/>
          </w:tcPr>
          <w:p>
            <w:pPr>
              <w:jc w:val="center"/>
              <w:widowControl/>
              <w:rPr>
                <w:sz w:val="20"/>
                <w:szCs w:val="20"/>
                <w:lang w:eastAsia="ru-RU"/>
              </w:rPr>
            </w:pPr>
            <w:r>
              <w:rPr>
                <w:sz w:val="20"/>
                <w:szCs w:val="20"/>
                <w:lang w:eastAsia="ru-RU"/>
              </w:rPr>
              <w:t xml:space="preserve">4526006556</w:t>
            </w:r>
            <w:r>
              <w:rPr>
                <w:sz w:val="20"/>
                <w:szCs w:val="20"/>
                <w:lang w:eastAsia="ru-RU"/>
              </w:rPr>
            </w:r>
            <w:r>
              <w:rPr>
                <w:sz w:val="20"/>
                <w:szCs w:val="20"/>
                <w:lang w:eastAsia="ru-RU"/>
              </w:rPr>
            </w:r>
          </w:p>
        </w:tc>
        <w:tc>
          <w:tcPr>
            <w:tcBorders>
              <w:top w:val="none" w:color="000000" w:sz="4" w:space="0"/>
            </w:tcBorders>
            <w:tcW w:w="2916" w:type="dxa"/>
            <w:vAlign w:val="center"/>
            <w:textDirection w:val="lrTb"/>
            <w:noWrap w:val="false"/>
          </w:tcPr>
          <w:p>
            <w:pPr>
              <w:jc w:val="center"/>
              <w:widowControl/>
              <w:rPr>
                <w:sz w:val="20"/>
                <w:szCs w:val="20"/>
                <w:lang w:eastAsia="ru-RU"/>
              </w:rPr>
            </w:pPr>
            <w:r>
              <w:rPr>
                <w:sz w:val="20"/>
                <w:szCs w:val="20"/>
              </w:rPr>
              <w:t xml:space="preserve">641200, Курганская область, Юргамышский р-н, рп Юргамыш, ул Хлебозавод, д. 1, офис 1</w:t>
            </w:r>
            <w:r>
              <w:rPr>
                <w:sz w:val="20"/>
                <w:szCs w:val="20"/>
                <w:lang w:eastAsia="ru-RU"/>
              </w:rPr>
            </w:r>
            <w:r>
              <w:rPr>
                <w:sz w:val="20"/>
                <w:szCs w:val="20"/>
                <w:lang w:eastAsia="ru-RU"/>
              </w:rPr>
            </w:r>
          </w:p>
        </w:tc>
        <w:tc>
          <w:tcPr>
            <w:tcW w:w="2693" w:type="dxa"/>
            <w:vAlign w:val="center"/>
            <w:textDirection w:val="lrTb"/>
            <w:noWrap w:val="false"/>
          </w:tcPr>
          <w:p>
            <w:pPr>
              <w:jc w:val="center"/>
              <w:widowControl/>
              <w:rPr>
                <w:sz w:val="20"/>
                <w:szCs w:val="20"/>
                <w:lang w:eastAsia="ru-RU"/>
              </w:rPr>
            </w:pPr>
            <w:r>
              <w:rPr>
                <w:sz w:val="20"/>
                <w:szCs w:val="20"/>
              </w:rPr>
              <w:t xml:space="preserve">Котельная </w:t>
            </w:r>
            <w:r>
              <w:rPr>
                <w:sz w:val="20"/>
                <w:szCs w:val="20"/>
                <w:lang w:eastAsia="ru-RU"/>
              </w:rPr>
              <w:t xml:space="preserve">с.Гагарье, ул.Новая 5Б</w:t>
            </w:r>
            <w:r>
              <w:rPr>
                <w:sz w:val="20"/>
                <w:szCs w:val="20"/>
                <w:lang w:eastAsia="ru-RU"/>
              </w:rPr>
            </w:r>
            <w:r>
              <w:rPr>
                <w:sz w:val="20"/>
                <w:szCs w:val="20"/>
                <w:lang w:eastAsia="ru-RU"/>
              </w:rPr>
            </w:r>
          </w:p>
        </w:tc>
      </w:tr>
      <w:tr>
        <w:tblPrEx/>
        <w:trPr>
          <w:trHeight w:val="229"/>
        </w:trPr>
        <w:tc>
          <w:tcPr>
            <w:tcBorders>
              <w:top w:val="none" w:color="000000" w:sz="4" w:space="0"/>
            </w:tcBorders>
            <w:tcW w:w="2971" w:type="dxa"/>
            <w:vAlign w:val="center"/>
            <w:textDirection w:val="lrTb"/>
            <w:noWrap w:val="false"/>
          </w:tcPr>
          <w:p>
            <w:pPr>
              <w:jc w:val="center"/>
              <w:widowControl/>
              <w:rPr>
                <w:sz w:val="20"/>
                <w:szCs w:val="20"/>
                <w:lang w:eastAsia="ru-RU"/>
              </w:rPr>
            </w:pPr>
            <w:r>
              <w:rPr>
                <w:sz w:val="20"/>
                <w:szCs w:val="20"/>
                <w:lang w:eastAsia="ru-RU"/>
              </w:rPr>
              <w:t xml:space="preserve">ООО «Курган Тепло»</w:t>
            </w:r>
            <w:r>
              <w:rPr>
                <w:sz w:val="20"/>
                <w:szCs w:val="20"/>
                <w:lang w:eastAsia="ru-RU"/>
              </w:rPr>
            </w:r>
            <w:r>
              <w:rPr>
                <w:sz w:val="20"/>
                <w:szCs w:val="20"/>
                <w:lang w:eastAsia="ru-RU"/>
              </w:rPr>
            </w:r>
          </w:p>
        </w:tc>
        <w:tc>
          <w:tcPr>
            <w:tcBorders>
              <w:top w:val="none" w:color="000000" w:sz="4" w:space="0"/>
            </w:tcBorders>
            <w:tcW w:w="1198" w:type="dxa"/>
            <w:vAlign w:val="center"/>
            <w:textDirection w:val="lrTb"/>
            <w:noWrap w:val="false"/>
          </w:tcPr>
          <w:p>
            <w:pPr>
              <w:jc w:val="center"/>
              <w:widowControl/>
              <w:rPr>
                <w:sz w:val="20"/>
                <w:szCs w:val="20"/>
                <w:lang w:eastAsia="ru-RU"/>
              </w:rPr>
            </w:pPr>
            <w:r>
              <w:rPr>
                <w:sz w:val="20"/>
                <w:szCs w:val="20"/>
                <w:lang w:eastAsia="ru-RU"/>
              </w:rPr>
              <w:t xml:space="preserve">4526006556</w:t>
            </w:r>
            <w:r>
              <w:rPr>
                <w:sz w:val="20"/>
                <w:szCs w:val="20"/>
                <w:lang w:eastAsia="ru-RU"/>
              </w:rPr>
            </w:r>
            <w:r>
              <w:rPr>
                <w:sz w:val="20"/>
                <w:szCs w:val="20"/>
                <w:lang w:eastAsia="ru-RU"/>
              </w:rPr>
            </w:r>
          </w:p>
        </w:tc>
        <w:tc>
          <w:tcPr>
            <w:tcBorders>
              <w:top w:val="none" w:color="000000" w:sz="4" w:space="0"/>
            </w:tcBorders>
            <w:tcW w:w="2916" w:type="dxa"/>
            <w:vAlign w:val="center"/>
            <w:textDirection w:val="lrTb"/>
            <w:noWrap w:val="false"/>
          </w:tcPr>
          <w:p>
            <w:pPr>
              <w:jc w:val="center"/>
              <w:widowControl/>
              <w:rPr>
                <w:sz w:val="20"/>
                <w:szCs w:val="20"/>
                <w:lang w:eastAsia="ru-RU"/>
              </w:rPr>
            </w:pPr>
            <w:r>
              <w:rPr>
                <w:sz w:val="20"/>
                <w:szCs w:val="20"/>
              </w:rPr>
              <w:t xml:space="preserve">641200, Курганская область, Юргамышский р-н, рп Юргамыш, ул Хлебозавод, д. 1, офис 1</w:t>
            </w:r>
            <w:r>
              <w:rPr>
                <w:sz w:val="20"/>
                <w:szCs w:val="20"/>
                <w:lang w:eastAsia="ru-RU"/>
              </w:rPr>
            </w:r>
            <w:r>
              <w:rPr>
                <w:sz w:val="20"/>
                <w:szCs w:val="20"/>
                <w:lang w:eastAsia="ru-RU"/>
              </w:rPr>
            </w:r>
          </w:p>
        </w:tc>
        <w:tc>
          <w:tcPr>
            <w:tcW w:w="2693" w:type="dxa"/>
            <w:vAlign w:val="center"/>
            <w:textDirection w:val="lrTb"/>
            <w:noWrap w:val="false"/>
          </w:tcPr>
          <w:p>
            <w:pPr>
              <w:jc w:val="center"/>
              <w:widowControl/>
              <w:rPr>
                <w:sz w:val="20"/>
                <w:szCs w:val="20"/>
                <w:lang w:eastAsia="ru-RU"/>
              </w:rPr>
            </w:pPr>
            <w:r>
              <w:rPr>
                <w:sz w:val="20"/>
                <w:szCs w:val="20"/>
              </w:rPr>
              <w:t xml:space="preserve">Котельная </w:t>
            </w:r>
            <w:r>
              <w:rPr>
                <w:sz w:val="20"/>
                <w:szCs w:val="20"/>
                <w:lang w:eastAsia="ru-RU"/>
              </w:rPr>
              <w:t xml:space="preserve">с.Скоблино, ул.Школьная, 41Б</w:t>
            </w:r>
            <w:r>
              <w:rPr>
                <w:sz w:val="20"/>
                <w:szCs w:val="20"/>
                <w:lang w:eastAsia="ru-RU"/>
              </w:rPr>
            </w:r>
            <w:r>
              <w:rPr>
                <w:sz w:val="20"/>
                <w:szCs w:val="20"/>
                <w:lang w:eastAsia="ru-RU"/>
              </w:rPr>
            </w:r>
          </w:p>
        </w:tc>
      </w:tr>
      <w:tr>
        <w:tblPrEx/>
        <w:trPr>
          <w:trHeight w:val="229"/>
        </w:trPr>
        <w:tc>
          <w:tcPr>
            <w:tcBorders>
              <w:top w:val="none" w:color="000000" w:sz="4" w:space="0"/>
            </w:tcBorders>
            <w:tcW w:w="2971" w:type="dxa"/>
            <w:vAlign w:val="center"/>
            <w:textDirection w:val="lrTb"/>
            <w:noWrap w:val="false"/>
          </w:tcPr>
          <w:p>
            <w:pPr>
              <w:jc w:val="center"/>
              <w:widowControl/>
              <w:rPr>
                <w:sz w:val="20"/>
                <w:szCs w:val="20"/>
                <w:lang w:eastAsia="ru-RU"/>
              </w:rPr>
            </w:pPr>
            <w:r>
              <w:rPr>
                <w:sz w:val="20"/>
                <w:szCs w:val="20"/>
                <w:lang w:eastAsia="ru-RU"/>
              </w:rPr>
              <w:t xml:space="preserve">ООО «Курган Тепло»</w:t>
            </w:r>
            <w:r>
              <w:rPr>
                <w:sz w:val="20"/>
                <w:szCs w:val="20"/>
                <w:lang w:eastAsia="ru-RU"/>
              </w:rPr>
            </w:r>
            <w:r>
              <w:rPr>
                <w:sz w:val="20"/>
                <w:szCs w:val="20"/>
                <w:lang w:eastAsia="ru-RU"/>
              </w:rPr>
            </w:r>
          </w:p>
        </w:tc>
        <w:tc>
          <w:tcPr>
            <w:tcBorders>
              <w:top w:val="none" w:color="000000" w:sz="4" w:space="0"/>
            </w:tcBorders>
            <w:tcW w:w="1198" w:type="dxa"/>
            <w:vAlign w:val="center"/>
            <w:textDirection w:val="lrTb"/>
            <w:noWrap w:val="false"/>
          </w:tcPr>
          <w:p>
            <w:pPr>
              <w:jc w:val="center"/>
              <w:widowControl/>
              <w:rPr>
                <w:sz w:val="20"/>
                <w:szCs w:val="20"/>
                <w:lang w:eastAsia="ru-RU"/>
              </w:rPr>
            </w:pPr>
            <w:r>
              <w:rPr>
                <w:sz w:val="20"/>
                <w:szCs w:val="20"/>
                <w:lang w:eastAsia="ru-RU"/>
              </w:rPr>
              <w:t xml:space="preserve">4526006556</w:t>
            </w:r>
            <w:r>
              <w:rPr>
                <w:sz w:val="20"/>
                <w:szCs w:val="20"/>
                <w:lang w:eastAsia="ru-RU"/>
              </w:rPr>
            </w:r>
            <w:r>
              <w:rPr>
                <w:sz w:val="20"/>
                <w:szCs w:val="20"/>
                <w:lang w:eastAsia="ru-RU"/>
              </w:rPr>
            </w:r>
          </w:p>
        </w:tc>
        <w:tc>
          <w:tcPr>
            <w:tcBorders>
              <w:top w:val="none" w:color="000000" w:sz="4" w:space="0"/>
            </w:tcBorders>
            <w:tcW w:w="2916" w:type="dxa"/>
            <w:vAlign w:val="center"/>
            <w:textDirection w:val="lrTb"/>
            <w:noWrap w:val="false"/>
          </w:tcPr>
          <w:p>
            <w:pPr>
              <w:jc w:val="center"/>
              <w:widowControl/>
              <w:rPr>
                <w:sz w:val="20"/>
                <w:szCs w:val="20"/>
                <w:lang w:eastAsia="ru-RU"/>
              </w:rPr>
            </w:pPr>
            <w:r>
              <w:rPr>
                <w:sz w:val="20"/>
                <w:szCs w:val="20"/>
              </w:rPr>
              <w:t xml:space="preserve">641200, Курганская область, Юргамышский р-н, рп Юргамыш, ул Хлебозавод, д. 1, офис 1</w:t>
            </w:r>
            <w:r>
              <w:rPr>
                <w:sz w:val="20"/>
                <w:szCs w:val="20"/>
                <w:lang w:eastAsia="ru-RU"/>
              </w:rPr>
            </w:r>
            <w:r>
              <w:rPr>
                <w:sz w:val="20"/>
                <w:szCs w:val="20"/>
                <w:lang w:eastAsia="ru-RU"/>
              </w:rPr>
            </w:r>
          </w:p>
        </w:tc>
        <w:tc>
          <w:tcPr>
            <w:tcW w:w="2693" w:type="dxa"/>
            <w:vAlign w:val="center"/>
            <w:textDirection w:val="lrTb"/>
            <w:noWrap w:val="false"/>
          </w:tcPr>
          <w:p>
            <w:pPr>
              <w:jc w:val="center"/>
              <w:widowControl/>
              <w:rPr>
                <w:sz w:val="20"/>
                <w:szCs w:val="20"/>
                <w:lang w:eastAsia="ru-RU"/>
              </w:rPr>
            </w:pPr>
            <w:r>
              <w:rPr>
                <w:sz w:val="20"/>
                <w:szCs w:val="20"/>
              </w:rPr>
              <w:t xml:space="preserve">Котельная </w:t>
            </w:r>
            <w:r>
              <w:rPr>
                <w:sz w:val="20"/>
                <w:szCs w:val="20"/>
                <w:lang w:eastAsia="ru-RU"/>
              </w:rPr>
              <w:t xml:space="preserve">с.Красный Уралец, ул.Ленина, 6а</w:t>
            </w:r>
            <w:r>
              <w:rPr>
                <w:sz w:val="20"/>
                <w:szCs w:val="20"/>
                <w:lang w:eastAsia="ru-RU"/>
              </w:rPr>
            </w:r>
            <w:r>
              <w:rPr>
                <w:sz w:val="20"/>
                <w:szCs w:val="20"/>
                <w:lang w:eastAsia="ru-RU"/>
              </w:rPr>
            </w:r>
          </w:p>
        </w:tc>
      </w:tr>
      <w:tr>
        <w:tblPrEx/>
        <w:trPr>
          <w:trHeight w:val="229"/>
        </w:trPr>
        <w:tc>
          <w:tcPr>
            <w:tcBorders>
              <w:top w:val="none" w:color="000000" w:sz="4" w:space="0"/>
            </w:tcBorders>
            <w:tcW w:w="2971" w:type="dxa"/>
            <w:vAlign w:val="center"/>
            <w:textDirection w:val="lrTb"/>
            <w:noWrap w:val="false"/>
          </w:tcPr>
          <w:p>
            <w:pPr>
              <w:jc w:val="center"/>
              <w:widowControl/>
              <w:rPr>
                <w:sz w:val="20"/>
                <w:szCs w:val="20"/>
                <w:lang w:eastAsia="ru-RU"/>
              </w:rPr>
            </w:pPr>
            <w:r>
              <w:rPr>
                <w:sz w:val="20"/>
                <w:szCs w:val="20"/>
                <w:lang w:eastAsia="ru-RU"/>
              </w:rPr>
              <w:t xml:space="preserve">ООО «Курган Тепло»</w:t>
            </w:r>
            <w:r>
              <w:rPr>
                <w:sz w:val="20"/>
                <w:szCs w:val="20"/>
                <w:lang w:eastAsia="ru-RU"/>
              </w:rPr>
            </w:r>
            <w:r>
              <w:rPr>
                <w:sz w:val="20"/>
                <w:szCs w:val="20"/>
                <w:lang w:eastAsia="ru-RU"/>
              </w:rPr>
            </w:r>
          </w:p>
        </w:tc>
        <w:tc>
          <w:tcPr>
            <w:tcBorders>
              <w:top w:val="none" w:color="000000" w:sz="4" w:space="0"/>
            </w:tcBorders>
            <w:tcW w:w="1198" w:type="dxa"/>
            <w:vAlign w:val="center"/>
            <w:textDirection w:val="lrTb"/>
            <w:noWrap w:val="false"/>
          </w:tcPr>
          <w:p>
            <w:pPr>
              <w:jc w:val="center"/>
              <w:widowControl/>
              <w:rPr>
                <w:sz w:val="20"/>
                <w:szCs w:val="20"/>
                <w:lang w:eastAsia="ru-RU"/>
              </w:rPr>
            </w:pPr>
            <w:r>
              <w:rPr>
                <w:sz w:val="20"/>
                <w:szCs w:val="20"/>
                <w:lang w:eastAsia="ru-RU"/>
              </w:rPr>
              <w:t xml:space="preserve">4526006556</w:t>
            </w:r>
            <w:r>
              <w:rPr>
                <w:sz w:val="20"/>
                <w:szCs w:val="20"/>
                <w:lang w:eastAsia="ru-RU"/>
              </w:rPr>
            </w:r>
            <w:r>
              <w:rPr>
                <w:sz w:val="20"/>
                <w:szCs w:val="20"/>
                <w:lang w:eastAsia="ru-RU"/>
              </w:rPr>
            </w:r>
          </w:p>
        </w:tc>
        <w:tc>
          <w:tcPr>
            <w:tcBorders>
              <w:top w:val="none" w:color="000000" w:sz="4" w:space="0"/>
            </w:tcBorders>
            <w:tcW w:w="2916" w:type="dxa"/>
            <w:vAlign w:val="center"/>
            <w:textDirection w:val="lrTb"/>
            <w:noWrap w:val="false"/>
          </w:tcPr>
          <w:p>
            <w:pPr>
              <w:jc w:val="center"/>
              <w:widowControl/>
              <w:rPr>
                <w:sz w:val="20"/>
                <w:szCs w:val="20"/>
                <w:lang w:eastAsia="ru-RU"/>
              </w:rPr>
            </w:pPr>
            <w:r>
              <w:rPr>
                <w:sz w:val="20"/>
                <w:szCs w:val="20"/>
              </w:rPr>
              <w:t xml:space="preserve">641200, Курганская область, Юргамышский р-н, рп Юргамыш, ул Хлебозавод, д. 1, офис 1</w:t>
            </w:r>
            <w:r>
              <w:rPr>
                <w:sz w:val="20"/>
                <w:szCs w:val="20"/>
                <w:lang w:eastAsia="ru-RU"/>
              </w:rPr>
            </w:r>
            <w:r>
              <w:rPr>
                <w:sz w:val="20"/>
                <w:szCs w:val="20"/>
                <w:lang w:eastAsia="ru-RU"/>
              </w:rPr>
            </w:r>
          </w:p>
        </w:tc>
        <w:tc>
          <w:tcPr>
            <w:tcW w:w="2693" w:type="dxa"/>
            <w:vAlign w:val="center"/>
            <w:textDirection w:val="lrTb"/>
            <w:noWrap w:val="false"/>
          </w:tcPr>
          <w:p>
            <w:pPr>
              <w:jc w:val="center"/>
              <w:widowControl/>
              <w:rPr>
                <w:sz w:val="20"/>
                <w:szCs w:val="20"/>
                <w:lang w:eastAsia="ru-RU"/>
              </w:rPr>
            </w:pPr>
            <w:r>
              <w:rPr>
                <w:sz w:val="20"/>
                <w:szCs w:val="20"/>
              </w:rPr>
              <w:t xml:space="preserve">Котельная </w:t>
            </w:r>
            <w:r>
              <w:rPr>
                <w:sz w:val="20"/>
                <w:szCs w:val="20"/>
                <w:lang w:eastAsia="ru-RU"/>
              </w:rPr>
              <w:t xml:space="preserve">с.Красный Уралец, улица нет</w:t>
            </w:r>
            <w:r>
              <w:rPr>
                <w:sz w:val="20"/>
                <w:szCs w:val="20"/>
                <w:lang w:eastAsia="ru-RU"/>
              </w:rPr>
            </w:r>
            <w:r>
              <w:rPr>
                <w:sz w:val="20"/>
                <w:szCs w:val="20"/>
                <w:lang w:eastAsia="ru-RU"/>
              </w:rPr>
            </w:r>
          </w:p>
        </w:tc>
      </w:tr>
      <w:tr>
        <w:tblPrEx/>
        <w:trPr>
          <w:trHeight w:val="229"/>
        </w:trPr>
        <w:tc>
          <w:tcPr>
            <w:tcBorders>
              <w:top w:val="none" w:color="000000" w:sz="4" w:space="0"/>
            </w:tcBorders>
            <w:tcW w:w="2971" w:type="dxa"/>
            <w:vAlign w:val="center"/>
            <w:textDirection w:val="lrTb"/>
            <w:noWrap w:val="false"/>
          </w:tcPr>
          <w:p>
            <w:pPr>
              <w:jc w:val="center"/>
              <w:widowControl/>
              <w:rPr>
                <w:sz w:val="20"/>
                <w:szCs w:val="20"/>
                <w:lang w:eastAsia="ru-RU"/>
              </w:rPr>
            </w:pPr>
            <w:r>
              <w:rPr>
                <w:sz w:val="20"/>
                <w:szCs w:val="20"/>
                <w:lang w:eastAsia="ru-RU"/>
              </w:rPr>
              <w:t xml:space="preserve">ООО «Курган Тепло»</w:t>
            </w:r>
            <w:r>
              <w:rPr>
                <w:sz w:val="20"/>
                <w:szCs w:val="20"/>
                <w:lang w:eastAsia="ru-RU"/>
              </w:rPr>
            </w:r>
            <w:r>
              <w:rPr>
                <w:sz w:val="20"/>
                <w:szCs w:val="20"/>
                <w:lang w:eastAsia="ru-RU"/>
              </w:rPr>
            </w:r>
          </w:p>
        </w:tc>
        <w:tc>
          <w:tcPr>
            <w:tcBorders>
              <w:top w:val="none" w:color="000000" w:sz="4" w:space="0"/>
            </w:tcBorders>
            <w:tcW w:w="1198" w:type="dxa"/>
            <w:vAlign w:val="center"/>
            <w:textDirection w:val="lrTb"/>
            <w:noWrap w:val="false"/>
          </w:tcPr>
          <w:p>
            <w:pPr>
              <w:jc w:val="center"/>
              <w:widowControl/>
              <w:rPr>
                <w:sz w:val="20"/>
                <w:szCs w:val="20"/>
                <w:lang w:eastAsia="ru-RU"/>
              </w:rPr>
            </w:pPr>
            <w:r>
              <w:rPr>
                <w:sz w:val="20"/>
                <w:szCs w:val="20"/>
                <w:lang w:eastAsia="ru-RU"/>
              </w:rPr>
              <w:t xml:space="preserve">4526006556</w:t>
            </w:r>
            <w:r>
              <w:rPr>
                <w:sz w:val="20"/>
                <w:szCs w:val="20"/>
                <w:lang w:eastAsia="ru-RU"/>
              </w:rPr>
            </w:r>
            <w:r>
              <w:rPr>
                <w:sz w:val="20"/>
                <w:szCs w:val="20"/>
                <w:lang w:eastAsia="ru-RU"/>
              </w:rPr>
            </w:r>
          </w:p>
        </w:tc>
        <w:tc>
          <w:tcPr>
            <w:tcBorders>
              <w:top w:val="none" w:color="000000" w:sz="4" w:space="0"/>
            </w:tcBorders>
            <w:tcW w:w="2916" w:type="dxa"/>
            <w:vAlign w:val="center"/>
            <w:textDirection w:val="lrTb"/>
            <w:noWrap w:val="false"/>
          </w:tcPr>
          <w:p>
            <w:pPr>
              <w:jc w:val="center"/>
              <w:widowControl/>
              <w:rPr>
                <w:sz w:val="20"/>
                <w:szCs w:val="20"/>
                <w:lang w:eastAsia="ru-RU"/>
              </w:rPr>
            </w:pPr>
            <w:r>
              <w:rPr>
                <w:sz w:val="20"/>
                <w:szCs w:val="20"/>
              </w:rPr>
              <w:t xml:space="preserve">641200, Курганская область, Юргамышский р-н, рп </w:t>
            </w:r>
            <w:r>
              <w:rPr>
                <w:sz w:val="20"/>
                <w:szCs w:val="20"/>
              </w:rPr>
              <w:t xml:space="preserve">Юргамыш, ул Хлебозавод, д. 1, офис 1</w:t>
            </w:r>
            <w:r>
              <w:rPr>
                <w:sz w:val="20"/>
                <w:szCs w:val="20"/>
                <w:lang w:eastAsia="ru-RU"/>
              </w:rPr>
            </w:r>
            <w:r>
              <w:rPr>
                <w:sz w:val="20"/>
                <w:szCs w:val="20"/>
                <w:lang w:eastAsia="ru-RU"/>
              </w:rPr>
            </w:r>
          </w:p>
        </w:tc>
        <w:tc>
          <w:tcPr>
            <w:tcW w:w="2693" w:type="dxa"/>
            <w:vAlign w:val="center"/>
            <w:textDirection w:val="lrTb"/>
            <w:noWrap w:val="false"/>
          </w:tcPr>
          <w:p>
            <w:pPr>
              <w:jc w:val="center"/>
              <w:widowControl/>
              <w:rPr>
                <w:sz w:val="20"/>
                <w:szCs w:val="20"/>
                <w:lang w:eastAsia="ru-RU"/>
              </w:rPr>
            </w:pPr>
            <w:r>
              <w:rPr>
                <w:sz w:val="20"/>
                <w:szCs w:val="20"/>
              </w:rPr>
              <w:t xml:space="preserve">Котельная </w:t>
            </w:r>
            <w:r>
              <w:rPr>
                <w:sz w:val="20"/>
                <w:szCs w:val="20"/>
                <w:lang w:eastAsia="ru-RU"/>
              </w:rPr>
              <w:t xml:space="preserve">с.Караси, ул.Школьная, 3б</w:t>
            </w:r>
            <w:r>
              <w:rPr>
                <w:sz w:val="20"/>
                <w:szCs w:val="20"/>
                <w:lang w:eastAsia="ru-RU"/>
              </w:rPr>
            </w:r>
            <w:r>
              <w:rPr>
                <w:sz w:val="20"/>
                <w:szCs w:val="20"/>
                <w:lang w:eastAsia="ru-RU"/>
              </w:rPr>
            </w:r>
          </w:p>
        </w:tc>
      </w:tr>
      <w:tr>
        <w:tblPrEx/>
        <w:trPr>
          <w:trHeight w:val="229"/>
        </w:trPr>
        <w:tc>
          <w:tcPr>
            <w:tcBorders>
              <w:top w:val="none" w:color="000000" w:sz="4" w:space="0"/>
              <w:bottom w:val="single" w:color="auto" w:sz="4" w:space="0"/>
            </w:tcBorders>
            <w:tcW w:w="2971" w:type="dxa"/>
            <w:vAlign w:val="center"/>
            <w:textDirection w:val="lrTb"/>
            <w:noWrap w:val="false"/>
          </w:tcPr>
          <w:p>
            <w:pPr>
              <w:jc w:val="center"/>
              <w:widowControl/>
              <w:rPr>
                <w:sz w:val="20"/>
                <w:szCs w:val="20"/>
                <w:lang w:eastAsia="ru-RU"/>
              </w:rPr>
            </w:pPr>
            <w:r>
              <w:rPr>
                <w:sz w:val="20"/>
                <w:szCs w:val="20"/>
                <w:lang w:eastAsia="ru-RU"/>
              </w:rPr>
              <w:t xml:space="preserve">ООО «Курган Тепло»</w:t>
            </w:r>
            <w:r>
              <w:rPr>
                <w:sz w:val="20"/>
                <w:szCs w:val="20"/>
                <w:lang w:eastAsia="ru-RU"/>
              </w:rPr>
            </w:r>
            <w:r>
              <w:rPr>
                <w:sz w:val="20"/>
                <w:szCs w:val="20"/>
                <w:lang w:eastAsia="ru-RU"/>
              </w:rPr>
            </w:r>
          </w:p>
        </w:tc>
        <w:tc>
          <w:tcPr>
            <w:tcBorders>
              <w:top w:val="none" w:color="000000" w:sz="4" w:space="0"/>
              <w:bottom w:val="single" w:color="auto" w:sz="4" w:space="0"/>
            </w:tcBorders>
            <w:tcW w:w="1198" w:type="dxa"/>
            <w:vAlign w:val="center"/>
            <w:textDirection w:val="lrTb"/>
            <w:noWrap w:val="false"/>
          </w:tcPr>
          <w:p>
            <w:pPr>
              <w:jc w:val="center"/>
              <w:widowControl/>
              <w:rPr>
                <w:sz w:val="20"/>
                <w:szCs w:val="20"/>
                <w:lang w:eastAsia="ru-RU"/>
              </w:rPr>
            </w:pPr>
            <w:r>
              <w:rPr>
                <w:sz w:val="20"/>
                <w:szCs w:val="20"/>
                <w:lang w:eastAsia="ru-RU"/>
              </w:rPr>
              <w:t xml:space="preserve">4526006556</w:t>
            </w:r>
            <w:r>
              <w:rPr>
                <w:sz w:val="20"/>
                <w:szCs w:val="20"/>
                <w:lang w:eastAsia="ru-RU"/>
              </w:rPr>
            </w:r>
            <w:r>
              <w:rPr>
                <w:sz w:val="20"/>
                <w:szCs w:val="20"/>
                <w:lang w:eastAsia="ru-RU"/>
              </w:rPr>
            </w:r>
          </w:p>
        </w:tc>
        <w:tc>
          <w:tcPr>
            <w:tcBorders>
              <w:top w:val="none" w:color="000000" w:sz="4" w:space="0"/>
              <w:bottom w:val="single" w:color="auto" w:sz="4" w:space="0"/>
            </w:tcBorders>
            <w:tcW w:w="2916" w:type="dxa"/>
            <w:vAlign w:val="center"/>
            <w:textDirection w:val="lrTb"/>
            <w:noWrap w:val="false"/>
          </w:tcPr>
          <w:p>
            <w:pPr>
              <w:jc w:val="center"/>
              <w:widowControl/>
              <w:rPr>
                <w:sz w:val="20"/>
                <w:szCs w:val="20"/>
                <w:lang w:eastAsia="ru-RU"/>
              </w:rPr>
            </w:pPr>
            <w:r>
              <w:rPr>
                <w:sz w:val="20"/>
                <w:szCs w:val="20"/>
              </w:rPr>
              <w:t xml:space="preserve">641200, Курганская область, Юргамышский р-н, рп Юргамыш, ул Хлебозавод, д. 1, офис 1</w:t>
            </w:r>
            <w:r>
              <w:rPr>
                <w:sz w:val="20"/>
                <w:szCs w:val="20"/>
                <w:lang w:eastAsia="ru-RU"/>
              </w:rPr>
            </w:r>
            <w:r>
              <w:rPr>
                <w:sz w:val="20"/>
                <w:szCs w:val="20"/>
                <w:lang w:eastAsia="ru-RU"/>
              </w:rPr>
            </w:r>
          </w:p>
        </w:tc>
        <w:tc>
          <w:tcPr>
            <w:tcBorders>
              <w:bottom w:val="single" w:color="auto" w:sz="4" w:space="0"/>
            </w:tcBorders>
            <w:tcW w:w="2693" w:type="dxa"/>
            <w:vAlign w:val="center"/>
            <w:textDirection w:val="lrTb"/>
            <w:noWrap w:val="false"/>
          </w:tcPr>
          <w:p>
            <w:pPr>
              <w:jc w:val="center"/>
              <w:widowControl/>
              <w:rPr>
                <w:sz w:val="20"/>
                <w:szCs w:val="20"/>
                <w:lang w:eastAsia="ru-RU"/>
              </w:rPr>
            </w:pPr>
            <w:r>
              <w:rPr>
                <w:sz w:val="20"/>
                <w:szCs w:val="20"/>
              </w:rPr>
              <w:t xml:space="preserve">Котельная </w:t>
            </w:r>
            <w:r>
              <w:rPr>
                <w:sz w:val="20"/>
                <w:szCs w:val="20"/>
                <w:lang w:eastAsia="ru-RU"/>
              </w:rPr>
              <w:t xml:space="preserve">с.Вилкино, ул.Ленина, 9а</w:t>
            </w:r>
            <w:r>
              <w:rPr>
                <w:sz w:val="20"/>
                <w:szCs w:val="20"/>
                <w:lang w:eastAsia="ru-RU"/>
              </w:rPr>
            </w:r>
            <w:r>
              <w:rPr>
                <w:sz w:val="20"/>
                <w:szCs w:val="20"/>
                <w:lang w:eastAsia="ru-RU"/>
              </w:rPr>
            </w:r>
          </w:p>
        </w:tc>
      </w:tr>
      <w:tr>
        <w:tblPrEx/>
        <w:trPr>
          <w:trHeight w:val="229"/>
        </w:trPr>
        <w:tc>
          <w:tcPr>
            <w:tcBorders>
              <w:top w:val="single" w:color="auto" w:sz="4" w:space="0"/>
              <w:left w:val="single" w:color="auto" w:sz="4" w:space="0"/>
              <w:bottom w:val="single" w:color="auto" w:sz="4" w:space="0"/>
              <w:right w:val="single" w:color="auto" w:sz="4" w:space="0"/>
            </w:tcBorders>
            <w:tcW w:w="2971" w:type="dxa"/>
            <w:vAlign w:val="center"/>
            <w:textDirection w:val="lrTb"/>
            <w:noWrap w:val="false"/>
          </w:tcPr>
          <w:p>
            <w:pPr>
              <w:jc w:val="center"/>
              <w:widowControl/>
              <w:rPr>
                <w:sz w:val="20"/>
                <w:szCs w:val="20"/>
                <w:lang w:eastAsia="ru-RU"/>
              </w:rPr>
            </w:pPr>
            <w:r>
              <w:rPr>
                <w:sz w:val="20"/>
                <w:szCs w:val="20"/>
                <w:lang w:eastAsia="ru-RU"/>
              </w:rPr>
              <w:t xml:space="preserve">ООО «Курган Тепло»</w:t>
            </w:r>
            <w:r>
              <w:rPr>
                <w:sz w:val="20"/>
                <w:szCs w:val="20"/>
                <w:lang w:eastAsia="ru-RU"/>
              </w:rPr>
            </w:r>
            <w:r>
              <w:rPr>
                <w:sz w:val="20"/>
                <w:szCs w:val="20"/>
                <w:lang w:eastAsia="ru-RU"/>
              </w:rPr>
            </w:r>
          </w:p>
        </w:tc>
        <w:tc>
          <w:tcPr>
            <w:tcBorders>
              <w:top w:val="single" w:color="auto" w:sz="4" w:space="0"/>
              <w:left w:val="single" w:color="auto" w:sz="4" w:space="0"/>
              <w:bottom w:val="single" w:color="auto" w:sz="4" w:space="0"/>
              <w:right w:val="single" w:color="auto" w:sz="4" w:space="0"/>
            </w:tcBorders>
            <w:tcW w:w="1198" w:type="dxa"/>
            <w:vAlign w:val="center"/>
            <w:textDirection w:val="lrTb"/>
            <w:noWrap w:val="false"/>
          </w:tcPr>
          <w:p>
            <w:pPr>
              <w:jc w:val="center"/>
              <w:widowControl/>
              <w:rPr>
                <w:sz w:val="20"/>
                <w:szCs w:val="20"/>
                <w:lang w:eastAsia="ru-RU"/>
              </w:rPr>
            </w:pPr>
            <w:r>
              <w:rPr>
                <w:sz w:val="20"/>
                <w:szCs w:val="20"/>
                <w:lang w:eastAsia="ru-RU"/>
              </w:rPr>
              <w:t xml:space="preserve">4526006556</w:t>
            </w:r>
            <w:r>
              <w:rPr>
                <w:sz w:val="20"/>
                <w:szCs w:val="20"/>
                <w:lang w:eastAsia="ru-RU"/>
              </w:rPr>
            </w:r>
            <w:r>
              <w:rPr>
                <w:sz w:val="20"/>
                <w:szCs w:val="20"/>
                <w:lang w:eastAsia="ru-RU"/>
              </w:rPr>
            </w:r>
          </w:p>
        </w:tc>
        <w:tc>
          <w:tcPr>
            <w:tcBorders>
              <w:top w:val="single" w:color="auto" w:sz="4" w:space="0"/>
              <w:left w:val="single" w:color="auto" w:sz="4" w:space="0"/>
              <w:bottom w:val="single" w:color="auto" w:sz="4" w:space="0"/>
              <w:right w:val="single" w:color="auto" w:sz="4" w:space="0"/>
            </w:tcBorders>
            <w:tcW w:w="2916" w:type="dxa"/>
            <w:vAlign w:val="center"/>
            <w:textDirection w:val="lrTb"/>
            <w:noWrap w:val="false"/>
          </w:tcPr>
          <w:p>
            <w:pPr>
              <w:jc w:val="center"/>
              <w:widowControl/>
              <w:rPr>
                <w:sz w:val="20"/>
                <w:szCs w:val="20"/>
                <w:lang w:eastAsia="ru-RU"/>
              </w:rPr>
            </w:pPr>
            <w:r>
              <w:rPr>
                <w:sz w:val="20"/>
                <w:szCs w:val="20"/>
              </w:rPr>
              <w:t xml:space="preserve">641200, Курганская область, Юргамышский р-н, рп Юргамыш, ул Хлебозавод, д. 1, офис 1</w:t>
            </w:r>
            <w:r>
              <w:rPr>
                <w:sz w:val="20"/>
                <w:szCs w:val="20"/>
                <w:lang w:eastAsia="ru-RU"/>
              </w:rPr>
            </w:r>
            <w:r>
              <w:rPr>
                <w:sz w:val="20"/>
                <w:szCs w:val="20"/>
                <w:lang w:eastAsia="ru-RU"/>
              </w:rPr>
            </w:r>
          </w:p>
        </w:tc>
        <w:tc>
          <w:tcPr>
            <w:tcBorders>
              <w:top w:val="single" w:color="auto" w:sz="4" w:space="0"/>
              <w:left w:val="single" w:color="auto" w:sz="4" w:space="0"/>
              <w:bottom w:val="single" w:color="auto" w:sz="4" w:space="0"/>
              <w:right w:val="single" w:color="auto" w:sz="4" w:space="0"/>
            </w:tcBorders>
            <w:tcW w:w="2693" w:type="dxa"/>
            <w:vAlign w:val="center"/>
            <w:textDirection w:val="lrTb"/>
            <w:noWrap w:val="false"/>
          </w:tcPr>
          <w:p>
            <w:pPr>
              <w:jc w:val="center"/>
              <w:widowControl/>
              <w:rPr>
                <w:sz w:val="20"/>
                <w:szCs w:val="20"/>
                <w:lang w:eastAsia="ru-RU"/>
              </w:rPr>
            </w:pPr>
            <w:r>
              <w:rPr>
                <w:sz w:val="20"/>
                <w:szCs w:val="20"/>
              </w:rPr>
              <w:t xml:space="preserve">Котельная </w:t>
            </w:r>
            <w:r>
              <w:rPr>
                <w:sz w:val="20"/>
                <w:szCs w:val="20"/>
                <w:lang w:eastAsia="ru-RU"/>
              </w:rPr>
              <w:t xml:space="preserve">с.Губерля, ул.Школьная, 10А</w:t>
            </w:r>
            <w:r>
              <w:rPr>
                <w:sz w:val="20"/>
                <w:szCs w:val="20"/>
                <w:lang w:eastAsia="ru-RU"/>
              </w:rPr>
            </w:r>
            <w:r>
              <w:rPr>
                <w:sz w:val="20"/>
                <w:szCs w:val="20"/>
                <w:lang w:eastAsia="ru-RU"/>
              </w:rPr>
            </w:r>
          </w:p>
        </w:tc>
      </w:tr>
      <w:tr>
        <w:tblPrEx/>
        <w:trPr>
          <w:trHeight w:val="229"/>
        </w:trPr>
        <w:tc>
          <w:tcPr>
            <w:tcBorders>
              <w:top w:val="single" w:color="auto" w:sz="4" w:space="0"/>
            </w:tcBorders>
            <w:tcW w:w="2971" w:type="dxa"/>
            <w:vAlign w:val="center"/>
            <w:textDirection w:val="lrTb"/>
            <w:noWrap w:val="false"/>
          </w:tcPr>
          <w:p>
            <w:pPr>
              <w:jc w:val="center"/>
              <w:widowControl/>
              <w:rPr>
                <w:sz w:val="20"/>
                <w:szCs w:val="20"/>
                <w:lang w:eastAsia="ru-RU"/>
              </w:rPr>
            </w:pPr>
            <w:r>
              <w:rPr>
                <w:sz w:val="20"/>
                <w:szCs w:val="20"/>
                <w:lang w:eastAsia="ru-RU"/>
              </w:rPr>
              <w:t xml:space="preserve">ООО «Курган Тепло»</w:t>
            </w:r>
            <w:r>
              <w:rPr>
                <w:sz w:val="20"/>
                <w:szCs w:val="20"/>
                <w:lang w:eastAsia="ru-RU"/>
              </w:rPr>
            </w:r>
            <w:r>
              <w:rPr>
                <w:sz w:val="20"/>
                <w:szCs w:val="20"/>
                <w:lang w:eastAsia="ru-RU"/>
              </w:rPr>
            </w:r>
          </w:p>
        </w:tc>
        <w:tc>
          <w:tcPr>
            <w:tcBorders>
              <w:top w:val="single" w:color="auto" w:sz="4" w:space="0"/>
            </w:tcBorders>
            <w:tcW w:w="1198" w:type="dxa"/>
            <w:vAlign w:val="center"/>
            <w:textDirection w:val="lrTb"/>
            <w:noWrap w:val="false"/>
          </w:tcPr>
          <w:p>
            <w:pPr>
              <w:jc w:val="center"/>
              <w:widowControl/>
              <w:rPr>
                <w:sz w:val="20"/>
                <w:szCs w:val="20"/>
                <w:lang w:eastAsia="ru-RU"/>
              </w:rPr>
            </w:pPr>
            <w:r>
              <w:rPr>
                <w:sz w:val="20"/>
                <w:szCs w:val="20"/>
                <w:lang w:eastAsia="ru-RU"/>
              </w:rPr>
              <w:t xml:space="preserve">4526006556</w:t>
            </w:r>
            <w:r>
              <w:rPr>
                <w:sz w:val="20"/>
                <w:szCs w:val="20"/>
                <w:lang w:eastAsia="ru-RU"/>
              </w:rPr>
            </w:r>
            <w:r>
              <w:rPr>
                <w:sz w:val="20"/>
                <w:szCs w:val="20"/>
                <w:lang w:eastAsia="ru-RU"/>
              </w:rPr>
            </w:r>
          </w:p>
        </w:tc>
        <w:tc>
          <w:tcPr>
            <w:tcBorders>
              <w:top w:val="single" w:color="auto" w:sz="4" w:space="0"/>
            </w:tcBorders>
            <w:tcW w:w="2916" w:type="dxa"/>
            <w:vAlign w:val="center"/>
            <w:textDirection w:val="lrTb"/>
            <w:noWrap w:val="false"/>
          </w:tcPr>
          <w:p>
            <w:pPr>
              <w:jc w:val="center"/>
              <w:widowControl/>
              <w:rPr>
                <w:sz w:val="20"/>
                <w:szCs w:val="20"/>
                <w:lang w:eastAsia="ru-RU"/>
              </w:rPr>
            </w:pPr>
            <w:r>
              <w:rPr>
                <w:sz w:val="20"/>
                <w:szCs w:val="20"/>
              </w:rPr>
              <w:t xml:space="preserve">641200, Курганская область, Юргамышский р-н, рп Юргамыш, ул Хлебозавод, д. 1, офис 1</w:t>
            </w:r>
            <w:r>
              <w:rPr>
                <w:sz w:val="20"/>
                <w:szCs w:val="20"/>
                <w:lang w:eastAsia="ru-RU"/>
              </w:rPr>
            </w:r>
            <w:r>
              <w:rPr>
                <w:sz w:val="20"/>
                <w:szCs w:val="20"/>
                <w:lang w:eastAsia="ru-RU"/>
              </w:rPr>
            </w:r>
          </w:p>
        </w:tc>
        <w:tc>
          <w:tcPr>
            <w:tcBorders>
              <w:top w:val="single" w:color="auto" w:sz="4" w:space="0"/>
            </w:tcBorders>
            <w:tcW w:w="2693" w:type="dxa"/>
            <w:vAlign w:val="center"/>
            <w:textDirection w:val="lrTb"/>
            <w:noWrap w:val="false"/>
          </w:tcPr>
          <w:p>
            <w:pPr>
              <w:jc w:val="center"/>
              <w:widowControl/>
              <w:rPr>
                <w:sz w:val="20"/>
                <w:szCs w:val="20"/>
                <w:lang w:eastAsia="ru-RU"/>
              </w:rPr>
            </w:pPr>
            <w:r>
              <w:rPr>
                <w:sz w:val="20"/>
                <w:szCs w:val="20"/>
              </w:rPr>
              <w:t xml:space="preserve">Котельная д. Фадюшино, ул. Центральная, 50Б</w:t>
            </w:r>
            <w:r>
              <w:rPr>
                <w:sz w:val="20"/>
                <w:szCs w:val="20"/>
                <w:lang w:eastAsia="ru-RU"/>
              </w:rPr>
            </w:r>
            <w:r>
              <w:rPr>
                <w:sz w:val="20"/>
                <w:szCs w:val="20"/>
                <w:lang w:eastAsia="ru-RU"/>
              </w:rPr>
            </w:r>
          </w:p>
        </w:tc>
      </w:tr>
      <w:tr>
        <w:tblPrEx/>
        <w:trPr>
          <w:trHeight w:val="229"/>
        </w:trPr>
        <w:tc>
          <w:tcPr>
            <w:tcBorders>
              <w:top w:val="none" w:color="000000" w:sz="4" w:space="0"/>
              <w:bottom w:val="single" w:color="auto" w:sz="4" w:space="0"/>
            </w:tcBorders>
            <w:tcW w:w="2971" w:type="dxa"/>
            <w:vAlign w:val="center"/>
            <w:textDirection w:val="lrTb"/>
            <w:noWrap w:val="false"/>
          </w:tcPr>
          <w:p>
            <w:pPr>
              <w:jc w:val="center"/>
              <w:widowControl/>
              <w:rPr>
                <w:sz w:val="20"/>
                <w:szCs w:val="20"/>
                <w:lang w:eastAsia="ru-RU"/>
              </w:rPr>
            </w:pPr>
            <w:r>
              <w:rPr>
                <w:sz w:val="20"/>
                <w:szCs w:val="20"/>
                <w:lang w:eastAsia="ru-RU"/>
              </w:rPr>
              <w:t xml:space="preserve">ООО «Арабика»</w:t>
            </w:r>
            <w:r>
              <w:rPr>
                <w:sz w:val="20"/>
                <w:szCs w:val="20"/>
                <w:lang w:eastAsia="ru-RU"/>
              </w:rPr>
            </w:r>
            <w:r>
              <w:rPr>
                <w:sz w:val="20"/>
                <w:szCs w:val="20"/>
                <w:lang w:eastAsia="ru-RU"/>
              </w:rPr>
            </w:r>
          </w:p>
        </w:tc>
        <w:tc>
          <w:tcPr>
            <w:tcBorders>
              <w:top w:val="none" w:color="000000" w:sz="4" w:space="0"/>
              <w:bottom w:val="single" w:color="auto" w:sz="4" w:space="0"/>
            </w:tcBorders>
            <w:tcW w:w="1198" w:type="dxa"/>
            <w:vAlign w:val="center"/>
            <w:textDirection w:val="lrTb"/>
            <w:noWrap w:val="false"/>
          </w:tcPr>
          <w:p>
            <w:pPr>
              <w:jc w:val="center"/>
              <w:widowControl/>
              <w:rPr>
                <w:sz w:val="20"/>
                <w:szCs w:val="20"/>
                <w:lang w:eastAsia="ru-RU"/>
              </w:rPr>
            </w:pPr>
            <w:r>
              <w:rPr>
                <w:sz w:val="20"/>
                <w:szCs w:val="20"/>
                <w:lang w:eastAsia="ru-RU"/>
              </w:rPr>
              <w:t xml:space="preserve">6623095996</w:t>
            </w:r>
            <w:r>
              <w:rPr>
                <w:sz w:val="20"/>
                <w:szCs w:val="20"/>
                <w:lang w:eastAsia="ru-RU"/>
              </w:rPr>
            </w:r>
            <w:r>
              <w:rPr>
                <w:sz w:val="20"/>
                <w:szCs w:val="20"/>
                <w:lang w:eastAsia="ru-RU"/>
              </w:rPr>
            </w:r>
          </w:p>
        </w:tc>
        <w:tc>
          <w:tcPr>
            <w:tcBorders>
              <w:top w:val="none" w:color="000000" w:sz="4" w:space="0"/>
              <w:bottom w:val="single" w:color="auto" w:sz="4" w:space="0"/>
            </w:tcBorders>
            <w:tcW w:w="2916" w:type="dxa"/>
            <w:vAlign w:val="center"/>
            <w:textDirection w:val="lrTb"/>
            <w:noWrap w:val="false"/>
          </w:tcPr>
          <w:p>
            <w:pPr>
              <w:jc w:val="center"/>
              <w:widowControl/>
              <w:rPr>
                <w:sz w:val="20"/>
                <w:szCs w:val="20"/>
                <w:lang w:eastAsia="ru-RU"/>
              </w:rPr>
            </w:pPr>
            <w:r>
              <w:rPr>
                <w:sz w:val="20"/>
                <w:szCs w:val="20"/>
              </w:rPr>
              <w:t xml:space="preserve">641200, Курганская область, Юргамышский район, рабочий поселок Юргамыш, ул. Мира, д. 58, офис 4</w:t>
            </w:r>
            <w:r>
              <w:rPr>
                <w:sz w:val="20"/>
                <w:szCs w:val="20"/>
                <w:lang w:eastAsia="ru-RU"/>
              </w:rPr>
            </w:r>
            <w:r>
              <w:rPr>
                <w:sz w:val="20"/>
                <w:szCs w:val="20"/>
                <w:lang w:eastAsia="ru-RU"/>
              </w:rPr>
            </w:r>
          </w:p>
        </w:tc>
        <w:tc>
          <w:tcPr>
            <w:tcBorders>
              <w:bottom w:val="single" w:color="auto" w:sz="4" w:space="0"/>
            </w:tcBorders>
            <w:tcW w:w="2693" w:type="dxa"/>
            <w:vAlign w:val="center"/>
            <w:textDirection w:val="lrTb"/>
            <w:noWrap w:val="false"/>
          </w:tcPr>
          <w:p>
            <w:pPr>
              <w:jc w:val="center"/>
              <w:widowControl/>
              <w:rPr>
                <w:sz w:val="20"/>
                <w:szCs w:val="20"/>
                <w:lang w:eastAsia="ru-RU"/>
              </w:rPr>
            </w:pPr>
            <w:r>
              <w:rPr>
                <w:sz w:val="20"/>
                <w:szCs w:val="20"/>
              </w:rPr>
              <w:t xml:space="preserve">Котельная </w:t>
            </w:r>
            <w:r>
              <w:rPr>
                <w:sz w:val="20"/>
                <w:szCs w:val="20"/>
                <w:lang w:eastAsia="ru-RU"/>
              </w:rPr>
              <w:t xml:space="preserve">с.М.Белое, ул.Школьная, 2А</w:t>
            </w:r>
            <w:r>
              <w:rPr>
                <w:sz w:val="20"/>
                <w:szCs w:val="20"/>
                <w:lang w:eastAsia="ru-RU"/>
              </w:rPr>
            </w:r>
            <w:r>
              <w:rPr>
                <w:sz w:val="20"/>
                <w:szCs w:val="20"/>
                <w:lang w:eastAsia="ru-RU"/>
              </w:rPr>
            </w:r>
          </w:p>
        </w:tc>
      </w:tr>
      <w:tr>
        <w:tblPrEx/>
        <w:trPr>
          <w:trHeight w:val="229"/>
        </w:trPr>
        <w:tc>
          <w:tcPr>
            <w:tcBorders>
              <w:top w:val="single" w:color="auto" w:sz="4" w:space="0"/>
              <w:left w:val="single" w:color="auto" w:sz="4" w:space="0"/>
              <w:bottom w:val="single" w:color="auto" w:sz="4" w:space="0"/>
              <w:right w:val="single" w:color="auto" w:sz="4" w:space="0"/>
            </w:tcBorders>
            <w:tcW w:w="2971" w:type="dxa"/>
            <w:vAlign w:val="center"/>
            <w:textDirection w:val="lrTb"/>
            <w:noWrap w:val="false"/>
          </w:tcPr>
          <w:p>
            <w:pPr>
              <w:jc w:val="center"/>
              <w:widowControl/>
              <w:rPr>
                <w:sz w:val="20"/>
                <w:szCs w:val="20"/>
                <w:lang w:eastAsia="ru-RU"/>
              </w:rPr>
            </w:pPr>
            <w:r>
              <w:rPr>
                <w:sz w:val="20"/>
                <w:szCs w:val="20"/>
                <w:lang w:eastAsia="ru-RU"/>
              </w:rPr>
              <w:t xml:space="preserve">ООО «Арабика»</w:t>
            </w:r>
            <w:r>
              <w:rPr>
                <w:sz w:val="20"/>
                <w:szCs w:val="20"/>
                <w:lang w:eastAsia="ru-RU"/>
              </w:rPr>
            </w:r>
            <w:r>
              <w:rPr>
                <w:sz w:val="20"/>
                <w:szCs w:val="20"/>
                <w:lang w:eastAsia="ru-RU"/>
              </w:rPr>
            </w:r>
          </w:p>
        </w:tc>
        <w:tc>
          <w:tcPr>
            <w:tcBorders>
              <w:top w:val="single" w:color="auto" w:sz="4" w:space="0"/>
              <w:left w:val="single" w:color="auto" w:sz="4" w:space="0"/>
              <w:bottom w:val="single" w:color="auto" w:sz="4" w:space="0"/>
              <w:right w:val="single" w:color="auto" w:sz="4" w:space="0"/>
            </w:tcBorders>
            <w:tcW w:w="1198" w:type="dxa"/>
            <w:vAlign w:val="center"/>
            <w:textDirection w:val="lrTb"/>
            <w:noWrap w:val="false"/>
          </w:tcPr>
          <w:p>
            <w:pPr>
              <w:jc w:val="center"/>
              <w:widowControl/>
              <w:rPr>
                <w:sz w:val="20"/>
                <w:szCs w:val="20"/>
                <w:lang w:eastAsia="ru-RU"/>
              </w:rPr>
            </w:pPr>
            <w:r>
              <w:rPr>
                <w:sz w:val="20"/>
                <w:szCs w:val="20"/>
                <w:lang w:eastAsia="ru-RU"/>
              </w:rPr>
              <w:t xml:space="preserve">6623095996</w:t>
            </w:r>
            <w:r>
              <w:rPr>
                <w:sz w:val="20"/>
                <w:szCs w:val="20"/>
                <w:lang w:eastAsia="ru-RU"/>
              </w:rPr>
            </w:r>
            <w:r>
              <w:rPr>
                <w:sz w:val="20"/>
                <w:szCs w:val="20"/>
                <w:lang w:eastAsia="ru-RU"/>
              </w:rPr>
            </w:r>
          </w:p>
        </w:tc>
        <w:tc>
          <w:tcPr>
            <w:tcBorders>
              <w:top w:val="single" w:color="auto" w:sz="4" w:space="0"/>
              <w:left w:val="single" w:color="auto" w:sz="4" w:space="0"/>
              <w:bottom w:val="single" w:color="auto" w:sz="4" w:space="0"/>
              <w:right w:val="single" w:color="auto" w:sz="4" w:space="0"/>
            </w:tcBorders>
            <w:tcW w:w="2916" w:type="dxa"/>
            <w:vAlign w:val="center"/>
            <w:textDirection w:val="lrTb"/>
            <w:noWrap w:val="false"/>
          </w:tcPr>
          <w:p>
            <w:pPr>
              <w:jc w:val="center"/>
              <w:widowControl/>
              <w:rPr>
                <w:sz w:val="20"/>
                <w:szCs w:val="20"/>
                <w:lang w:eastAsia="ru-RU"/>
              </w:rPr>
            </w:pPr>
            <w:r>
              <w:rPr>
                <w:sz w:val="20"/>
                <w:szCs w:val="20"/>
              </w:rPr>
              <w:t xml:space="preserve">641200, Курганская область, Юргамышский район, рабочий поселок Юргамыш, ул. Мира, д. 58, офис 4</w:t>
            </w:r>
            <w:r>
              <w:rPr>
                <w:sz w:val="20"/>
                <w:szCs w:val="20"/>
                <w:lang w:eastAsia="ru-RU"/>
              </w:rPr>
            </w:r>
            <w:r>
              <w:rPr>
                <w:sz w:val="20"/>
                <w:szCs w:val="20"/>
                <w:lang w:eastAsia="ru-RU"/>
              </w:rPr>
            </w:r>
          </w:p>
        </w:tc>
        <w:tc>
          <w:tcPr>
            <w:tcBorders>
              <w:top w:val="single" w:color="auto" w:sz="4" w:space="0"/>
              <w:left w:val="single" w:color="auto" w:sz="4" w:space="0"/>
              <w:bottom w:val="single" w:color="auto" w:sz="4" w:space="0"/>
              <w:right w:val="single" w:color="auto" w:sz="4" w:space="0"/>
            </w:tcBorders>
            <w:tcW w:w="2693" w:type="dxa"/>
            <w:vAlign w:val="center"/>
            <w:textDirection w:val="lrTb"/>
            <w:noWrap w:val="false"/>
          </w:tcPr>
          <w:p>
            <w:pPr>
              <w:jc w:val="center"/>
              <w:widowControl/>
              <w:rPr>
                <w:sz w:val="20"/>
                <w:szCs w:val="20"/>
                <w:lang w:eastAsia="ru-RU"/>
              </w:rPr>
            </w:pPr>
            <w:r>
              <w:rPr>
                <w:sz w:val="20"/>
                <w:szCs w:val="20"/>
              </w:rPr>
              <w:t xml:space="preserve">Котельная </w:t>
            </w:r>
            <w:r>
              <w:rPr>
                <w:sz w:val="20"/>
                <w:szCs w:val="20"/>
                <w:lang w:eastAsia="ru-RU"/>
              </w:rPr>
              <w:t xml:space="preserve">с.М.Белое, ул.Школьная, 2Б</w:t>
            </w:r>
            <w:r>
              <w:rPr>
                <w:sz w:val="20"/>
                <w:szCs w:val="20"/>
                <w:lang w:eastAsia="ru-RU"/>
              </w:rPr>
            </w:r>
            <w:r>
              <w:rPr>
                <w:sz w:val="20"/>
                <w:szCs w:val="20"/>
                <w:lang w:eastAsia="ru-RU"/>
              </w:rPr>
            </w:r>
          </w:p>
        </w:tc>
      </w:tr>
    </w:tbl>
    <w:p>
      <w:pPr>
        <w:pStyle w:val="1247"/>
        <w:ind w:firstLine="851"/>
        <w:spacing w:before="2"/>
      </w:pPr>
      <w:r/>
      <w:r/>
    </w:p>
    <w:p>
      <w:pPr>
        <w:pStyle w:val="1248"/>
        <w:ind w:right="110" w:firstLine="733"/>
        <w:spacing w:before="0"/>
      </w:pPr>
      <w:r/>
      <w:bookmarkStart w:id="664" w:name="_bookmark345"/>
      <w:r/>
      <w:bookmarkStart w:id="665" w:name="_Toc130232080"/>
      <w:r/>
      <w:bookmarkStart w:id="666" w:name="_Toc165540859"/>
      <w:r/>
      <w:bookmarkEnd w:id="664"/>
      <w:r>
        <w:rPr>
          <w:lang w:eastAsia="ru-RU"/>
        </w:rPr>
        <w:t xml:space="preserve">15.3 </w:t>
      </w:r>
      <w:r>
        <w:t xml:space="preserve">Основания, в том числе критерии, в соответствии с которыми теплоснабжающей</w:t>
      </w:r>
      <w:r>
        <w:rPr>
          <w:spacing w:val="-10"/>
        </w:rPr>
        <w:t xml:space="preserve"> </w:t>
      </w:r>
      <w:r>
        <w:t xml:space="preserve">организации</w:t>
      </w:r>
      <w:r>
        <w:rPr>
          <w:spacing w:val="-8"/>
        </w:rPr>
        <w:t xml:space="preserve"> </w:t>
      </w:r>
      <w:r>
        <w:t xml:space="preserve">присвоен</w:t>
      </w:r>
      <w:r>
        <w:rPr>
          <w:spacing w:val="-7"/>
        </w:rPr>
        <w:t xml:space="preserve"> </w:t>
      </w:r>
      <w:r>
        <w:t xml:space="preserve">статус</w:t>
      </w:r>
      <w:r>
        <w:rPr>
          <w:spacing w:val="-10"/>
        </w:rPr>
        <w:t xml:space="preserve"> </w:t>
      </w:r>
      <w:r>
        <w:t xml:space="preserve">единой</w:t>
      </w:r>
      <w:r>
        <w:rPr>
          <w:spacing w:val="-10"/>
        </w:rPr>
        <w:t xml:space="preserve"> </w:t>
      </w:r>
      <w:r>
        <w:t xml:space="preserve">теплоснабжающей</w:t>
      </w:r>
      <w:r>
        <w:rPr>
          <w:spacing w:val="-7"/>
        </w:rPr>
        <w:t xml:space="preserve"> </w:t>
      </w:r>
      <w:r>
        <w:rPr>
          <w:spacing w:val="-2"/>
        </w:rPr>
        <w:t xml:space="preserve">организации</w:t>
      </w:r>
      <w:bookmarkEnd w:id="665"/>
      <w:r/>
      <w:bookmarkEnd w:id="666"/>
      <w:r/>
      <w:r/>
    </w:p>
    <w:p>
      <w:pPr>
        <w:pStyle w:val="1247"/>
        <w:ind w:left="826"/>
        <w:jc w:val="both"/>
        <w:spacing w:before="116"/>
      </w:pPr>
      <w:r>
        <w:t xml:space="preserve">Критериями</w:t>
      </w:r>
      <w:r>
        <w:rPr>
          <w:spacing w:val="-5"/>
        </w:rPr>
        <w:t xml:space="preserve"> </w:t>
      </w:r>
      <w:r>
        <w:t xml:space="preserve">определения</w:t>
      </w:r>
      <w:r>
        <w:rPr>
          <w:spacing w:val="-3"/>
        </w:rPr>
        <w:t xml:space="preserve"> </w:t>
      </w:r>
      <w:r>
        <w:t xml:space="preserve">единой</w:t>
      </w:r>
      <w:r>
        <w:rPr>
          <w:spacing w:val="-3"/>
        </w:rPr>
        <w:t xml:space="preserve"> </w:t>
      </w:r>
      <w:r>
        <w:t xml:space="preserve">теплоснабжающей</w:t>
      </w:r>
      <w:r>
        <w:rPr>
          <w:spacing w:val="-3"/>
        </w:rPr>
        <w:t xml:space="preserve"> </w:t>
      </w:r>
      <w:r>
        <w:t xml:space="preserve">организации</w:t>
      </w:r>
      <w:r>
        <w:rPr>
          <w:spacing w:val="-3"/>
        </w:rPr>
        <w:t xml:space="preserve"> </w:t>
      </w:r>
      <w:r>
        <w:rPr>
          <w:spacing w:val="-2"/>
        </w:rPr>
        <w:t xml:space="preserve">являются:</w:t>
      </w:r>
      <w:r/>
    </w:p>
    <w:p>
      <w:pPr>
        <w:pStyle w:val="1250"/>
        <w:numPr>
          <w:ilvl w:val="0"/>
          <w:numId w:val="3"/>
        </w:numPr>
        <w:ind w:right="104" w:firstLine="707"/>
        <w:tabs>
          <w:tab w:val="left" w:pos="1053" w:leader="none"/>
        </w:tabs>
        <w:rPr>
          <w:sz w:val="24"/>
        </w:rPr>
      </w:pPr>
      <w:r>
        <w:rPr>
          <w:sz w:val="24"/>
        </w:rPr>
        <w:t xml:space="preserve">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w:t>
      </w:r>
      <w:r>
        <w:rPr>
          <w:spacing w:val="-8"/>
          <w:sz w:val="24"/>
        </w:rPr>
        <w:t xml:space="preserve"> </w:t>
      </w:r>
      <w:r>
        <w:rPr>
          <w:sz w:val="24"/>
        </w:rPr>
        <w:t xml:space="preserve">рабочей</w:t>
      </w:r>
      <w:r>
        <w:rPr>
          <w:spacing w:val="-8"/>
          <w:sz w:val="24"/>
        </w:rPr>
        <w:t xml:space="preserve"> </w:t>
      </w:r>
      <w:r>
        <w:rPr>
          <w:sz w:val="24"/>
        </w:rPr>
        <w:t xml:space="preserve">тепловой</w:t>
      </w:r>
      <w:r>
        <w:rPr>
          <w:spacing w:val="-8"/>
          <w:sz w:val="24"/>
        </w:rPr>
        <w:t xml:space="preserve"> </w:t>
      </w:r>
      <w:r>
        <w:rPr>
          <w:sz w:val="24"/>
        </w:rPr>
        <w:t xml:space="preserve">мощностью</w:t>
      </w:r>
      <w:r>
        <w:rPr>
          <w:spacing w:val="-8"/>
          <w:sz w:val="24"/>
        </w:rPr>
        <w:t xml:space="preserve"> </w:t>
      </w:r>
      <w:r>
        <w:rPr>
          <w:sz w:val="24"/>
        </w:rPr>
        <w:t xml:space="preserve">и</w:t>
      </w:r>
      <w:r>
        <w:rPr>
          <w:spacing w:val="-10"/>
          <w:sz w:val="24"/>
        </w:rPr>
        <w:t xml:space="preserve"> </w:t>
      </w:r>
      <w:r>
        <w:rPr>
          <w:sz w:val="24"/>
        </w:rPr>
        <w:t xml:space="preserve">(или)</w:t>
      </w:r>
      <w:r>
        <w:rPr>
          <w:spacing w:val="-9"/>
          <w:sz w:val="24"/>
        </w:rPr>
        <w:t xml:space="preserve"> </w:t>
      </w:r>
      <w:r>
        <w:rPr>
          <w:sz w:val="24"/>
        </w:rPr>
        <w:t xml:space="preserve">тепловыми</w:t>
      </w:r>
      <w:r>
        <w:rPr>
          <w:spacing w:val="-8"/>
          <w:sz w:val="24"/>
        </w:rPr>
        <w:t xml:space="preserve"> </w:t>
      </w:r>
      <w:r>
        <w:rPr>
          <w:sz w:val="24"/>
        </w:rPr>
        <w:t xml:space="preserve">сетями</w:t>
      </w:r>
      <w:r>
        <w:rPr>
          <w:spacing w:val="-8"/>
          <w:sz w:val="24"/>
        </w:rPr>
        <w:t xml:space="preserve"> </w:t>
      </w:r>
      <w:r>
        <w:rPr>
          <w:sz w:val="24"/>
        </w:rPr>
        <w:t xml:space="preserve">с</w:t>
      </w:r>
      <w:r>
        <w:rPr>
          <w:spacing w:val="-9"/>
          <w:sz w:val="24"/>
        </w:rPr>
        <w:t xml:space="preserve"> </w:t>
      </w:r>
      <w:r>
        <w:rPr>
          <w:sz w:val="24"/>
        </w:rPr>
        <w:t xml:space="preserve">наибольшей</w:t>
      </w:r>
      <w:r>
        <w:rPr>
          <w:spacing w:val="-10"/>
          <w:sz w:val="24"/>
        </w:rPr>
        <w:t xml:space="preserve"> </w:t>
      </w:r>
      <w:r>
        <w:rPr>
          <w:sz w:val="24"/>
        </w:rPr>
        <w:t xml:space="preserve">ёмкостью в границах зоны деятельности единой теплоснабжающей организации;</w:t>
      </w:r>
      <w:r>
        <w:rPr>
          <w:sz w:val="24"/>
        </w:rPr>
      </w:r>
      <w:r>
        <w:rPr>
          <w:sz w:val="24"/>
        </w:rPr>
      </w:r>
    </w:p>
    <w:p>
      <w:pPr>
        <w:pStyle w:val="1250"/>
        <w:numPr>
          <w:ilvl w:val="0"/>
          <w:numId w:val="3"/>
        </w:numPr>
        <w:ind w:left="966"/>
        <w:tabs>
          <w:tab w:val="left" w:pos="966" w:leader="none"/>
        </w:tabs>
        <w:rPr>
          <w:sz w:val="24"/>
        </w:rPr>
      </w:pPr>
      <w:r>
        <w:rPr>
          <w:sz w:val="24"/>
        </w:rPr>
        <w:t xml:space="preserve">размер</w:t>
      </w:r>
      <w:r>
        <w:rPr>
          <w:spacing w:val="-13"/>
          <w:sz w:val="24"/>
        </w:rPr>
        <w:t xml:space="preserve"> </w:t>
      </w:r>
      <w:r>
        <w:rPr>
          <w:sz w:val="24"/>
        </w:rPr>
        <w:t xml:space="preserve">собственного</w:t>
      </w:r>
      <w:r>
        <w:rPr>
          <w:spacing w:val="-13"/>
          <w:sz w:val="24"/>
        </w:rPr>
        <w:t xml:space="preserve"> </w:t>
      </w:r>
      <w:r>
        <w:rPr>
          <w:spacing w:val="-2"/>
          <w:sz w:val="24"/>
        </w:rPr>
        <w:t xml:space="preserve">капитала;</w:t>
      </w:r>
      <w:r>
        <w:rPr>
          <w:sz w:val="24"/>
        </w:rPr>
      </w:r>
      <w:r>
        <w:rPr>
          <w:sz w:val="24"/>
        </w:rPr>
      </w:r>
    </w:p>
    <w:p>
      <w:pPr>
        <w:pStyle w:val="1250"/>
        <w:numPr>
          <w:ilvl w:val="0"/>
          <w:numId w:val="3"/>
        </w:numPr>
        <w:ind w:left="1162" w:hanging="337"/>
        <w:tabs>
          <w:tab w:val="left" w:pos="1163" w:leader="none"/>
        </w:tabs>
        <w:rPr>
          <w:sz w:val="24"/>
        </w:rPr>
      </w:pPr>
      <w:r>
        <w:rPr>
          <w:sz w:val="24"/>
        </w:rPr>
        <w:t xml:space="preserve">способность</w:t>
      </w:r>
      <w:r>
        <w:rPr>
          <w:spacing w:val="61"/>
          <w:sz w:val="24"/>
        </w:rPr>
        <w:t xml:space="preserve">  </w:t>
      </w:r>
      <w:r>
        <w:rPr>
          <w:sz w:val="24"/>
        </w:rPr>
        <w:t xml:space="preserve">в</w:t>
      </w:r>
      <w:r>
        <w:rPr>
          <w:spacing w:val="60"/>
          <w:sz w:val="24"/>
        </w:rPr>
        <w:t xml:space="preserve">  </w:t>
      </w:r>
      <w:r>
        <w:rPr>
          <w:sz w:val="24"/>
        </w:rPr>
        <w:t xml:space="preserve">лучшей</w:t>
      </w:r>
      <w:r>
        <w:rPr>
          <w:spacing w:val="61"/>
          <w:sz w:val="24"/>
        </w:rPr>
        <w:t xml:space="preserve">  </w:t>
      </w:r>
      <w:r>
        <w:rPr>
          <w:sz w:val="24"/>
        </w:rPr>
        <w:t xml:space="preserve">мере</w:t>
      </w:r>
      <w:r>
        <w:rPr>
          <w:spacing w:val="60"/>
          <w:sz w:val="24"/>
        </w:rPr>
        <w:t xml:space="preserve">  </w:t>
      </w:r>
      <w:r>
        <w:rPr>
          <w:sz w:val="24"/>
        </w:rPr>
        <w:t xml:space="preserve">обеспечить</w:t>
      </w:r>
      <w:r>
        <w:rPr>
          <w:spacing w:val="60"/>
          <w:sz w:val="24"/>
        </w:rPr>
        <w:t xml:space="preserve">  </w:t>
      </w:r>
      <w:r>
        <w:rPr>
          <w:sz w:val="24"/>
        </w:rPr>
        <w:t xml:space="preserve">надёжность</w:t>
      </w:r>
      <w:r>
        <w:rPr>
          <w:spacing w:val="62"/>
          <w:sz w:val="24"/>
        </w:rPr>
        <w:t xml:space="preserve">  </w:t>
      </w:r>
      <w:r>
        <w:rPr>
          <w:sz w:val="24"/>
        </w:rPr>
        <w:t xml:space="preserve">теплоснабжения</w:t>
      </w:r>
      <w:r>
        <w:rPr>
          <w:spacing w:val="60"/>
          <w:sz w:val="24"/>
        </w:rPr>
        <w:t xml:space="preserve">  </w:t>
      </w:r>
      <w:r>
        <w:rPr>
          <w:spacing w:val="-10"/>
          <w:sz w:val="24"/>
        </w:rPr>
        <w:t xml:space="preserve">в</w:t>
      </w:r>
      <w:r>
        <w:rPr>
          <w:sz w:val="24"/>
        </w:rPr>
      </w:r>
      <w:r>
        <w:rPr>
          <w:sz w:val="24"/>
        </w:rPr>
      </w:r>
    </w:p>
    <w:p>
      <w:pPr>
        <w:pStyle w:val="1247"/>
      </w:pPr>
      <w:r>
        <w:t xml:space="preserve">соответствующей</w:t>
      </w:r>
      <w:r>
        <w:rPr>
          <w:spacing w:val="-4"/>
        </w:rPr>
        <w:t xml:space="preserve"> </w:t>
      </w:r>
      <w:r>
        <w:t xml:space="preserve">системе</w:t>
      </w:r>
      <w:r>
        <w:rPr>
          <w:spacing w:val="-4"/>
        </w:rPr>
        <w:t xml:space="preserve"> </w:t>
      </w:r>
      <w:r>
        <w:rPr>
          <w:spacing w:val="-2"/>
        </w:rPr>
        <w:t xml:space="preserve">теплоснабжения.</w:t>
      </w:r>
      <w:r/>
    </w:p>
    <w:p>
      <w:pPr>
        <w:pStyle w:val="1247"/>
        <w:spacing w:before="7"/>
        <w:rPr>
          <w:sz w:val="16"/>
        </w:rPr>
      </w:pPr>
      <w:r>
        <w:rPr>
          <w:sz w:val="16"/>
        </w:rPr>
      </w:r>
      <w:r>
        <w:rPr>
          <w:sz w:val="16"/>
        </w:rPr>
      </w:r>
      <w:r>
        <w:rPr>
          <w:sz w:val="16"/>
        </w:rPr>
      </w:r>
    </w:p>
    <w:p>
      <w:pPr>
        <w:pStyle w:val="1248"/>
        <w:ind w:right="111" w:firstLine="733"/>
      </w:pPr>
      <w:r/>
      <w:bookmarkStart w:id="667" w:name="_bookmark346"/>
      <w:r/>
      <w:bookmarkStart w:id="668" w:name="_Toc130232081"/>
      <w:r/>
      <w:bookmarkStart w:id="669" w:name="_Toc165540860"/>
      <w:r/>
      <w:bookmarkEnd w:id="667"/>
      <w:r>
        <w:rPr>
          <w:lang w:eastAsia="ru-RU"/>
        </w:rPr>
        <w:t xml:space="preserve">15.4 </w:t>
      </w:r>
      <w:r>
        <w:t xml:space="preserve">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bookmarkEnd w:id="668"/>
      <w:r/>
      <w:bookmarkEnd w:id="669"/>
      <w:r/>
      <w:r/>
    </w:p>
    <w:p>
      <w:pPr>
        <w:pStyle w:val="1247"/>
        <w:ind w:left="118" w:right="110" w:firstLine="707"/>
        <w:jc w:val="both"/>
        <w:spacing w:before="116"/>
      </w:pPr>
      <w:r>
        <w:t xml:space="preserve">На основании критериев определения единой теплоснабжающей   организации, устан</w:t>
      </w:r>
      <w:r>
        <w:t xml:space="preserve">овленных Постановлением РФ от 08.08.2012 № 808 "Об организации теплоснабжения в Российской Федерации», Постановлением Администрации Юргамышского муниципального округа Курганской области от 20.10.2023 №676 присвоен статус единой теплоснабжающей организации:</w:t>
      </w:r>
      <w:r/>
    </w:p>
    <w:p>
      <w:pPr>
        <w:pStyle w:val="1247"/>
        <w:ind w:left="119" w:right="108" w:firstLine="709"/>
        <w:jc w:val="both"/>
      </w:pPr>
      <w:r>
        <w:t xml:space="preserve">- ООО «ЮТЭК» в границах охватывающих территорию кадастрового квартала 45:24:020105: ул. Кирова, ул. Ленина, ул. Советская, ул. Мира и пер. Карпова р.п.Юргамыш;</w:t>
      </w:r>
      <w:r/>
    </w:p>
    <w:p>
      <w:pPr>
        <w:pStyle w:val="1247"/>
        <w:ind w:left="119" w:right="108" w:firstLine="709"/>
        <w:jc w:val="both"/>
      </w:pPr>
      <w:r>
        <w:t xml:space="preserve">- Южно-Уральская дирекция по тепловодоснабжению – СП Ц</w:t>
      </w:r>
      <w:r>
        <w:t xml:space="preserve">ДТВ - филиала ОАО "РЖД" в зоне действия СЦТ железнодорожной котельной р.п. Юргамыш (ОАО «РЖД») охватывающей территорию, являющуюся частью кадастровых кварталов 45:24:020109, 45:24:020110: ул. Пристанционная, ул. Свердлова и ул. Железнодорожная р.п.Юргамыш;</w:t>
      </w:r>
      <w:r/>
    </w:p>
    <w:p>
      <w:pPr>
        <w:pStyle w:val="1247"/>
        <w:ind w:left="119" w:right="108" w:firstLine="709"/>
        <w:jc w:val="both"/>
      </w:pPr>
      <w:r>
        <w:t xml:space="preserve">- ФКУ ИК-7 УФСИН России  по Курганской области охватывающей территорию, являющуюся частью кадастровых кварталов 45:24:020102 ул. Труда р.п.Юргамыш;</w:t>
      </w:r>
      <w:r/>
    </w:p>
    <w:p>
      <w:pPr>
        <w:pStyle w:val="1247"/>
        <w:ind w:left="119" w:right="108" w:firstLine="709"/>
        <w:jc w:val="both"/>
      </w:pPr>
      <w:r>
        <w:t xml:space="preserve"> - ООО «Арабика» в границах охватывающих территорию кадастрового квартала 45:24:012202 с. Малое Белое Юргамышского района;</w:t>
      </w:r>
      <w:r/>
    </w:p>
    <w:p>
      <w:pPr>
        <w:pStyle w:val="1247"/>
        <w:ind w:left="119" w:right="108" w:firstLine="709"/>
        <w:jc w:val="both"/>
      </w:pPr>
      <w:r>
        <w:t xml:space="preserve">- ООО «КурганТеп</w:t>
      </w:r>
      <w:r>
        <w:t xml:space="preserve">ло» в границах охватывающих территорию кадастровых кварталов: 45:24:6012003, 45:24:0100503, 45:24:030802, 45:24:011002 в с. Караси, с. Губерля, с. Горохово, с. Кипель, с. Скоблино, с. Фадюшино, с. Гагарье, с. Вилкино, с. Красный Уралец Юргамышского района;</w:t>
      </w:r>
      <w:r/>
    </w:p>
    <w:p>
      <w:pPr>
        <w:pStyle w:val="1247"/>
        <w:ind w:left="119" w:right="108" w:firstLine="709"/>
        <w:jc w:val="both"/>
      </w:pPr>
      <w:r>
        <w:t xml:space="preserve"> - ООО «ЖКХ Юго-Запад» в границах охватывающих территорию кадастровых кварталов 45:24:020105, 45:24:020105 на территории р.п.Юргамыш, 45:24:011303 в с. Кислянское, 45:24:011303 в с. Чинеево.</w:t>
      </w:r>
      <w:r/>
    </w:p>
    <w:p>
      <w:pPr>
        <w:pStyle w:val="1247"/>
        <w:ind w:left="118" w:right="110" w:firstLine="707"/>
        <w:jc w:val="both"/>
        <w:spacing w:before="116"/>
      </w:pPr>
      <w:r/>
      <w:r/>
    </w:p>
    <w:p>
      <w:pPr>
        <w:pStyle w:val="1248"/>
        <w:ind w:right="112" w:firstLine="733"/>
      </w:pPr>
      <w:r/>
      <w:bookmarkStart w:id="670" w:name="_bookmark347"/>
      <w:r/>
      <w:bookmarkStart w:id="671" w:name="_Toc130232082"/>
      <w:r/>
      <w:bookmarkStart w:id="672" w:name="_Toc165540861"/>
      <w:r/>
      <w:bookmarkEnd w:id="670"/>
      <w:r>
        <w:rPr>
          <w:lang w:eastAsia="ru-RU"/>
        </w:rPr>
        <w:t xml:space="preserve">15.5 </w:t>
      </w:r>
      <w:r>
        <w:t xml:space="preserve">Описание границ зон деятельности единой теплоснабжающей организации </w:t>
      </w:r>
      <w:r>
        <w:rPr>
          <w:spacing w:val="-2"/>
        </w:rPr>
        <w:t xml:space="preserve">(организаций)</w:t>
      </w:r>
      <w:bookmarkEnd w:id="671"/>
      <w:r/>
      <w:bookmarkEnd w:id="672"/>
      <w:r/>
      <w:r/>
    </w:p>
    <w:p>
      <w:pPr>
        <w:pStyle w:val="1247"/>
        <w:ind w:left="119" w:right="129" w:firstLine="709"/>
        <w:jc w:val="both"/>
        <w:spacing w:before="120"/>
      </w:pPr>
      <w:r>
        <w:t xml:space="preserve">Централизованным теплоснабжением обеспечены частично объекты социальной сферы и многоквартирный жилфонд.</w:t>
      </w:r>
      <w:r/>
    </w:p>
    <w:p>
      <w:pPr>
        <w:pStyle w:val="1247"/>
        <w:ind w:left="119" w:right="129" w:firstLine="709"/>
        <w:jc w:val="both"/>
      </w:pPr>
      <w:r>
        <w:t xml:space="preserve">Существующие четыре зоны действия централизованных источников тепловой энергии совпадают с зонами действия тепловых сетей, три из которых расположены в р.п. Юргамыш и один – в п. Новый Мир.</w:t>
      </w:r>
      <w:r/>
    </w:p>
    <w:p>
      <w:pPr>
        <w:pStyle w:val="1247"/>
        <w:ind w:left="119" w:right="129" w:firstLine="709"/>
        <w:jc w:val="both"/>
      </w:pPr>
      <w:r>
        <w:t xml:space="preserve">Зона действия централизован</w:t>
      </w:r>
      <w:r>
        <w:t xml:space="preserve">ной котельной п. Новый Мир охватывает всю территорию поселка и часть предприятия ЛДСП «Юргамыш». К системе теплоснабжения подключены 197 жилых объектов: 63 многоквартирных дома, в т.ч. 17 многоэтажных, 4- шестиквартирных, 2- трехквартирных и 40- двухкварти</w:t>
      </w:r>
      <w:r>
        <w:t xml:space="preserve">рных, а также индивидуальные дома, в том числе вагончики, и объекты соцкульт-быта: библиотека, музыкальная школа, медпункт, Сбербанк, отделение почты России, детский сад, школа, ДК, профилакторий, восемь магазинов, теплопункт, шиномонтажная, контора домоуп</w:t>
      </w:r>
      <w:r>
        <w:t xml:space="preserve">равления, жилой комплекс (Колев В.М.), и объекты ЛПДС «Юргамыш»: жилой дом, пункт размещения бригад, КПП, КНУ, склад, топливная насосная, насосная III подъема, технологические объекты (2×ГРС80). Наиболее удаленный потребитель – жилой дом по пер. Цветочный.</w:t>
      </w:r>
      <w:r/>
    </w:p>
    <w:p>
      <w:pPr>
        <w:pStyle w:val="1247"/>
        <w:ind w:left="119" w:right="129" w:firstLine="709"/>
        <w:jc w:val="both"/>
      </w:pPr>
      <w:r>
        <w:t xml:space="preserve">Зона действия железнодорожной котельной р.п. Юргамыш (Южно-Уральская дирекция по тепловодоснабжению – СП ЦДТВ - филиала ОАО "РЖД") охватывает территорию, являющуюся частью кадастровых кварталов 45:24:020109, 45:24:020110: ул. Пристанционная, ул. Свер</w:t>
      </w:r>
      <w:r>
        <w:t xml:space="preserve">длова и ул. Железнодорожная. К системе теплоснабжения подключены объекты железнодорожной инфраструктуры (производственные нужды ОАО «РЖД») и пять жилых многоквартирных домов. Наиболее удаленный потребитель – жилой дом, расположенный по ул. Железнодорожная.</w:t>
      </w:r>
      <w:r/>
    </w:p>
    <w:p>
      <w:pPr>
        <w:pStyle w:val="1247"/>
        <w:ind w:left="119" w:right="129" w:firstLine="709"/>
        <w:jc w:val="both"/>
      </w:pPr>
      <w:r>
        <w:t xml:space="preserve">Зона действия централизованной котельной ФКУ ИК №7 УФСИН России по Курганской области охватывает территорию кадастрового квартала </w:t>
      </w:r>
      <w:r>
        <w:rPr>
          <w:rFonts w:ascii="Liberation Serif" w:hAnsi="Liberation Serif" w:cs="Liberation Serif"/>
          <w:color w:val="333333"/>
          <w:shd w:val="clear" w:color="auto" w:fill="ffffff"/>
        </w:rPr>
        <w:t xml:space="preserve">45:24:020102:</w:t>
      </w:r>
      <w:r>
        <w:t xml:space="preserve"> МЧС и его здания, детский сад, жилые дома по ул. Ленина и ул. Труда.</w:t>
      </w:r>
      <w:r/>
    </w:p>
    <w:p>
      <w:pPr>
        <w:pStyle w:val="1247"/>
        <w:ind w:left="119" w:right="129" w:firstLine="709"/>
        <w:jc w:val="both"/>
      </w:pPr>
      <w:r>
        <w:t xml:space="preserve">Зона действия централизованной котельной р.п. Юргамыш, ул. Ленина, 47а охватывает территорию кадастрового квартала 45:24:020105: ул. Кирова, ул. Ленина, ул. Со</w:t>
      </w:r>
      <w:r>
        <w:t xml:space="preserve">ветская, ул. Мира и пер. Карпова. К системе теплоснабжения подключены двадцать восемь многоквартирных и десять индивидуальных домов и объекты соцкультбыта: здание Администрации района, ИФНС № 4, отдел Статистики, Администрации Поссовета, Федерального казна</w:t>
      </w:r>
      <w:r>
        <w:t xml:space="preserve">чейства, ГУ ЦЗН, Госстрах, МОУО, ОФСС, Гостехнадзор, гараж Госстарха, РОВД и три гаража, ГИБДД, Миграционная служба, Вневедомственная охрана, Судебный департамент, Почта России, библиотека, ЦСОН, МОУО, МКДО, ГОУ СПО «МППК», гараж ИФНС № 4, ООО «Вит» (ИП), </w:t>
      </w:r>
      <w:r>
        <w:t xml:space="preserve">«Силуэт» (ИП), ОАО Ростелеком, магазин «Радуга» (ИП), ЗАО «Тандер», ОАО «Аптека», кооператив «Восход», магазины «Диана», «Карандаш», «Гамма», двух ИП. Наиболее удаленные потребители по двум выводам: аптека по пер. Карпова и музыкальная школа по ул. Кирова.</w:t>
      </w:r>
      <w:r/>
    </w:p>
    <w:p>
      <w:pPr>
        <w:pStyle w:val="1247"/>
        <w:ind w:left="119" w:right="89" w:firstLine="709"/>
        <w:jc w:val="both"/>
      </w:pPr>
      <w:r>
        <w:t xml:space="preserve">Эксплуатацию централизо</w:t>
      </w:r>
      <w:r>
        <w:t xml:space="preserve">ванных котельных осуществляют: ЛПДС «Юргамыш», Курганское отделение Южно-Уральской железной дороги-Филиала Открытого Акционерного Общества «Российские железные дороги», ФКУ «ИК №7 Федеральной службы исполнения наказания по Курганской области» и ООО «ЮТЭК».</w:t>
      </w:r>
      <w:r/>
    </w:p>
    <w:p>
      <w:pPr>
        <w:pStyle w:val="1247"/>
        <w:ind w:left="119" w:right="129" w:firstLine="709"/>
        <w:jc w:val="both"/>
      </w:pPr>
      <w:r>
        <w:t xml:space="preserve">Индивидуальное отопление осуществляется от теплоснабжающих устройств без потерь при передаче, так как нет внешних систем транспортировки тепла. Поэтому потребление тепла при теплоснабжении от индивидуальных установок можно принять равным его производству.</w:t>
      </w:r>
      <w:r/>
    </w:p>
    <w:p>
      <w:pPr>
        <w:pStyle w:val="1247"/>
        <w:ind w:left="119" w:right="129" w:firstLine="709"/>
        <w:jc w:val="both"/>
      </w:pPr>
      <w:r>
        <w:t xml:space="preserve">К децентрализованным источникам относятся следующие зоны действия:</w:t>
      </w:r>
      <w:r/>
    </w:p>
    <w:p>
      <w:pPr>
        <w:pStyle w:val="1247"/>
        <w:ind w:left="119" w:right="129" w:firstLine="709"/>
        <w:jc w:val="both"/>
      </w:pPr>
      <w:r>
        <w:t xml:space="preserve">- ООО «Арабика» в границах охватывающих территорию кадастрового квартала 45:24:012202 с. Малое Белое Юргамышского района;</w:t>
      </w:r>
      <w:r/>
    </w:p>
    <w:p>
      <w:pPr>
        <w:pStyle w:val="1247"/>
        <w:ind w:left="119" w:right="129" w:firstLine="709"/>
        <w:jc w:val="both"/>
      </w:pPr>
      <w:r>
        <w:t xml:space="preserve">- ООО «КурганТеп</w:t>
      </w:r>
      <w:r>
        <w:t xml:space="preserve">ло» в границах охватывающих территорию кадастровых кварталов: 45:24:6012003, 45:24:0100503, 45:24:030802, 45:24:011002 в с. Караси, с. Губерля, с. Горохово, с. Кипель, с. Скоблино, с. Фадюшино, с. Гагарье, с. Вилкино, с. Красный Уралец Юргамышского района;</w:t>
      </w:r>
      <w:r/>
    </w:p>
    <w:p>
      <w:pPr>
        <w:pStyle w:val="1247"/>
        <w:ind w:left="119" w:right="129" w:firstLine="709"/>
        <w:jc w:val="both"/>
      </w:pPr>
      <w:r>
        <w:t xml:space="preserve"> - ООО «ЖКХ Юго-Запад» в границах охватывающих территорию кадастровых кварталов 45:24:020105, 45:24:020105 на территории р.п.Юргамыш, 45:24:011303 в с. Кислянское, 45:24:011303 в с. Чинеево.</w:t>
      </w:r>
      <w:r/>
    </w:p>
    <w:p>
      <w:pPr>
        <w:pStyle w:val="1247"/>
        <w:ind w:left="119" w:right="266" w:firstLine="709"/>
        <w:jc w:val="both"/>
      </w:pPr>
      <w:r>
        <w:t xml:space="preserve">Границы зоны деятельности единой теплоснабжающей организации могут быть изменены в следующих случаях:</w:t>
      </w:r>
      <w:r/>
    </w:p>
    <w:p>
      <w:pPr>
        <w:pStyle w:val="1247"/>
        <w:ind w:left="119" w:right="89" w:firstLine="709"/>
        <w:jc w:val="both"/>
        <w:tabs>
          <w:tab w:val="left" w:pos="1134" w:leader="none"/>
          <w:tab w:val="left" w:pos="1276" w:leader="none"/>
        </w:tabs>
      </w:pPr>
      <w:r>
        <w:t xml:space="preserve">-</w:t>
      </w:r>
      <w:r>
        <w:tab/>
        <w:t xml:space="preserve">подключение к системе теплоснабжения новых теплопотребляющих установок, источников тепловой энергии или разделение систем теплоснабжения;</w:t>
      </w:r>
      <w:r/>
    </w:p>
    <w:p>
      <w:pPr>
        <w:pStyle w:val="1247"/>
        <w:ind w:left="119" w:right="266" w:firstLine="709"/>
        <w:jc w:val="both"/>
        <w:tabs>
          <w:tab w:val="left" w:pos="1134" w:leader="none"/>
          <w:tab w:val="left" w:pos="1276" w:leader="none"/>
        </w:tabs>
      </w:pPr>
      <w:r>
        <w:t xml:space="preserve">-</w:t>
      </w:r>
      <w:r>
        <w:tab/>
        <w:t xml:space="preserve">технологическое объединение или разделение систем теплоснабжения.</w:t>
      </w:r>
      <w:r/>
    </w:p>
    <w:p>
      <w:pPr>
        <w:pStyle w:val="1247"/>
        <w:ind w:left="119" w:right="266" w:firstLine="709"/>
        <w:jc w:val="both"/>
      </w:pPr>
      <w:r/>
      <w:r/>
    </w:p>
    <w:p>
      <w:pPr>
        <w:pStyle w:val="1248"/>
        <w:ind w:right="113" w:firstLine="733"/>
      </w:pPr>
      <w:r/>
      <w:bookmarkStart w:id="673" w:name="_bookmark348"/>
      <w:r/>
      <w:bookmarkStart w:id="674" w:name="_Toc130232083"/>
      <w:r/>
      <w:bookmarkStart w:id="675" w:name="_Toc165540862"/>
      <w:r/>
      <w:bookmarkEnd w:id="673"/>
      <w:r>
        <w:rPr>
          <w:lang w:eastAsia="ru-RU"/>
        </w:rPr>
        <w:t xml:space="preserve">15.6 </w:t>
      </w:r>
      <w:r>
        <w:t xml:space="preserve">Описание изменений в зонах деятельности единых теплоснабжающих органи</w:t>
      </w:r>
      <w:r>
        <w:t xml:space="preserve">заций, произошедших за период, предшествующий актуализации схемы теплоснабжения, и актуализированные сведения в реестре систем теплоснабжения и реестре единых теплоснабжающих организаций (в случае необходимости) с описанием оснований для внесения изменений</w:t>
      </w:r>
      <w:bookmarkEnd w:id="674"/>
      <w:r/>
      <w:bookmarkEnd w:id="675"/>
      <w:r/>
      <w:r/>
    </w:p>
    <w:p>
      <w:pPr>
        <w:pStyle w:val="1247"/>
        <w:ind w:left="118" w:right="105" w:firstLine="707"/>
        <w:jc w:val="both"/>
        <w:spacing w:before="116"/>
      </w:pPr>
      <w:r>
        <w:t xml:space="preserve">Ранее схема теплоснабжения </w:t>
      </w:r>
      <w:r>
        <w:t xml:space="preserve">Юргамышского</w:t>
      </w:r>
      <w:r>
        <w:t xml:space="preserve"> муниципального округа не была разработана.</w:t>
      </w:r>
      <w:r/>
    </w:p>
    <w:p>
      <w:pPr>
        <w:jc w:val="both"/>
        <w:sectPr>
          <w:footnotePr/>
          <w:endnotePr/>
          <w:type w:val="nextPage"/>
          <w:pgSz w:w="11910" w:h="16840" w:orient="portrait"/>
          <w:pgMar w:top="1040" w:right="740" w:bottom="940" w:left="1300" w:header="0" w:footer="758" w:gutter="0"/>
          <w:cols w:num="1" w:sep="0" w:space="720" w:equalWidth="1"/>
          <w:docGrid w:linePitch="360"/>
        </w:sectPr>
      </w:pPr>
      <w:r/>
      <w:r/>
    </w:p>
    <w:p>
      <w:pPr>
        <w:pStyle w:val="1248"/>
        <w:ind w:left="1134" w:right="637" w:firstLine="709"/>
        <w:spacing w:before="62"/>
      </w:pPr>
      <w:r/>
      <w:bookmarkStart w:id="676" w:name="_bookmark349"/>
      <w:r/>
      <w:bookmarkStart w:id="677" w:name="_Toc130232084"/>
      <w:r/>
      <w:bookmarkStart w:id="678" w:name="_Toc165540863"/>
      <w:r/>
      <w:bookmarkEnd w:id="676"/>
      <w:r>
        <w:t xml:space="preserve">Глава</w:t>
      </w:r>
      <w:r>
        <w:rPr>
          <w:spacing w:val="-7"/>
        </w:rPr>
        <w:t xml:space="preserve"> </w:t>
      </w:r>
      <w:r>
        <w:t xml:space="preserve">16</w:t>
      </w:r>
      <w:r>
        <w:rPr>
          <w:spacing w:val="4"/>
        </w:rPr>
        <w:t xml:space="preserve"> </w:t>
      </w:r>
      <w:r>
        <w:t xml:space="preserve">Реестр</w:t>
      </w:r>
      <w:r>
        <w:rPr>
          <w:spacing w:val="-3"/>
        </w:rPr>
        <w:t xml:space="preserve"> </w:t>
      </w:r>
      <w:r>
        <w:t xml:space="preserve">мероприятий</w:t>
      </w:r>
      <w:r>
        <w:rPr>
          <w:spacing w:val="-3"/>
        </w:rPr>
        <w:t xml:space="preserve"> </w:t>
      </w:r>
      <w:r>
        <w:t xml:space="preserve">схемы</w:t>
      </w:r>
      <w:r>
        <w:rPr>
          <w:spacing w:val="-4"/>
        </w:rPr>
        <w:t xml:space="preserve"> </w:t>
      </w:r>
      <w:r>
        <w:rPr>
          <w:spacing w:val="-2"/>
        </w:rPr>
        <w:t xml:space="preserve">теплоснабжения</w:t>
      </w:r>
      <w:bookmarkEnd w:id="677"/>
      <w:r/>
      <w:bookmarkEnd w:id="678"/>
      <w:r/>
      <w:r/>
    </w:p>
    <w:p>
      <w:pPr>
        <w:pStyle w:val="1248"/>
        <w:ind w:left="1134" w:right="637" w:firstLine="709"/>
        <w:spacing w:before="120"/>
      </w:pPr>
      <w:r/>
      <w:bookmarkStart w:id="679" w:name="_bookmark350"/>
      <w:r/>
      <w:bookmarkStart w:id="680" w:name="_Toc130232085"/>
      <w:r/>
      <w:bookmarkStart w:id="681" w:name="_Toc165540864"/>
      <w:r/>
      <w:bookmarkEnd w:id="679"/>
      <w:r>
        <w:rPr>
          <w:lang w:eastAsia="ru-RU"/>
        </w:rPr>
        <w:t xml:space="preserve">16.1 </w:t>
      </w:r>
      <w:r>
        <w:t xml:space="preserve">Перечень</w:t>
      </w:r>
      <w:r>
        <w:rPr>
          <w:spacing w:val="40"/>
        </w:rPr>
        <w:t xml:space="preserve"> </w:t>
      </w:r>
      <w:r>
        <w:t xml:space="preserve">мероприятий</w:t>
      </w:r>
      <w:r>
        <w:rPr>
          <w:spacing w:val="40"/>
        </w:rPr>
        <w:t xml:space="preserve"> </w:t>
      </w:r>
      <w:r>
        <w:t xml:space="preserve">по</w:t>
      </w:r>
      <w:r>
        <w:rPr>
          <w:spacing w:val="40"/>
        </w:rPr>
        <w:t xml:space="preserve"> </w:t>
      </w:r>
      <w:r>
        <w:t xml:space="preserve">строительству,</w:t>
      </w:r>
      <w:r>
        <w:rPr>
          <w:spacing w:val="40"/>
        </w:rPr>
        <w:t xml:space="preserve"> </w:t>
      </w:r>
      <w:r>
        <w:t xml:space="preserve">реконструкции,</w:t>
      </w:r>
      <w:r>
        <w:rPr>
          <w:spacing w:val="40"/>
        </w:rPr>
        <w:t xml:space="preserve"> </w:t>
      </w:r>
      <w:r>
        <w:t xml:space="preserve">техническому</w:t>
      </w:r>
      <w:r>
        <w:rPr>
          <w:spacing w:val="40"/>
        </w:rPr>
        <w:t xml:space="preserve"> </w:t>
      </w:r>
      <w:r>
        <w:t xml:space="preserve">перевооружению</w:t>
      </w:r>
      <w:r>
        <w:rPr>
          <w:spacing w:val="40"/>
        </w:rPr>
        <w:t xml:space="preserve"> </w:t>
      </w:r>
      <w:r>
        <w:t xml:space="preserve">и</w:t>
      </w:r>
      <w:r>
        <w:rPr>
          <w:spacing w:val="40"/>
        </w:rPr>
        <w:t xml:space="preserve"> </w:t>
      </w:r>
      <w:r>
        <w:t xml:space="preserve">(или)</w:t>
      </w:r>
      <w:r>
        <w:rPr>
          <w:spacing w:val="40"/>
        </w:rPr>
        <w:t xml:space="preserve"> </w:t>
      </w:r>
      <w:r>
        <w:t xml:space="preserve">модернизации</w:t>
      </w:r>
      <w:r>
        <w:rPr>
          <w:spacing w:val="40"/>
        </w:rPr>
        <w:t xml:space="preserve"> </w:t>
      </w:r>
      <w:r>
        <w:t xml:space="preserve">источников тепловой энергии</w:t>
      </w:r>
      <w:bookmarkEnd w:id="680"/>
      <w:r/>
      <w:bookmarkEnd w:id="681"/>
      <w:r/>
      <w:r/>
    </w:p>
    <w:p>
      <w:pPr>
        <w:pStyle w:val="1247"/>
        <w:ind w:left="1134" w:right="635" w:firstLine="709"/>
        <w:jc w:val="right"/>
        <w:spacing w:before="120"/>
      </w:pPr>
      <w:r>
        <w:t xml:space="preserve">Таблица </w:t>
      </w:r>
      <w:r>
        <w:t xml:space="preserve">16.1.1</w:t>
      </w:r>
      <w:r/>
    </w:p>
    <w:p>
      <w:pPr>
        <w:pStyle w:val="1247"/>
        <w:ind w:left="1134" w:right="635" w:firstLine="709"/>
        <w:jc w:val="center"/>
      </w:pPr>
      <w:r>
        <w:t xml:space="preserve">Перечень мероприятий по строительству, реконструкции и(или) техническому перевооружению источников тепловой энергии</w:t>
      </w:r>
      <w:r/>
    </w:p>
    <w:tbl>
      <w:tblPr>
        <w:tblW w:w="4252" w:type="pct"/>
        <w:tblInd w:w="98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000" w:firstRow="0" w:lastRow="0" w:firstColumn="0" w:lastColumn="0" w:noHBand="0" w:noVBand="0"/>
      </w:tblPr>
      <w:tblGrid>
        <w:gridCol w:w="5669"/>
        <w:gridCol w:w="1563"/>
        <w:gridCol w:w="1272"/>
        <w:gridCol w:w="1191"/>
      </w:tblGrid>
      <w:tr>
        <w:tblPrEx/>
        <w:trPr>
          <w:cantSplit/>
          <w:trHeight w:val="910"/>
        </w:trPr>
        <w:tc>
          <w:tcPr>
            <w:tcW w:w="2924" w:type="pct"/>
            <w:vAlign w:val="center"/>
            <w:textDirection w:val="lrTb"/>
            <w:noWrap w:val="false"/>
          </w:tcPr>
          <w:p>
            <w:pPr>
              <w:jc w:val="center"/>
              <w:rPr>
                <w:sz w:val="20"/>
                <w:szCs w:val="20"/>
              </w:rPr>
            </w:pPr>
            <w:r>
              <w:rPr>
                <w:sz w:val="20"/>
                <w:szCs w:val="20"/>
              </w:rPr>
              <w:t xml:space="preserve">Цель и описание проекта</w:t>
            </w:r>
            <w:r>
              <w:rPr>
                <w:sz w:val="20"/>
                <w:szCs w:val="20"/>
              </w:rPr>
            </w:r>
            <w:r>
              <w:rPr>
                <w:sz w:val="20"/>
                <w:szCs w:val="20"/>
              </w:rPr>
            </w:r>
          </w:p>
        </w:tc>
        <w:tc>
          <w:tcPr>
            <w:tcW w:w="806" w:type="pct"/>
            <w:vAlign w:val="center"/>
            <w:textDirection w:val="lrTb"/>
            <w:noWrap w:val="false"/>
          </w:tcPr>
          <w:p>
            <w:pPr>
              <w:jc w:val="center"/>
              <w:rPr>
                <w:sz w:val="20"/>
                <w:szCs w:val="20"/>
              </w:rPr>
            </w:pPr>
            <w:r>
              <w:rPr>
                <w:sz w:val="20"/>
                <w:szCs w:val="20"/>
              </w:rPr>
              <w:t xml:space="preserve">Технические параметры проекта</w:t>
            </w:r>
            <w:r>
              <w:rPr>
                <w:sz w:val="20"/>
                <w:szCs w:val="20"/>
              </w:rPr>
            </w:r>
            <w:r>
              <w:rPr>
                <w:sz w:val="20"/>
                <w:szCs w:val="20"/>
              </w:rPr>
            </w:r>
          </w:p>
        </w:tc>
        <w:tc>
          <w:tcPr>
            <w:tcW w:w="656" w:type="pct"/>
            <w:vAlign w:val="center"/>
            <w:textDirection w:val="lrTb"/>
            <w:noWrap w:val="false"/>
          </w:tcPr>
          <w:p>
            <w:pPr>
              <w:jc w:val="center"/>
              <w:rPr>
                <w:sz w:val="20"/>
                <w:szCs w:val="20"/>
              </w:rPr>
            </w:pPr>
            <w:r>
              <w:rPr>
                <w:sz w:val="20"/>
                <w:szCs w:val="20"/>
              </w:rPr>
              <w:t xml:space="preserve">Затраты на реализацию проекта</w:t>
            </w:r>
            <w:r>
              <w:rPr>
                <w:sz w:val="20"/>
                <w:szCs w:val="20"/>
              </w:rPr>
            </w:r>
            <w:r>
              <w:rPr>
                <w:sz w:val="20"/>
                <w:szCs w:val="20"/>
              </w:rPr>
            </w:r>
          </w:p>
          <w:p>
            <w:pPr>
              <w:jc w:val="center"/>
              <w:rPr>
                <w:sz w:val="20"/>
                <w:szCs w:val="20"/>
              </w:rPr>
            </w:pPr>
            <w:r>
              <w:rPr>
                <w:sz w:val="20"/>
                <w:szCs w:val="20"/>
              </w:rPr>
              <w:t xml:space="preserve">(млн. руб.)</w:t>
            </w:r>
            <w:r>
              <w:rPr>
                <w:sz w:val="20"/>
                <w:szCs w:val="20"/>
              </w:rPr>
            </w:r>
            <w:r>
              <w:rPr>
                <w:sz w:val="20"/>
                <w:szCs w:val="20"/>
              </w:rPr>
            </w:r>
          </w:p>
        </w:tc>
        <w:tc>
          <w:tcPr>
            <w:tcW w:w="614" w:type="pct"/>
            <w:vAlign w:val="center"/>
            <w:textDirection w:val="lrTb"/>
            <w:noWrap w:val="false"/>
          </w:tcPr>
          <w:p>
            <w:pPr>
              <w:jc w:val="center"/>
              <w:rPr>
                <w:sz w:val="20"/>
                <w:szCs w:val="20"/>
              </w:rPr>
            </w:pPr>
            <w:r>
              <w:rPr>
                <w:sz w:val="20"/>
                <w:szCs w:val="20"/>
              </w:rPr>
              <w:t xml:space="preserve">Срок реализации проекта</w:t>
            </w:r>
            <w:r>
              <w:rPr>
                <w:sz w:val="20"/>
                <w:szCs w:val="20"/>
              </w:rPr>
            </w:r>
            <w:r>
              <w:rPr>
                <w:sz w:val="20"/>
                <w:szCs w:val="20"/>
              </w:rPr>
            </w:r>
          </w:p>
        </w:tc>
      </w:tr>
      <w:tr>
        <w:tblPrEx/>
        <w:trPr>
          <w:cantSplit/>
          <w:trHeight w:val="283"/>
        </w:trPr>
        <w:tc>
          <w:tcPr>
            <w:tcW w:w="2924" w:type="pct"/>
            <w:vAlign w:val="center"/>
            <w:textDirection w:val="lrTb"/>
            <w:noWrap w:val="false"/>
          </w:tcPr>
          <w:p>
            <w:pPr>
              <w:ind w:left="-14" w:firstLine="14"/>
              <w:rPr>
                <w:sz w:val="20"/>
                <w:szCs w:val="20"/>
              </w:rPr>
            </w:pPr>
            <w:r>
              <w:rPr>
                <w:sz w:val="20"/>
                <w:szCs w:val="20"/>
              </w:rPr>
              <w:t xml:space="preserve">Строительство 2-х газовых БМК для МКОУ Чинеевская СОШ» и  Чинеевского культурно-досугового объединения</w:t>
            </w:r>
            <w:r>
              <w:rPr>
                <w:sz w:val="20"/>
                <w:szCs w:val="20"/>
              </w:rPr>
            </w:r>
            <w:r>
              <w:rPr>
                <w:sz w:val="20"/>
                <w:szCs w:val="20"/>
              </w:rPr>
            </w:r>
          </w:p>
        </w:tc>
        <w:tc>
          <w:tcPr>
            <w:tcW w:w="806" w:type="pct"/>
            <w:vAlign w:val="center"/>
            <w:textDirection w:val="lrTb"/>
            <w:noWrap w:val="false"/>
          </w:tcPr>
          <w:p>
            <w:pPr>
              <w:jc w:val="center"/>
              <w:rPr>
                <w:sz w:val="20"/>
                <w:szCs w:val="20"/>
              </w:rPr>
            </w:pPr>
            <w:r>
              <w:rPr>
                <w:sz w:val="20"/>
                <w:szCs w:val="20"/>
              </w:rPr>
              <w:t xml:space="preserve">2 ед.</w:t>
            </w:r>
            <w:r>
              <w:rPr>
                <w:sz w:val="20"/>
                <w:szCs w:val="20"/>
              </w:rPr>
            </w:r>
            <w:r>
              <w:rPr>
                <w:sz w:val="20"/>
                <w:szCs w:val="20"/>
              </w:rPr>
            </w:r>
          </w:p>
        </w:tc>
        <w:tc>
          <w:tcPr>
            <w:tcW w:w="656" w:type="pct"/>
            <w:vAlign w:val="center"/>
            <w:textDirection w:val="lrTb"/>
            <w:noWrap w:val="false"/>
          </w:tcPr>
          <w:p>
            <w:pPr>
              <w:jc w:val="center"/>
              <w:rPr>
                <w:sz w:val="20"/>
                <w:szCs w:val="20"/>
              </w:rPr>
            </w:pPr>
            <w:r>
              <w:rPr>
                <w:sz w:val="20"/>
                <w:szCs w:val="20"/>
              </w:rPr>
              <w:t xml:space="preserve">12,381</w:t>
            </w:r>
            <w:r>
              <w:rPr>
                <w:sz w:val="20"/>
                <w:szCs w:val="20"/>
              </w:rPr>
            </w:r>
            <w:r>
              <w:rPr>
                <w:sz w:val="20"/>
                <w:szCs w:val="20"/>
              </w:rPr>
            </w:r>
          </w:p>
        </w:tc>
        <w:tc>
          <w:tcPr>
            <w:tcW w:w="614" w:type="pct"/>
            <w:vAlign w:val="center"/>
            <w:textDirection w:val="lrTb"/>
            <w:noWrap w:val="false"/>
          </w:tcPr>
          <w:p>
            <w:pPr>
              <w:jc w:val="center"/>
              <w:rPr>
                <w:sz w:val="20"/>
                <w:szCs w:val="20"/>
              </w:rPr>
            </w:pPr>
            <w:r>
              <w:rPr>
                <w:sz w:val="20"/>
                <w:szCs w:val="20"/>
              </w:rPr>
              <w:t xml:space="preserve">2024-2039</w:t>
            </w:r>
            <w:r>
              <w:rPr>
                <w:sz w:val="20"/>
                <w:szCs w:val="20"/>
              </w:rPr>
            </w:r>
            <w:r>
              <w:rPr>
                <w:sz w:val="20"/>
                <w:szCs w:val="20"/>
              </w:rPr>
            </w:r>
          </w:p>
        </w:tc>
      </w:tr>
    </w:tbl>
    <w:p>
      <w:pPr>
        <w:pStyle w:val="1247"/>
        <w:ind w:left="1134" w:right="635" w:firstLine="709"/>
        <w:jc w:val="both"/>
        <w:spacing w:before="120"/>
      </w:pPr>
      <w:r/>
      <w:r/>
    </w:p>
    <w:p>
      <w:pPr>
        <w:pStyle w:val="1248"/>
        <w:ind w:left="1134" w:right="637" w:firstLine="709"/>
        <w:spacing w:before="62"/>
      </w:pPr>
      <w:r/>
      <w:bookmarkStart w:id="682" w:name="_bookmark351"/>
      <w:r/>
      <w:bookmarkStart w:id="683" w:name="_bookmark352"/>
      <w:r/>
      <w:bookmarkStart w:id="684" w:name="_Toc130232086"/>
      <w:r/>
      <w:bookmarkStart w:id="685" w:name="_Toc165540865"/>
      <w:r/>
      <w:bookmarkEnd w:id="682"/>
      <w:r/>
      <w:bookmarkEnd w:id="683"/>
      <w:r>
        <w:rPr>
          <w:lang w:eastAsia="ru-RU"/>
        </w:rPr>
        <w:t xml:space="preserve">16.2 </w:t>
      </w:r>
      <w:r>
        <w:t xml:space="preserve">Перечень мероприятий по строительству, реконструкции, техническому перевооружению и (или) модернизации тепловых сетей и сооружений на них</w:t>
      </w:r>
      <w:bookmarkEnd w:id="684"/>
      <w:r/>
      <w:bookmarkEnd w:id="685"/>
      <w:r/>
      <w:r/>
    </w:p>
    <w:p>
      <w:pPr>
        <w:pStyle w:val="1247"/>
        <w:ind w:left="1134" w:right="635" w:firstLine="709"/>
        <w:jc w:val="right"/>
        <w:spacing w:before="120"/>
      </w:pPr>
      <w:r>
        <w:t xml:space="preserve">Таблица</w:t>
      </w:r>
      <w:r>
        <w:t xml:space="preserve"> </w:t>
      </w:r>
      <w:r>
        <w:t xml:space="preserve">16.2.1</w:t>
      </w:r>
      <w:r/>
    </w:p>
    <w:p>
      <w:pPr>
        <w:pStyle w:val="1247"/>
        <w:ind w:left="1134" w:right="635" w:firstLine="709"/>
        <w:jc w:val="center"/>
      </w:pPr>
      <w:r>
        <w:t xml:space="preserve">Перечень мероприятий по строительству, реконструкции и техническому перевооружению тепловых сетей и сооружений на них</w:t>
      </w:r>
      <w:r/>
    </w:p>
    <w:tbl>
      <w:tblPr>
        <w:tblW w:w="4268" w:type="pct"/>
        <w:tblInd w:w="99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000" w:firstRow="0" w:lastRow="0" w:firstColumn="0" w:lastColumn="0" w:noHBand="0" w:noVBand="0"/>
      </w:tblPr>
      <w:tblGrid>
        <w:gridCol w:w="5664"/>
        <w:gridCol w:w="1600"/>
        <w:gridCol w:w="1277"/>
        <w:gridCol w:w="1190"/>
      </w:tblGrid>
      <w:tr>
        <w:tblPrEx/>
        <w:trPr>
          <w:cantSplit/>
          <w:trHeight w:val="910"/>
        </w:trPr>
        <w:tc>
          <w:tcPr>
            <w:tcW w:w="2911" w:type="pct"/>
            <w:vAlign w:val="center"/>
            <w:textDirection w:val="lrTb"/>
            <w:noWrap w:val="false"/>
          </w:tcPr>
          <w:p>
            <w:pPr>
              <w:jc w:val="center"/>
              <w:rPr>
                <w:sz w:val="20"/>
                <w:szCs w:val="20"/>
              </w:rPr>
            </w:pPr>
            <w:r>
              <w:rPr>
                <w:sz w:val="20"/>
                <w:szCs w:val="20"/>
              </w:rPr>
              <w:t xml:space="preserve">Цель и описание проекта</w:t>
            </w:r>
            <w:r>
              <w:rPr>
                <w:sz w:val="20"/>
                <w:szCs w:val="20"/>
              </w:rPr>
            </w:r>
            <w:r>
              <w:rPr>
                <w:sz w:val="20"/>
                <w:szCs w:val="20"/>
              </w:rPr>
            </w:r>
          </w:p>
        </w:tc>
        <w:tc>
          <w:tcPr>
            <w:tcW w:w="822" w:type="pct"/>
            <w:vAlign w:val="center"/>
            <w:textDirection w:val="lrTb"/>
            <w:noWrap w:val="false"/>
          </w:tcPr>
          <w:p>
            <w:pPr>
              <w:jc w:val="center"/>
              <w:rPr>
                <w:sz w:val="20"/>
                <w:szCs w:val="20"/>
              </w:rPr>
            </w:pPr>
            <w:r>
              <w:rPr>
                <w:sz w:val="20"/>
                <w:szCs w:val="20"/>
              </w:rPr>
              <w:t xml:space="preserve">Технические параметры проекта</w:t>
            </w:r>
            <w:r>
              <w:rPr>
                <w:sz w:val="20"/>
                <w:szCs w:val="20"/>
              </w:rPr>
            </w:r>
            <w:r>
              <w:rPr>
                <w:sz w:val="20"/>
                <w:szCs w:val="20"/>
              </w:rPr>
            </w:r>
          </w:p>
        </w:tc>
        <w:tc>
          <w:tcPr>
            <w:tcW w:w="656" w:type="pct"/>
            <w:vAlign w:val="center"/>
            <w:textDirection w:val="lrTb"/>
            <w:noWrap w:val="false"/>
          </w:tcPr>
          <w:p>
            <w:pPr>
              <w:jc w:val="center"/>
              <w:rPr>
                <w:sz w:val="20"/>
                <w:szCs w:val="20"/>
              </w:rPr>
            </w:pPr>
            <w:r>
              <w:rPr>
                <w:sz w:val="20"/>
                <w:szCs w:val="20"/>
              </w:rPr>
              <w:t xml:space="preserve">Затраты на реализацию проекта</w:t>
            </w:r>
            <w:r>
              <w:rPr>
                <w:sz w:val="20"/>
                <w:szCs w:val="20"/>
              </w:rPr>
            </w:r>
            <w:r>
              <w:rPr>
                <w:sz w:val="20"/>
                <w:szCs w:val="20"/>
              </w:rPr>
            </w:r>
          </w:p>
          <w:p>
            <w:pPr>
              <w:jc w:val="center"/>
              <w:rPr>
                <w:sz w:val="20"/>
                <w:szCs w:val="20"/>
              </w:rPr>
            </w:pPr>
            <w:r>
              <w:rPr>
                <w:sz w:val="20"/>
                <w:szCs w:val="20"/>
              </w:rPr>
              <w:t xml:space="preserve">(млн. руб.)</w:t>
            </w:r>
            <w:r>
              <w:rPr>
                <w:sz w:val="20"/>
                <w:szCs w:val="20"/>
              </w:rPr>
            </w:r>
            <w:r>
              <w:rPr>
                <w:sz w:val="20"/>
                <w:szCs w:val="20"/>
              </w:rPr>
            </w:r>
          </w:p>
        </w:tc>
        <w:tc>
          <w:tcPr>
            <w:tcW w:w="612" w:type="pct"/>
            <w:vAlign w:val="center"/>
            <w:textDirection w:val="lrTb"/>
            <w:noWrap w:val="false"/>
          </w:tcPr>
          <w:p>
            <w:pPr>
              <w:jc w:val="center"/>
              <w:rPr>
                <w:sz w:val="20"/>
                <w:szCs w:val="20"/>
              </w:rPr>
            </w:pPr>
            <w:r>
              <w:rPr>
                <w:sz w:val="20"/>
                <w:szCs w:val="20"/>
              </w:rPr>
              <w:t xml:space="preserve">Срок реализации проекта</w:t>
            </w:r>
            <w:r>
              <w:rPr>
                <w:sz w:val="20"/>
                <w:szCs w:val="20"/>
              </w:rPr>
            </w:r>
            <w:r>
              <w:rPr>
                <w:sz w:val="20"/>
                <w:szCs w:val="20"/>
              </w:rPr>
            </w:r>
          </w:p>
        </w:tc>
      </w:tr>
      <w:tr>
        <w:tblPrEx/>
        <w:trPr>
          <w:cantSplit/>
          <w:trHeight w:val="283"/>
        </w:trPr>
        <w:tc>
          <w:tcPr>
            <w:tcW w:w="2911" w:type="pct"/>
            <w:vAlign w:val="center"/>
            <w:textDirection w:val="lrTb"/>
            <w:noWrap w:val="false"/>
          </w:tcPr>
          <w:p>
            <w:pPr>
              <w:pStyle w:val="1251"/>
              <w:ind w:left="-14" w:firstLine="14"/>
              <w:jc w:val="left"/>
              <w:rPr>
                <w:sz w:val="20"/>
                <w:szCs w:val="20"/>
              </w:rPr>
            </w:pPr>
            <w:r>
              <w:rPr>
                <w:sz w:val="20"/>
                <w:szCs w:val="20"/>
              </w:rPr>
              <w:t xml:space="preserve">Ремонт тепловой изоляции трубопроводов и оборудования, разводящих трубопроводов отопления в зданиях, строениях, сооружениях п. Юргамыш, п. Новый Мир, а также ремонт трубопровода разводящих сетей в п. Юргамыш</w:t>
            </w:r>
            <w:r>
              <w:rPr>
                <w:sz w:val="20"/>
                <w:szCs w:val="20"/>
              </w:rPr>
            </w:r>
            <w:r>
              <w:rPr>
                <w:sz w:val="20"/>
                <w:szCs w:val="20"/>
              </w:rPr>
            </w:r>
          </w:p>
        </w:tc>
        <w:tc>
          <w:tcPr>
            <w:tcW w:w="822" w:type="pct"/>
            <w:vAlign w:val="center"/>
            <w:textDirection w:val="lrTb"/>
            <w:noWrap w:val="false"/>
          </w:tcPr>
          <w:p>
            <w:pPr>
              <w:jc w:val="center"/>
              <w:rPr>
                <w:sz w:val="20"/>
                <w:szCs w:val="20"/>
              </w:rPr>
            </w:pPr>
            <w:r>
              <w:rPr>
                <w:sz w:val="20"/>
                <w:szCs w:val="20"/>
              </w:rPr>
              <w:t xml:space="preserve">Протяженность, всего – 40 км</w:t>
            </w:r>
            <w:r>
              <w:rPr>
                <w:sz w:val="20"/>
                <w:szCs w:val="20"/>
              </w:rPr>
            </w:r>
            <w:r>
              <w:rPr>
                <w:sz w:val="20"/>
                <w:szCs w:val="20"/>
              </w:rPr>
            </w:r>
          </w:p>
        </w:tc>
        <w:tc>
          <w:tcPr>
            <w:tcW w:w="656" w:type="pct"/>
            <w:vAlign w:val="center"/>
            <w:textDirection w:val="lrTb"/>
            <w:noWrap w:val="false"/>
          </w:tcPr>
          <w:p>
            <w:pPr>
              <w:jc w:val="center"/>
              <w:rPr>
                <w:sz w:val="20"/>
                <w:szCs w:val="20"/>
              </w:rPr>
            </w:pPr>
            <w:r>
              <w:rPr>
                <w:sz w:val="20"/>
                <w:szCs w:val="20"/>
              </w:rPr>
              <w:t xml:space="preserve">1368,632</w:t>
            </w:r>
            <w:r>
              <w:rPr>
                <w:sz w:val="20"/>
                <w:szCs w:val="20"/>
              </w:rPr>
            </w:r>
            <w:r>
              <w:rPr>
                <w:sz w:val="20"/>
                <w:szCs w:val="20"/>
              </w:rPr>
            </w:r>
          </w:p>
        </w:tc>
        <w:tc>
          <w:tcPr>
            <w:tcW w:w="612" w:type="pct"/>
            <w:vAlign w:val="center"/>
            <w:textDirection w:val="lrTb"/>
            <w:noWrap w:val="false"/>
          </w:tcPr>
          <w:p>
            <w:pPr>
              <w:jc w:val="center"/>
              <w:rPr>
                <w:sz w:val="20"/>
                <w:szCs w:val="20"/>
              </w:rPr>
            </w:pPr>
            <w:r>
              <w:rPr>
                <w:sz w:val="20"/>
                <w:szCs w:val="20"/>
              </w:rPr>
              <w:t xml:space="preserve">2024-2039</w:t>
            </w:r>
            <w:r>
              <w:rPr>
                <w:sz w:val="20"/>
                <w:szCs w:val="20"/>
              </w:rPr>
            </w:r>
            <w:r>
              <w:rPr>
                <w:sz w:val="20"/>
                <w:szCs w:val="20"/>
              </w:rPr>
            </w:r>
          </w:p>
        </w:tc>
      </w:tr>
      <w:tr>
        <w:tblPrEx/>
        <w:trPr>
          <w:cantSplit/>
          <w:trHeight w:val="283"/>
        </w:trPr>
        <w:tc>
          <w:tcPr>
            <w:tcW w:w="2911" w:type="pct"/>
            <w:vAlign w:val="center"/>
            <w:textDirection w:val="lrTb"/>
            <w:noWrap w:val="false"/>
          </w:tcPr>
          <w:p>
            <w:pPr>
              <w:pStyle w:val="1251"/>
              <w:ind w:left="-14" w:firstLine="14"/>
              <w:jc w:val="left"/>
              <w:rPr>
                <w:sz w:val="20"/>
                <w:szCs w:val="20"/>
              </w:rPr>
            </w:pPr>
            <w:r>
              <w:rPr>
                <w:sz w:val="20"/>
                <w:szCs w:val="20"/>
              </w:rPr>
              <w:t xml:space="preserve">Реконструкция теплотрассы в п. Новый Мир</w:t>
            </w:r>
            <w:r>
              <w:rPr>
                <w:sz w:val="20"/>
                <w:szCs w:val="20"/>
              </w:rPr>
            </w:r>
            <w:r>
              <w:rPr>
                <w:sz w:val="20"/>
                <w:szCs w:val="20"/>
              </w:rPr>
            </w:r>
          </w:p>
        </w:tc>
        <w:tc>
          <w:tcPr>
            <w:tcW w:w="822" w:type="pct"/>
            <w:vAlign w:val="center"/>
            <w:textDirection w:val="lrTb"/>
            <w:noWrap w:val="false"/>
          </w:tcPr>
          <w:p>
            <w:pPr>
              <w:jc w:val="center"/>
              <w:rPr>
                <w:sz w:val="20"/>
                <w:szCs w:val="20"/>
              </w:rPr>
            </w:pPr>
            <w:r>
              <w:rPr>
                <w:sz w:val="20"/>
                <w:szCs w:val="20"/>
              </w:rPr>
              <w:t xml:space="preserve">Протяженность, всего – 13,5 км</w:t>
            </w:r>
            <w:r>
              <w:rPr>
                <w:sz w:val="20"/>
                <w:szCs w:val="20"/>
              </w:rPr>
            </w:r>
            <w:r>
              <w:rPr>
                <w:sz w:val="20"/>
                <w:szCs w:val="20"/>
              </w:rPr>
            </w:r>
          </w:p>
        </w:tc>
        <w:tc>
          <w:tcPr>
            <w:tcW w:w="656" w:type="pct"/>
            <w:vAlign w:val="center"/>
            <w:textDirection w:val="lrTb"/>
            <w:noWrap w:val="false"/>
          </w:tcPr>
          <w:p>
            <w:pPr>
              <w:jc w:val="center"/>
              <w:rPr>
                <w:sz w:val="20"/>
                <w:szCs w:val="20"/>
              </w:rPr>
            </w:pPr>
            <w:r>
              <w:rPr>
                <w:sz w:val="20"/>
                <w:szCs w:val="20"/>
              </w:rPr>
              <w:t xml:space="preserve">461,913</w:t>
            </w:r>
            <w:r>
              <w:rPr>
                <w:sz w:val="20"/>
                <w:szCs w:val="20"/>
              </w:rPr>
            </w:r>
            <w:r>
              <w:rPr>
                <w:sz w:val="20"/>
                <w:szCs w:val="20"/>
              </w:rPr>
            </w:r>
          </w:p>
        </w:tc>
        <w:tc>
          <w:tcPr>
            <w:tcW w:w="612" w:type="pct"/>
            <w:vAlign w:val="center"/>
            <w:textDirection w:val="lrTb"/>
            <w:noWrap w:val="false"/>
          </w:tcPr>
          <w:p>
            <w:pPr>
              <w:jc w:val="center"/>
              <w:rPr>
                <w:sz w:val="20"/>
                <w:szCs w:val="20"/>
              </w:rPr>
            </w:pPr>
            <w:r>
              <w:rPr>
                <w:sz w:val="20"/>
                <w:szCs w:val="20"/>
              </w:rPr>
              <w:t xml:space="preserve">2024-2039</w:t>
            </w:r>
            <w:r>
              <w:rPr>
                <w:sz w:val="20"/>
                <w:szCs w:val="20"/>
              </w:rPr>
            </w:r>
            <w:r>
              <w:rPr>
                <w:sz w:val="20"/>
                <w:szCs w:val="20"/>
              </w:rPr>
            </w:r>
          </w:p>
        </w:tc>
      </w:tr>
    </w:tbl>
    <w:p>
      <w:pPr>
        <w:pStyle w:val="1247"/>
        <w:spacing w:before="5"/>
        <w:rPr>
          <w:b/>
          <w:sz w:val="10"/>
        </w:rPr>
      </w:pPr>
      <w:r>
        <w:rPr>
          <w:b/>
          <w:sz w:val="10"/>
        </w:rPr>
      </w:r>
      <w:r>
        <w:rPr>
          <w:b/>
          <w:sz w:val="10"/>
        </w:rPr>
      </w:r>
      <w:r>
        <w:rPr>
          <w:b/>
          <w:sz w:val="10"/>
        </w:rPr>
      </w:r>
    </w:p>
    <w:p>
      <w:pPr>
        <w:pStyle w:val="1248"/>
        <w:ind w:left="1158" w:right="610" w:firstLine="685"/>
        <w:spacing w:before="71"/>
        <w:rPr>
          <w:lang w:eastAsia="ru-RU"/>
        </w:rPr>
      </w:pPr>
      <w:r/>
      <w:bookmarkStart w:id="686" w:name="_bookmark354"/>
      <w:r/>
      <w:bookmarkStart w:id="687" w:name="_Toc130232087"/>
      <w:r/>
      <w:bookmarkEnd w:id="686"/>
      <w:r>
        <w:rPr>
          <w:lang w:eastAsia="ru-RU"/>
        </w:rPr>
      </w:r>
      <w:r>
        <w:rPr>
          <w:lang w:eastAsia="ru-RU"/>
        </w:rPr>
      </w:r>
    </w:p>
    <w:p>
      <w:pPr>
        <w:pStyle w:val="1248"/>
        <w:ind w:left="1158" w:right="610" w:firstLine="685"/>
        <w:spacing w:before="71"/>
      </w:pPr>
      <w:r/>
      <w:bookmarkStart w:id="688" w:name="_Toc165540866"/>
      <w:r>
        <w:rPr>
          <w:lang w:eastAsia="ru-RU"/>
        </w:rPr>
        <w:t xml:space="preserve">16.3 </w:t>
      </w:r>
      <w:r>
        <w:t xml:space="preserve">Перечень мероприятий, обеспечивающих переход от открытых систем теплоснабжения (горячего водоснабжения) на закрытые системы горячего </w:t>
      </w:r>
      <w:r>
        <w:rPr>
          <w:spacing w:val="-2"/>
        </w:rPr>
        <w:t xml:space="preserve">водоснабжения</w:t>
      </w:r>
      <w:bookmarkEnd w:id="687"/>
      <w:r/>
      <w:bookmarkEnd w:id="688"/>
      <w:r/>
      <w:r/>
    </w:p>
    <w:p>
      <w:pPr>
        <w:pStyle w:val="1247"/>
        <w:ind w:left="1158" w:right="607" w:firstLine="707"/>
        <w:jc w:val="both"/>
        <w:spacing w:before="116"/>
      </w:pPr>
      <w:r>
        <w:t xml:space="preserve">До конца расчётного периода схемы теплоснабжения </w:t>
      </w:r>
      <w:r>
        <w:t xml:space="preserve">Юргамышского</w:t>
      </w:r>
      <w:r>
        <w:t xml:space="preserve"> муниципального округа</w:t>
      </w:r>
      <w:r>
        <w:t xml:space="preserve"> мероприятий, обеспечивающих переход от открытых систем теплоснабжения (горячего водоснабжения) на закрытые системы горячего водоснабжения, не запланировано.</w:t>
      </w:r>
      <w:r/>
    </w:p>
    <w:p>
      <w:pPr>
        <w:jc w:val="both"/>
        <w:sectPr>
          <w:footerReference w:type="default" r:id="rId16"/>
          <w:footnotePr/>
          <w:endnotePr/>
          <w:type w:val="nextPage"/>
          <w:pgSz w:w="11910" w:h="16840" w:orient="portrait"/>
          <w:pgMar w:top="1040" w:right="240" w:bottom="940" w:left="260" w:header="0" w:footer="758" w:gutter="0"/>
          <w:cols w:num="1" w:sep="0" w:space="720" w:equalWidth="1"/>
          <w:docGrid w:linePitch="360"/>
        </w:sectPr>
      </w:pPr>
      <w:r/>
      <w:r/>
    </w:p>
    <w:p>
      <w:pPr>
        <w:pStyle w:val="1248"/>
        <w:ind w:left="1866"/>
        <w:jc w:val="left"/>
        <w:spacing w:before="71"/>
      </w:pPr>
      <w:r/>
      <w:bookmarkStart w:id="689" w:name="_bookmark355"/>
      <w:r/>
      <w:bookmarkStart w:id="690" w:name="_Toc130232088"/>
      <w:r/>
      <w:bookmarkStart w:id="691" w:name="_Toc165540867"/>
      <w:r/>
      <w:bookmarkEnd w:id="689"/>
      <w:r>
        <w:t xml:space="preserve">Глава</w:t>
      </w:r>
      <w:r>
        <w:rPr>
          <w:spacing w:val="-5"/>
        </w:rPr>
        <w:t xml:space="preserve"> </w:t>
      </w:r>
      <w:r>
        <w:t xml:space="preserve">17</w:t>
      </w:r>
      <w:r>
        <w:rPr>
          <w:spacing w:val="5"/>
        </w:rPr>
        <w:t xml:space="preserve"> </w:t>
      </w:r>
      <w:r>
        <w:t xml:space="preserve">Замечания</w:t>
      </w:r>
      <w:r>
        <w:rPr>
          <w:spacing w:val="-2"/>
        </w:rPr>
        <w:t xml:space="preserve"> </w:t>
      </w:r>
      <w:r>
        <w:t xml:space="preserve">и</w:t>
      </w:r>
      <w:r>
        <w:rPr>
          <w:spacing w:val="-2"/>
        </w:rPr>
        <w:t xml:space="preserve"> </w:t>
      </w:r>
      <w:r>
        <w:t xml:space="preserve">предложения</w:t>
      </w:r>
      <w:r>
        <w:rPr>
          <w:spacing w:val="-1"/>
        </w:rPr>
        <w:t xml:space="preserve"> </w:t>
      </w:r>
      <w:r>
        <w:t xml:space="preserve">к</w:t>
      </w:r>
      <w:r>
        <w:rPr>
          <w:spacing w:val="-2"/>
        </w:rPr>
        <w:t xml:space="preserve"> </w:t>
      </w:r>
      <w:r>
        <w:t xml:space="preserve">проекту</w:t>
      </w:r>
      <w:r>
        <w:rPr>
          <w:spacing w:val="-2"/>
        </w:rPr>
        <w:t xml:space="preserve"> </w:t>
      </w:r>
      <w:r>
        <w:t xml:space="preserve">схемы</w:t>
      </w:r>
      <w:r>
        <w:rPr>
          <w:spacing w:val="-2"/>
        </w:rPr>
        <w:t xml:space="preserve"> теплоснабжения</w:t>
      </w:r>
      <w:bookmarkEnd w:id="690"/>
      <w:r/>
      <w:bookmarkEnd w:id="691"/>
      <w:r/>
      <w:r/>
    </w:p>
    <w:p>
      <w:pPr>
        <w:pStyle w:val="1248"/>
        <w:ind w:left="1158" w:firstLine="685"/>
        <w:jc w:val="left"/>
        <w:spacing w:before="120"/>
      </w:pPr>
      <w:r/>
      <w:bookmarkStart w:id="692" w:name="_bookmark356"/>
      <w:r/>
      <w:bookmarkStart w:id="693" w:name="_Toc130232089"/>
      <w:r/>
      <w:bookmarkStart w:id="694" w:name="_Toc165540868"/>
      <w:r/>
      <w:bookmarkEnd w:id="692"/>
      <w:r>
        <w:rPr>
          <w:lang w:eastAsia="ru-RU"/>
        </w:rPr>
        <w:t xml:space="preserve">17.1 </w:t>
      </w:r>
      <w:r>
        <w:t xml:space="preserve">Перечень</w:t>
      </w:r>
      <w:r>
        <w:rPr>
          <w:spacing w:val="40"/>
        </w:rPr>
        <w:t xml:space="preserve"> </w:t>
      </w:r>
      <w:r>
        <w:t xml:space="preserve">всех</w:t>
      </w:r>
      <w:r>
        <w:rPr>
          <w:spacing w:val="40"/>
        </w:rPr>
        <w:t xml:space="preserve"> </w:t>
      </w:r>
      <w:r>
        <w:t xml:space="preserve">замечаний</w:t>
      </w:r>
      <w:r>
        <w:rPr>
          <w:spacing w:val="40"/>
        </w:rPr>
        <w:t xml:space="preserve"> </w:t>
      </w:r>
      <w:r>
        <w:t xml:space="preserve">и</w:t>
      </w:r>
      <w:r>
        <w:rPr>
          <w:spacing w:val="40"/>
        </w:rPr>
        <w:t xml:space="preserve"> </w:t>
      </w:r>
      <w:r>
        <w:t xml:space="preserve">предложений,</w:t>
      </w:r>
      <w:r>
        <w:rPr>
          <w:spacing w:val="40"/>
        </w:rPr>
        <w:t xml:space="preserve"> </w:t>
      </w:r>
      <w:r>
        <w:t xml:space="preserve">поступивших</w:t>
      </w:r>
      <w:r>
        <w:rPr>
          <w:spacing w:val="40"/>
        </w:rPr>
        <w:t xml:space="preserve"> </w:t>
      </w:r>
      <w:r>
        <w:t xml:space="preserve">при</w:t>
      </w:r>
      <w:r>
        <w:rPr>
          <w:spacing w:val="40"/>
        </w:rPr>
        <w:t xml:space="preserve"> </w:t>
      </w:r>
      <w:r>
        <w:t xml:space="preserve">разработке,</w:t>
      </w:r>
      <w:r>
        <w:rPr>
          <w:spacing w:val="80"/>
        </w:rPr>
        <w:t xml:space="preserve"> </w:t>
      </w:r>
      <w:r>
        <w:t xml:space="preserve">утверждении и актуализации схемы теплоснабжения</w:t>
      </w:r>
      <w:bookmarkEnd w:id="693"/>
      <w:r/>
      <w:bookmarkEnd w:id="694"/>
      <w:r/>
      <w:r/>
    </w:p>
    <w:p>
      <w:pPr>
        <w:pStyle w:val="1247"/>
        <w:ind w:left="1158" w:right="610" w:firstLine="707"/>
        <w:jc w:val="both"/>
        <w:spacing w:before="116"/>
        <w:tabs>
          <w:tab w:val="left" w:pos="3500" w:leader="none"/>
          <w:tab w:val="left" w:pos="3862" w:leader="none"/>
          <w:tab w:val="left" w:pos="5148" w:leader="none"/>
          <w:tab w:val="left" w:pos="5615" w:leader="none"/>
          <w:tab w:val="left" w:pos="6611" w:leader="none"/>
          <w:tab w:val="left" w:pos="8231" w:leader="none"/>
          <w:tab w:val="left" w:pos="9109" w:leader="none"/>
        </w:tabs>
      </w:pPr>
      <w:r>
        <w:rPr>
          <w:spacing w:val="-2"/>
        </w:rPr>
        <w:t xml:space="preserve">Предложения</w:t>
      </w:r>
      <w:r>
        <w:t xml:space="preserve"> </w:t>
      </w:r>
      <w:r>
        <w:rPr>
          <w:spacing w:val="-10"/>
        </w:rPr>
        <w:t xml:space="preserve">и</w:t>
      </w:r>
      <w:r>
        <w:t xml:space="preserve"> </w:t>
      </w:r>
      <w:r>
        <w:rPr>
          <w:spacing w:val="-2"/>
        </w:rPr>
        <w:t xml:space="preserve">замечания</w:t>
      </w:r>
      <w:r>
        <w:t xml:space="preserve"> </w:t>
      </w:r>
      <w:r>
        <w:rPr>
          <w:spacing w:val="-6"/>
        </w:rPr>
        <w:t xml:space="preserve">на</w:t>
      </w:r>
      <w:r>
        <w:t xml:space="preserve"> </w:t>
      </w:r>
      <w:r>
        <w:rPr>
          <w:spacing w:val="-2"/>
        </w:rPr>
        <w:t xml:space="preserve">момент</w:t>
      </w:r>
      <w:r>
        <w:t xml:space="preserve"> </w:t>
      </w:r>
      <w:r>
        <w:rPr>
          <w:spacing w:val="-2"/>
        </w:rPr>
        <w:t xml:space="preserve">разработки</w:t>
      </w:r>
      <w:r>
        <w:t xml:space="preserve"> </w:t>
      </w:r>
      <w:r>
        <w:rPr>
          <w:spacing w:val="-2"/>
        </w:rPr>
        <w:t xml:space="preserve">схемы</w:t>
      </w:r>
      <w:r>
        <w:t xml:space="preserve"> </w:t>
      </w:r>
      <w:r>
        <w:rPr>
          <w:spacing w:val="-2"/>
        </w:rPr>
        <w:t xml:space="preserve">теплоснабжения </w:t>
      </w:r>
      <w:r>
        <w:t xml:space="preserve">Юргамышского</w:t>
      </w:r>
      <w:r>
        <w:t xml:space="preserve"> муниципального округа, не поступало.</w:t>
      </w:r>
      <w:r/>
    </w:p>
    <w:p>
      <w:pPr>
        <w:pStyle w:val="1248"/>
        <w:ind w:left="1158" w:firstLine="685"/>
        <w:jc w:val="left"/>
        <w:rPr>
          <w:lang w:eastAsia="ru-RU"/>
        </w:rPr>
      </w:pPr>
      <w:r/>
      <w:bookmarkStart w:id="695" w:name="_bookmark357"/>
      <w:r/>
      <w:bookmarkStart w:id="696" w:name="_Toc130232090"/>
      <w:r/>
      <w:bookmarkEnd w:id="695"/>
      <w:r>
        <w:rPr>
          <w:lang w:eastAsia="ru-RU"/>
        </w:rPr>
      </w:r>
      <w:r>
        <w:rPr>
          <w:lang w:eastAsia="ru-RU"/>
        </w:rPr>
      </w:r>
    </w:p>
    <w:p>
      <w:pPr>
        <w:pStyle w:val="1248"/>
        <w:ind w:left="1158" w:firstLine="685"/>
        <w:jc w:val="left"/>
      </w:pPr>
      <w:r/>
      <w:bookmarkStart w:id="697" w:name="_Toc165540869"/>
      <w:r>
        <w:rPr>
          <w:lang w:eastAsia="ru-RU"/>
        </w:rPr>
        <w:t xml:space="preserve">17.2 </w:t>
      </w:r>
      <w:r>
        <w:t xml:space="preserve">Ответы</w:t>
      </w:r>
      <w:r>
        <w:rPr>
          <w:spacing w:val="80"/>
        </w:rPr>
        <w:t xml:space="preserve"> </w:t>
      </w:r>
      <w:r>
        <w:t xml:space="preserve">разработчиков</w:t>
      </w:r>
      <w:r>
        <w:rPr>
          <w:spacing w:val="80"/>
        </w:rPr>
        <w:t xml:space="preserve"> </w:t>
      </w:r>
      <w:r>
        <w:t xml:space="preserve">проекта</w:t>
      </w:r>
      <w:r>
        <w:rPr>
          <w:spacing w:val="80"/>
        </w:rPr>
        <w:t xml:space="preserve"> </w:t>
      </w:r>
      <w:r>
        <w:t xml:space="preserve">схемы</w:t>
      </w:r>
      <w:r>
        <w:rPr>
          <w:spacing w:val="80"/>
        </w:rPr>
        <w:t xml:space="preserve"> </w:t>
      </w:r>
      <w:r>
        <w:t xml:space="preserve">теплоснабжения</w:t>
      </w:r>
      <w:r>
        <w:rPr>
          <w:spacing w:val="80"/>
        </w:rPr>
        <w:t xml:space="preserve"> </w:t>
      </w:r>
      <w:r>
        <w:t xml:space="preserve">на</w:t>
      </w:r>
      <w:r>
        <w:rPr>
          <w:spacing w:val="80"/>
        </w:rPr>
        <w:t xml:space="preserve"> </w:t>
      </w:r>
      <w:r>
        <w:t xml:space="preserve">замечания</w:t>
      </w:r>
      <w:r>
        <w:rPr>
          <w:spacing w:val="80"/>
        </w:rPr>
        <w:t xml:space="preserve"> </w:t>
      </w:r>
      <w:r>
        <w:t xml:space="preserve">и </w:t>
      </w:r>
      <w:r>
        <w:rPr>
          <w:spacing w:val="-2"/>
        </w:rPr>
        <w:t xml:space="preserve">предложения</w:t>
      </w:r>
      <w:bookmarkEnd w:id="696"/>
      <w:r/>
      <w:bookmarkEnd w:id="697"/>
      <w:r/>
      <w:r/>
    </w:p>
    <w:p>
      <w:pPr>
        <w:pStyle w:val="1247"/>
        <w:ind w:left="1158" w:right="604" w:firstLine="707"/>
        <w:jc w:val="both"/>
        <w:spacing w:before="116"/>
        <w:tabs>
          <w:tab w:val="left" w:pos="3500" w:leader="none"/>
          <w:tab w:val="left" w:pos="3862" w:leader="none"/>
          <w:tab w:val="left" w:pos="5148" w:leader="none"/>
          <w:tab w:val="left" w:pos="5615" w:leader="none"/>
          <w:tab w:val="left" w:pos="6611" w:leader="none"/>
          <w:tab w:val="left" w:pos="8231" w:leader="none"/>
          <w:tab w:val="left" w:pos="9109" w:leader="none"/>
        </w:tabs>
      </w:pPr>
      <w:r>
        <w:rPr>
          <w:spacing w:val="-2"/>
        </w:rPr>
        <w:t xml:space="preserve">Предложения</w:t>
      </w:r>
      <w:r>
        <w:t xml:space="preserve"> </w:t>
      </w:r>
      <w:r>
        <w:rPr>
          <w:spacing w:val="-10"/>
        </w:rPr>
        <w:t xml:space="preserve">и</w:t>
      </w:r>
      <w:r>
        <w:t xml:space="preserve"> </w:t>
      </w:r>
      <w:r>
        <w:rPr>
          <w:spacing w:val="-2"/>
        </w:rPr>
        <w:t xml:space="preserve">замечания</w:t>
      </w:r>
      <w:r>
        <w:t xml:space="preserve"> </w:t>
      </w:r>
      <w:r>
        <w:rPr>
          <w:spacing w:val="-6"/>
        </w:rPr>
        <w:t xml:space="preserve">на</w:t>
      </w:r>
      <w:r>
        <w:t xml:space="preserve"> </w:t>
      </w:r>
      <w:r>
        <w:rPr>
          <w:spacing w:val="-2"/>
        </w:rPr>
        <w:t xml:space="preserve">момент</w:t>
      </w:r>
      <w:r>
        <w:t xml:space="preserve"> </w:t>
      </w:r>
      <w:r>
        <w:rPr>
          <w:spacing w:val="-2"/>
        </w:rPr>
        <w:t xml:space="preserve">разработки </w:t>
      </w:r>
      <w:r>
        <w:rPr>
          <w:spacing w:val="-2"/>
        </w:rPr>
        <w:t xml:space="preserve">схемы</w:t>
      </w:r>
      <w:r>
        <w:t xml:space="preserve"> </w:t>
      </w:r>
      <w:r>
        <w:rPr>
          <w:spacing w:val="-2"/>
        </w:rPr>
        <w:t xml:space="preserve">теплоснабжения </w:t>
      </w:r>
      <w:r>
        <w:t xml:space="preserve">Юргамышского </w:t>
      </w:r>
      <w:r>
        <w:t xml:space="preserve">муниципального округа</w:t>
      </w:r>
      <w:r>
        <w:t xml:space="preserve">, не поступало.</w:t>
      </w:r>
      <w:r/>
    </w:p>
    <w:p>
      <w:pPr>
        <w:pStyle w:val="1247"/>
        <w:ind w:left="1157" w:right="607" w:firstLine="709"/>
        <w:tabs>
          <w:tab w:val="left" w:pos="3500" w:leader="none"/>
          <w:tab w:val="left" w:pos="3862" w:leader="none"/>
          <w:tab w:val="left" w:pos="5148" w:leader="none"/>
          <w:tab w:val="left" w:pos="5615" w:leader="none"/>
          <w:tab w:val="left" w:pos="6611" w:leader="none"/>
          <w:tab w:val="left" w:pos="8231" w:leader="none"/>
          <w:tab w:val="left" w:pos="9109" w:leader="none"/>
        </w:tabs>
      </w:pPr>
      <w:r/>
      <w:r/>
    </w:p>
    <w:p>
      <w:pPr>
        <w:pStyle w:val="1247"/>
        <w:spacing w:before="6"/>
        <w:rPr>
          <w:sz w:val="16"/>
        </w:rPr>
      </w:pPr>
      <w:r>
        <w:rPr>
          <w:sz w:val="16"/>
        </w:rPr>
      </w:r>
      <w:r>
        <w:rPr>
          <w:sz w:val="16"/>
        </w:rPr>
      </w:r>
      <w:r>
        <w:rPr>
          <w:sz w:val="16"/>
        </w:rPr>
      </w:r>
    </w:p>
    <w:p>
      <w:pPr>
        <w:pStyle w:val="1248"/>
        <w:ind w:left="1158" w:right="607" w:firstLine="685"/>
      </w:pPr>
      <w:r/>
      <w:bookmarkStart w:id="698" w:name="_bookmark358"/>
      <w:r/>
      <w:bookmarkStart w:id="699" w:name="_Toc130232091"/>
      <w:r/>
      <w:bookmarkStart w:id="700" w:name="_Toc165540870"/>
      <w:r/>
      <w:bookmarkEnd w:id="698"/>
      <w:r>
        <w:rPr>
          <w:lang w:eastAsia="ru-RU"/>
        </w:rPr>
        <w:t xml:space="preserve">17.3 </w:t>
      </w:r>
      <w:r>
        <w:t xml:space="preserve">Перечень учтённых замечаний и предложений, а также реестр изменений, внесённых в разделы схемы теплоснабжения и главы обосновывающих материалов к схеме теплоснабжения</w:t>
      </w:r>
      <w:bookmarkEnd w:id="699"/>
      <w:r/>
      <w:bookmarkEnd w:id="700"/>
      <w:r/>
      <w:r/>
    </w:p>
    <w:p>
      <w:pPr>
        <w:pStyle w:val="1247"/>
        <w:ind w:left="1158" w:right="606" w:firstLine="707"/>
        <w:jc w:val="both"/>
        <w:spacing w:before="116"/>
      </w:pPr>
      <w:r>
        <w:t xml:space="preserve">Предложения и замечания на момент </w:t>
      </w:r>
      <w:r>
        <w:t xml:space="preserve">разработки</w:t>
      </w:r>
      <w:r>
        <w:t xml:space="preserve"> схемы теплоснабжения </w:t>
      </w:r>
      <w:r>
        <w:t xml:space="preserve">Юргамышского</w:t>
      </w:r>
      <w:r>
        <w:t xml:space="preserve"> муниципального округа</w:t>
      </w:r>
      <w:r>
        <w:t xml:space="preserve">, не поступало.</w:t>
      </w:r>
      <w:r/>
    </w:p>
    <w:p>
      <w:pPr>
        <w:jc w:val="both"/>
        <w:sectPr>
          <w:footnotePr/>
          <w:endnotePr/>
          <w:type w:val="nextPage"/>
          <w:pgSz w:w="11910" w:h="16840" w:orient="portrait"/>
          <w:pgMar w:top="1040" w:right="240" w:bottom="940" w:left="260" w:header="0" w:footer="758" w:gutter="0"/>
          <w:cols w:num="1" w:sep="0" w:space="720" w:equalWidth="1"/>
          <w:docGrid w:linePitch="360"/>
        </w:sectPr>
      </w:pPr>
      <w:r/>
      <w:r/>
    </w:p>
    <w:p>
      <w:pPr>
        <w:pStyle w:val="1248"/>
        <w:ind w:left="709" w:right="501" w:firstLine="707"/>
        <w:spacing w:before="71"/>
        <w:tabs>
          <w:tab w:val="left" w:pos="1701" w:leader="none"/>
        </w:tabs>
      </w:pPr>
      <w:r/>
      <w:bookmarkStart w:id="701" w:name="_bookmark359"/>
      <w:r/>
      <w:bookmarkStart w:id="702" w:name="_Toc130232092"/>
      <w:r/>
      <w:bookmarkStart w:id="703" w:name="_Toc165540871"/>
      <w:r/>
      <w:bookmarkEnd w:id="701"/>
      <w:r>
        <w:t xml:space="preserve">Глава</w:t>
      </w:r>
      <w:r>
        <w:rPr>
          <w:spacing w:val="-3"/>
        </w:rPr>
        <w:t xml:space="preserve"> </w:t>
      </w:r>
      <w:r>
        <w:t xml:space="preserve">18 Сводный</w:t>
      </w:r>
      <w:r>
        <w:rPr>
          <w:spacing w:val="80"/>
        </w:rPr>
        <w:t xml:space="preserve"> </w:t>
      </w:r>
      <w:r>
        <w:t xml:space="preserve">том</w:t>
      </w:r>
      <w:r>
        <w:rPr>
          <w:spacing w:val="80"/>
        </w:rPr>
        <w:t xml:space="preserve"> </w:t>
      </w:r>
      <w:r>
        <w:t xml:space="preserve">изменений,</w:t>
      </w:r>
      <w:r>
        <w:rPr>
          <w:spacing w:val="80"/>
        </w:rPr>
        <w:t xml:space="preserve"> </w:t>
      </w:r>
      <w:r>
        <w:t xml:space="preserve">выполненных</w:t>
      </w:r>
      <w:r>
        <w:rPr>
          <w:spacing w:val="80"/>
        </w:rPr>
        <w:t xml:space="preserve"> </w:t>
      </w:r>
      <w:r>
        <w:t xml:space="preserve">в</w:t>
      </w:r>
      <w:r>
        <w:rPr>
          <w:spacing w:val="80"/>
        </w:rPr>
        <w:t xml:space="preserve"> </w:t>
      </w:r>
      <w:r>
        <w:t xml:space="preserve">доработанной</w:t>
      </w:r>
      <w:r>
        <w:rPr>
          <w:spacing w:val="80"/>
        </w:rPr>
        <w:t xml:space="preserve"> </w:t>
      </w:r>
      <w:r>
        <w:t xml:space="preserve">и</w:t>
      </w:r>
      <w:r>
        <w:rPr>
          <w:spacing w:val="80"/>
        </w:rPr>
        <w:t xml:space="preserve"> </w:t>
      </w:r>
      <w:r>
        <w:t xml:space="preserve">(или) актуализированной схеме теплоснабжения</w:t>
      </w:r>
      <w:bookmarkEnd w:id="702"/>
      <w:r/>
      <w:bookmarkEnd w:id="703"/>
      <w:r/>
      <w:r/>
    </w:p>
    <w:p>
      <w:pPr>
        <w:ind w:left="709" w:right="501" w:firstLine="707"/>
        <w:jc w:val="both"/>
        <w:spacing w:before="120"/>
        <w:tabs>
          <w:tab w:val="left" w:pos="1701" w:leader="none"/>
        </w:tabs>
        <w:rPr>
          <w:b/>
          <w:sz w:val="24"/>
        </w:rPr>
      </w:pPr>
      <w:r/>
      <w:bookmarkStart w:id="704" w:name="_bookmark360"/>
      <w:r/>
      <w:bookmarkEnd w:id="704"/>
      <w:r>
        <w:rPr>
          <w:b/>
          <w:sz w:val="24"/>
          <w:szCs w:val="24"/>
          <w:lang w:eastAsia="ru-RU"/>
        </w:rPr>
        <w:t xml:space="preserve">18.1</w:t>
      </w:r>
      <w:r>
        <w:rPr>
          <w:lang w:eastAsia="ru-RU"/>
        </w:rPr>
        <w:t xml:space="preserve"> </w:t>
      </w:r>
      <w:r>
        <w:rPr>
          <w:b/>
          <w:sz w:val="24"/>
        </w:rPr>
        <w:t xml:space="preserve">Реестр</w:t>
      </w:r>
      <w:r>
        <w:rPr>
          <w:b/>
          <w:spacing w:val="40"/>
          <w:sz w:val="24"/>
        </w:rPr>
        <w:t xml:space="preserve"> </w:t>
      </w:r>
      <w:r>
        <w:rPr>
          <w:b/>
          <w:sz w:val="24"/>
        </w:rPr>
        <w:t xml:space="preserve">изменений,</w:t>
      </w:r>
      <w:r>
        <w:rPr>
          <w:b/>
          <w:spacing w:val="39"/>
          <w:sz w:val="24"/>
        </w:rPr>
        <w:t xml:space="preserve"> </w:t>
      </w:r>
      <w:r>
        <w:rPr>
          <w:b/>
          <w:sz w:val="24"/>
        </w:rPr>
        <w:t xml:space="preserve">внесённых</w:t>
      </w:r>
      <w:r>
        <w:rPr>
          <w:b/>
          <w:spacing w:val="39"/>
          <w:sz w:val="24"/>
        </w:rPr>
        <w:t xml:space="preserve"> </w:t>
      </w:r>
      <w:r>
        <w:rPr>
          <w:b/>
          <w:sz w:val="24"/>
        </w:rPr>
        <w:t xml:space="preserve">в</w:t>
      </w:r>
      <w:r>
        <w:rPr>
          <w:b/>
          <w:spacing w:val="39"/>
          <w:sz w:val="24"/>
        </w:rPr>
        <w:t xml:space="preserve"> </w:t>
      </w:r>
      <w:r>
        <w:rPr>
          <w:b/>
          <w:sz w:val="24"/>
        </w:rPr>
        <w:t xml:space="preserve">доработанную</w:t>
      </w:r>
      <w:r>
        <w:rPr>
          <w:b/>
          <w:spacing w:val="39"/>
          <w:sz w:val="24"/>
        </w:rPr>
        <w:t xml:space="preserve"> </w:t>
      </w:r>
      <w:r>
        <w:rPr>
          <w:b/>
          <w:sz w:val="24"/>
        </w:rPr>
        <w:t xml:space="preserve">и</w:t>
      </w:r>
      <w:r>
        <w:rPr>
          <w:b/>
          <w:spacing w:val="40"/>
          <w:sz w:val="24"/>
        </w:rPr>
        <w:t xml:space="preserve"> </w:t>
      </w:r>
      <w:r>
        <w:rPr>
          <w:b/>
          <w:sz w:val="24"/>
        </w:rPr>
        <w:t xml:space="preserve">(или)</w:t>
      </w:r>
      <w:r>
        <w:rPr>
          <w:b/>
          <w:spacing w:val="39"/>
          <w:sz w:val="24"/>
        </w:rPr>
        <w:t xml:space="preserve"> </w:t>
      </w:r>
      <w:r>
        <w:rPr>
          <w:b/>
          <w:sz w:val="24"/>
        </w:rPr>
        <w:t xml:space="preserve">актуализированную схему теплоснабжения</w:t>
      </w:r>
      <w:r>
        <w:rPr>
          <w:b/>
          <w:sz w:val="24"/>
        </w:rPr>
      </w:r>
      <w:r>
        <w:rPr>
          <w:b/>
          <w:sz w:val="24"/>
        </w:rPr>
      </w:r>
    </w:p>
    <w:p>
      <w:pPr>
        <w:pStyle w:val="1247"/>
        <w:ind w:left="709" w:right="501" w:firstLine="707"/>
        <w:jc w:val="both"/>
        <w:spacing w:before="120"/>
        <w:tabs>
          <w:tab w:val="left" w:pos="1701" w:leader="none"/>
        </w:tabs>
      </w:pPr>
      <w:r>
        <w:t xml:space="preserve">Ранее схема теплоснабжения </w:t>
      </w:r>
      <w:r>
        <w:t xml:space="preserve">Юргамышского</w:t>
      </w:r>
      <w:r>
        <w:t xml:space="preserve"> муниципального округа не была разработана.</w:t>
      </w:r>
      <w:r/>
    </w:p>
    <w:p>
      <w:pPr>
        <w:pStyle w:val="1247"/>
        <w:ind w:left="709" w:right="501" w:firstLine="707"/>
        <w:jc w:val="both"/>
        <w:spacing w:before="116"/>
        <w:tabs>
          <w:tab w:val="left" w:pos="1701" w:leader="none"/>
        </w:tabs>
      </w:pPr>
      <w:r/>
      <w:r/>
    </w:p>
    <w:p>
      <w:pPr>
        <w:pStyle w:val="1248"/>
        <w:ind w:left="709" w:right="501" w:firstLine="707"/>
        <w:tabs>
          <w:tab w:val="left" w:pos="1701" w:leader="none"/>
        </w:tabs>
      </w:pPr>
      <w:r/>
      <w:bookmarkStart w:id="705" w:name="_bookmark361"/>
      <w:r/>
      <w:bookmarkStart w:id="706" w:name="_Toc130232093"/>
      <w:r/>
      <w:bookmarkStart w:id="707" w:name="_Toc165540872"/>
      <w:r/>
      <w:bookmarkEnd w:id="705"/>
      <w:r>
        <w:rPr>
          <w:lang w:eastAsia="ru-RU"/>
        </w:rPr>
        <w:t xml:space="preserve">18.2 </w:t>
      </w:r>
      <w:r>
        <w:t xml:space="preserve">Мероприятия</w:t>
      </w:r>
      <w:r>
        <w:rPr>
          <w:spacing w:val="80"/>
        </w:rPr>
        <w:t xml:space="preserve"> </w:t>
      </w:r>
      <w:r>
        <w:t xml:space="preserve">из</w:t>
      </w:r>
      <w:r>
        <w:rPr>
          <w:spacing w:val="80"/>
        </w:rPr>
        <w:t xml:space="preserve"> </w:t>
      </w:r>
      <w:r>
        <w:t xml:space="preserve">утверждённой</w:t>
      </w:r>
      <w:r>
        <w:rPr>
          <w:spacing w:val="80"/>
        </w:rPr>
        <w:t xml:space="preserve"> </w:t>
      </w:r>
      <w:r>
        <w:t xml:space="preserve">схемы</w:t>
      </w:r>
      <w:r>
        <w:rPr>
          <w:spacing w:val="80"/>
        </w:rPr>
        <w:t xml:space="preserve"> </w:t>
      </w:r>
      <w:r>
        <w:t xml:space="preserve">теплоснабжения,</w:t>
      </w:r>
      <w:r>
        <w:rPr>
          <w:spacing w:val="80"/>
        </w:rPr>
        <w:t xml:space="preserve"> </w:t>
      </w:r>
      <w:r>
        <w:t xml:space="preserve">которые</w:t>
      </w:r>
      <w:r>
        <w:rPr>
          <w:spacing w:val="80"/>
        </w:rPr>
        <w:t xml:space="preserve"> </w:t>
      </w:r>
      <w:r>
        <w:t xml:space="preserve">были</w:t>
      </w:r>
      <w:r>
        <w:rPr>
          <w:spacing w:val="40"/>
        </w:rPr>
        <w:t xml:space="preserve"> </w:t>
      </w:r>
      <w:r>
        <w:t xml:space="preserve">выполнены за период, прошедший с даты утверждения схемы теплоснабжения</w:t>
      </w:r>
      <w:bookmarkEnd w:id="706"/>
      <w:r/>
      <w:bookmarkEnd w:id="707"/>
      <w:r/>
      <w:r/>
    </w:p>
    <w:p>
      <w:pPr>
        <w:pStyle w:val="1247"/>
        <w:ind w:left="709" w:right="501" w:firstLine="707"/>
        <w:jc w:val="both"/>
        <w:spacing w:before="120"/>
        <w:tabs>
          <w:tab w:val="left" w:pos="1701" w:leader="none"/>
        </w:tabs>
      </w:pPr>
      <w:r>
        <w:t xml:space="preserve">Ранее схема теплоснабжения </w:t>
      </w:r>
      <w:r>
        <w:t xml:space="preserve">Юргамышского</w:t>
      </w:r>
      <w:r>
        <w:t xml:space="preserve"> муниципального округа не была разработана.</w:t>
      </w:r>
      <w:r/>
    </w:p>
    <w:p>
      <w:pPr>
        <w:rPr>
          <w:sz w:val="24"/>
          <w:szCs w:val="24"/>
        </w:rPr>
      </w:pPr>
      <w:r>
        <w:br w:type="page" w:clear="all"/>
      </w:r>
      <w:r>
        <w:rPr>
          <w:sz w:val="24"/>
          <w:szCs w:val="24"/>
        </w:rPr>
      </w:r>
      <w:r>
        <w:rPr>
          <w:sz w:val="24"/>
          <w:szCs w:val="24"/>
        </w:rPr>
      </w:r>
    </w:p>
    <w:p>
      <w:pPr>
        <w:pStyle w:val="1247"/>
        <w:ind w:left="709" w:right="501" w:firstLine="707"/>
        <w:jc w:val="right"/>
        <w:spacing w:before="120"/>
        <w:tabs>
          <w:tab w:val="left" w:pos="1701" w:leader="none"/>
        </w:tabs>
        <w:sectPr>
          <w:footerReference w:type="default" r:id="rId17"/>
          <w:footnotePr/>
          <w:endnotePr/>
          <w:type w:val="nextPage"/>
          <w:pgSz w:w="11910" w:h="16840" w:orient="portrait"/>
          <w:pgMar w:top="992" w:right="352" w:bottom="284" w:left="709" w:header="0" w:footer="289" w:gutter="0"/>
          <w:cols w:num="1" w:sep="0" w:space="720" w:equalWidth="1"/>
          <w:docGrid w:linePitch="360"/>
        </w:sectPr>
      </w:pPr>
      <w:r/>
      <w:r/>
    </w:p>
    <w:p>
      <w:pPr>
        <w:pStyle w:val="1247"/>
        <w:ind w:left="709" w:right="499" w:firstLine="709"/>
        <w:jc w:val="right"/>
        <w:tabs>
          <w:tab w:val="left" w:pos="1701" w:leader="none"/>
        </w:tabs>
      </w:pPr>
      <w:r>
        <w:t xml:space="preserve">Приложение </w:t>
      </w:r>
      <w:r/>
    </w:p>
    <w:p>
      <w:pPr>
        <w:pStyle w:val="1247"/>
        <w:ind w:left="709" w:right="499"/>
        <w:jc w:val="center"/>
        <w:tabs>
          <w:tab w:val="left" w:pos="1701" w:leader="none"/>
        </w:tabs>
      </w:pPr>
      <w:r>
        <w:rPr>
          <w:lang w:eastAsia="ru-RU"/>
        </w:rPr>
        <mc:AlternateContent>
          <mc:Choice Requires="wpg">
            <w:drawing>
              <wp:anchor xmlns:wp="http://schemas.openxmlformats.org/drawingml/2006/wordprocessingDrawing" xmlns:wp14="http://schemas.microsoft.com/office/word/2010/wordprocessingDrawing" distT="0" distB="0" distL="114300" distR="114300" simplePos="0" relativeHeight="251661824" behindDoc="1" locked="0" layoutInCell="1" allowOverlap="1">
                <wp:simplePos x="0" y="0"/>
                <wp:positionH relativeFrom="column">
                  <wp:posOffset>354680</wp:posOffset>
                </wp:positionH>
                <wp:positionV relativeFrom="paragraph">
                  <wp:posOffset>113827</wp:posOffset>
                </wp:positionV>
                <wp:extent cx="9572017" cy="6510921"/>
                <wp:effectExtent l="0" t="0" r="0" b="4445"/>
                <wp:wrapNone/>
                <wp:docPr id="34" name="Рисунок 28" descr="C:\Users\001\Downloads\Схема Юргамыш новая_page-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C:\Users\001\Downloads\Схема Юргамыш новая_page-0001.jpg"/>
                        <pic:cNvPicPr>
                          <a:picLocks noChangeAspect="1"/>
                        </pic:cNvPicPr>
                        <pic:nvPr/>
                      </pic:nvPicPr>
                      <pic:blipFill>
                        <a:blip r:embed="rId83"/>
                        <a:stretch/>
                      </pic:blipFill>
                      <pic:spPr bwMode="auto">
                        <a:xfrm>
                          <a:off x="0" y="0"/>
                          <a:ext cx="9575213" cy="6513095"/>
                        </a:xfrm>
                        <a:prstGeom prst="rect">
                          <a:avLst/>
                        </a:prstGeom>
                        <a:noFill/>
                        <a:ln>
                          <a:noFill/>
                        </a:ln>
                      </pic:spPr>
                    </pic:pic>
                  </a:graphicData>
                </a:graphic>
                <wp14:sizeRelH relativeFrom="page">
                  <wp14:pctWidth>0</wp14:pctWidth>
                </wp14:sizeRelH>
                <wp14:sizeRelV relativeFrom="page">
                  <wp14:pctHeight>0</wp14:pctHeight>
                </wp14:sizeRelV>
              </wp:anchor>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79" o:spid="_x0000_s179" type="#_x0000_t75" style="position:absolute;z-index:-251661824;o:allowoverlap:true;o:allowincell:true;mso-position-horizontal-relative:text;margin-left:27.93pt;mso-position-horizontal:absolute;mso-position-vertical-relative:text;margin-top:8.96pt;mso-position-vertical:absolute;width:753.70pt;height:512.67pt;mso-wrap-distance-left:9.00pt;mso-wrap-distance-top:0.00pt;mso-wrap-distance-right:9.00pt;mso-wrap-distance-bottom:0.00pt;" stroked="f">
                <v:path textboxrect="0,0,0,0"/>
                <v:imagedata r:id="rId83" o:title=""/>
              </v:shape>
            </w:pict>
          </mc:Fallback>
        </mc:AlternateContent>
      </w:r>
      <w:r>
        <w:t xml:space="preserve">Схемы тепловых сетей в зонах действия источников тепловой энергии</w:t>
      </w:r>
      <w:r/>
    </w:p>
    <w:p>
      <w:pPr>
        <w:pStyle w:val="1247"/>
        <w:ind w:left="709" w:right="499" w:firstLine="709"/>
        <w:jc w:val="center"/>
        <w:tabs>
          <w:tab w:val="left" w:pos="1701" w:leader="none"/>
        </w:tabs>
      </w:pPr>
      <w:r/>
      <w:r/>
    </w:p>
    <w:p>
      <w:pPr>
        <w:ind w:left="567"/>
      </w:pPr>
      <w:r>
        <w:br w:type="page" w:clear="all"/>
      </w:r>
      <w:r>
        <w:rPr>
          <w:lang w:eastAsia="ru-RU"/>
        </w:rPr>
        <mc:AlternateContent>
          <mc:Choice Requires="wpg">
            <w:drawing>
              <wp:inline xmlns:wp="http://schemas.openxmlformats.org/drawingml/2006/wordprocessingDrawing" distT="0" distB="0" distL="0" distR="0">
                <wp:extent cx="9629522" cy="6669639"/>
                <wp:effectExtent l="0" t="0" r="0" b="0"/>
                <wp:docPr id="35" name="Рисунок 15" descr="C:\Users\001\Downloads\04.2-Схема теплосетей от ж-д.котельной Юргамыш 2024_page-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001\Downloads\04.2-Схема теплосетей от ж-д.котельной Юргамыш 2024_page-0001.jpg"/>
                        <pic:cNvPicPr>
                          <a:picLocks noChangeAspect="1"/>
                        </pic:cNvPicPr>
                        <pic:nvPr/>
                      </pic:nvPicPr>
                      <pic:blipFill>
                        <a:blip r:embed="rId84"/>
                        <a:stretch/>
                      </pic:blipFill>
                      <pic:spPr bwMode="auto">
                        <a:xfrm>
                          <a:off x="0" y="0"/>
                          <a:ext cx="9636808" cy="6674686"/>
                        </a:xfrm>
                        <a:prstGeom prst="rect">
                          <a:avLst/>
                        </a:prstGeom>
                        <a:noFill/>
                        <a:ln>
                          <a:noFil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80" o:spid="_x0000_s180" type="#_x0000_t75" style="width:758.23pt;height:525.17pt;mso-wrap-distance-left:0.00pt;mso-wrap-distance-top:0.00pt;mso-wrap-distance-right:0.00pt;mso-wrap-distance-bottom:0.00pt;" stroked="f">
                <v:path textboxrect="0,0,0,0"/>
                <v:imagedata r:id="rId84" o:title=""/>
              </v:shape>
            </w:pict>
          </mc:Fallback>
        </mc:AlternateContent>
      </w:r>
      <w:r/>
    </w:p>
    <w:p>
      <w:pPr>
        <w:sectPr>
          <w:footnotePr/>
          <w:endnotePr/>
          <w:type w:val="nextPage"/>
          <w:pgSz w:w="16840" w:h="11910" w:orient="landscape"/>
          <w:pgMar w:top="709" w:right="992" w:bottom="352" w:left="284" w:header="0" w:footer="289" w:gutter="0"/>
          <w:cols w:num="1" w:sep="0" w:space="720" w:equalWidth="1"/>
          <w:docGrid w:linePitch="360"/>
        </w:sectPr>
      </w:pPr>
      <w:r>
        <w:rPr>
          <w:lang w:eastAsia="ru-RU"/>
        </w:rPr>
      </w:r>
      <w:r>
        <mc:AlternateContent>
          <mc:Choice Requires="wpg">
            <w:drawing>
              <wp:inline xmlns:wp="http://schemas.openxmlformats.org/drawingml/2006/wordprocessingDrawing" distT="0" distB="0" distL="0" distR="0">
                <wp:extent cx="10155260" cy="6543675"/>
                <wp:effectExtent l="0" t="0" r="0" b="0"/>
                <wp:docPr id="3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4270393" name=""/>
                        <pic:cNvPicPr>
                          <a:picLocks noChangeAspect="1"/>
                        </pic:cNvPicPr>
                        <pic:nvPr/>
                      </pic:nvPicPr>
                      <pic:blipFill>
                        <a:blip r:embed="rId85"/>
                        <a:stretch/>
                      </pic:blipFill>
                      <pic:spPr bwMode="auto">
                        <a:xfrm flipH="0" flipV="0">
                          <a:off x="0" y="0"/>
                          <a:ext cx="10155259" cy="6543675"/>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81" o:spid="_x0000_s181" type="#_x0000_t75" style="width:799.63pt;height:515.25pt;mso-wrap-distance-left:0.00pt;mso-wrap-distance-top:0.00pt;mso-wrap-distance-right:0.00pt;mso-wrap-distance-bottom:0.00pt;" stroked="false">
                <v:path textboxrect="0,0,0,0"/>
                <v:imagedata r:id="rId85" o:title=""/>
              </v:shape>
            </w:pict>
          </mc:Fallback>
        </mc:AlternateContent>
      </w:r>
      <w:r>
        <w:br w:type="page" w:clear="all"/>
      </w:r>
      <w:r/>
    </w:p>
    <w:p>
      <w:pPr>
        <w:pStyle w:val="1247"/>
        <w:ind w:right="501"/>
        <w:jc w:val="center"/>
        <w:spacing w:before="115"/>
        <w:tabs>
          <w:tab w:val="left" w:pos="1701" w:leader="none"/>
        </w:tabs>
      </w:pPr>
      <w:r>
        <mc:AlternateContent>
          <mc:Choice Requires="wpg">
            <w:drawing>
              <wp:inline xmlns:wp="http://schemas.openxmlformats.org/drawingml/2006/wordprocessingDrawing" distT="0" distB="0" distL="0" distR="0">
                <wp:extent cx="6889115" cy="6786819"/>
                <wp:effectExtent l="0" t="0" r="6985" b="0"/>
                <wp:docPr id="37" name="Рисунок 16" descr="C:\Users\lenovo\Desktop\Юргамыш\данные\фку ик 7 сети по ленин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enovo\Desktop\Юргамыш\данные\фку ик 7 сети по ленина.jpg"/>
                        <pic:cNvPicPr>
                          <a:picLocks noChangeAspect="1"/>
                        </pic:cNvPicPr>
                        <pic:nvPr/>
                      </pic:nvPicPr>
                      <pic:blipFill>
                        <a:blip r:embed="rId86"/>
                        <a:stretch/>
                      </pic:blipFill>
                      <pic:spPr bwMode="auto">
                        <a:xfrm>
                          <a:off x="0" y="0"/>
                          <a:ext cx="6889115" cy="6786819"/>
                        </a:xfrm>
                        <a:prstGeom prst="rect">
                          <a:avLst/>
                        </a:prstGeom>
                        <a:noFill/>
                        <a:ln>
                          <a:noFil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82" o:spid="_x0000_s182" type="#_x0000_t75" style="width:542.45pt;height:534.40pt;mso-wrap-distance-left:0.00pt;mso-wrap-distance-top:0.00pt;mso-wrap-distance-right:0.00pt;mso-wrap-distance-bottom:0.00pt;" stroked="f">
                <v:path textboxrect="0,0,0,0"/>
                <v:imagedata r:id="rId86" o:title=""/>
              </v:shape>
            </w:pict>
          </mc:Fallback>
        </mc:AlternateContent>
      </w:r>
      <w:r/>
    </w:p>
    <w:p>
      <w:pPr>
        <w:rPr>
          <w:sz w:val="24"/>
          <w:szCs w:val="24"/>
        </w:rPr>
      </w:pPr>
      <w:r>
        <w:br w:type="page" w:clear="all"/>
      </w:r>
      <w:r>
        <w:rPr>
          <w:sz w:val="24"/>
          <w:szCs w:val="24"/>
        </w:rPr>
      </w:r>
      <w:r>
        <w:rPr>
          <w:sz w:val="24"/>
          <w:szCs w:val="24"/>
        </w:rPr>
      </w:r>
    </w:p>
    <w:p>
      <w:pPr>
        <w:pStyle w:val="1247"/>
        <w:ind w:right="501"/>
        <w:jc w:val="center"/>
        <w:spacing w:before="115"/>
        <w:tabs>
          <w:tab w:val="left" w:pos="1701" w:leader="none"/>
        </w:tabs>
      </w:pPr>
      <w:r>
        <mc:AlternateContent>
          <mc:Choice Requires="wpg">
            <w:drawing>
              <wp:inline xmlns:wp="http://schemas.openxmlformats.org/drawingml/2006/wordprocessingDrawing" distT="0" distB="0" distL="0" distR="0">
                <wp:extent cx="6864884" cy="5799666"/>
                <wp:effectExtent l="0" t="0" r="0" b="0"/>
                <wp:docPr id="38" name="Рисунок 17" descr="C:\Users\lenovo\Desktop\Юргамыш\данные\фку сети по труд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lenovo\Desktop\Юргамыш\данные\фку сети по труда.jpg"/>
                        <pic:cNvPicPr>
                          <a:picLocks noChangeAspect="1"/>
                        </pic:cNvPicPr>
                        <pic:nvPr/>
                      </pic:nvPicPr>
                      <pic:blipFill>
                        <a:blip r:embed="rId87"/>
                        <a:stretch/>
                      </pic:blipFill>
                      <pic:spPr bwMode="auto">
                        <a:xfrm>
                          <a:off x="0" y="0"/>
                          <a:ext cx="6866876" cy="5801350"/>
                        </a:xfrm>
                        <a:prstGeom prst="rect">
                          <a:avLst/>
                        </a:prstGeom>
                        <a:noFill/>
                        <a:ln>
                          <a:noFil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83" o:spid="_x0000_s183" type="#_x0000_t75" style="width:540.54pt;height:456.67pt;mso-wrap-distance-left:0.00pt;mso-wrap-distance-top:0.00pt;mso-wrap-distance-right:0.00pt;mso-wrap-distance-bottom:0.00pt;" stroked="f">
                <v:path textboxrect="0,0,0,0"/>
                <v:imagedata r:id="rId87" o:title=""/>
              </v:shape>
            </w:pict>
          </mc:Fallback>
        </mc:AlternateContent>
      </w:r>
      <w:r/>
    </w:p>
    <w:p>
      <w:pPr>
        <w:rPr>
          <w:sz w:val="24"/>
          <w:szCs w:val="24"/>
        </w:rPr>
      </w:pPr>
      <w:r>
        <w:br w:type="page" w:clear="all"/>
      </w:r>
      <w:r>
        <w:rPr>
          <w:sz w:val="24"/>
          <w:szCs w:val="24"/>
        </w:rPr>
      </w:r>
      <w:r>
        <w:rPr>
          <w:sz w:val="24"/>
          <w:szCs w:val="24"/>
        </w:rPr>
      </w:r>
    </w:p>
    <w:p>
      <w:pPr>
        <w:pStyle w:val="1247"/>
        <w:ind w:right="501"/>
        <w:jc w:val="center"/>
        <w:spacing w:before="115"/>
        <w:tabs>
          <w:tab w:val="left" w:pos="1701" w:leader="none"/>
        </w:tabs>
      </w:pPr>
      <w:r>
        <w:rPr>
          <w:lang w:eastAsia="ru-RU"/>
        </w:rPr>
        <mc:AlternateContent>
          <mc:Choice Requires="wpg">
            <w:drawing>
              <wp:inline xmlns:wp="http://schemas.openxmlformats.org/drawingml/2006/wordprocessingDrawing" distT="0" distB="0" distL="0" distR="0">
                <wp:extent cx="6935822" cy="9601835"/>
                <wp:effectExtent l="0" t="0" r="0" b="0"/>
                <wp:docPr id="39" name="Рисунок 27" descr="C:\Users\001\Downloads\2.ЮТЭК 24_Схема вся - 2024_page-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C:\Users\001\Downloads\2.ЮТЭК 24_Схема вся - 2024_page-0001.jpg"/>
                        <pic:cNvPicPr>
                          <a:picLocks noChangeAspect="1"/>
                        </pic:cNvPicPr>
                        <pic:nvPr/>
                      </pic:nvPicPr>
                      <pic:blipFill>
                        <a:blip r:embed="rId88"/>
                        <a:stretch/>
                      </pic:blipFill>
                      <pic:spPr bwMode="auto">
                        <a:xfrm>
                          <a:off x="0" y="0"/>
                          <a:ext cx="6944923" cy="9614435"/>
                        </a:xfrm>
                        <a:prstGeom prst="rect">
                          <a:avLst/>
                        </a:prstGeom>
                        <a:noFill/>
                        <a:ln>
                          <a:noFil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84" o:spid="_x0000_s184" type="#_x0000_t75" style="width:546.13pt;height:756.05pt;mso-wrap-distance-left:0.00pt;mso-wrap-distance-top:0.00pt;mso-wrap-distance-right:0.00pt;mso-wrap-distance-bottom:0.00pt;" stroked="f">
                <v:path textboxrect="0,0,0,0"/>
                <v:imagedata r:id="rId88" o:title=""/>
              </v:shape>
            </w:pict>
          </mc:Fallback>
        </mc:AlternateContent>
      </w:r>
      <w:bookmarkStart w:id="708" w:name="_GoBack"/>
      <w:r/>
      <w:bookmarkEnd w:id="708"/>
      <w:r/>
      <w:r/>
    </w:p>
    <w:sectPr>
      <w:footnotePr/>
      <w:endnotePr/>
      <w:type w:val="nextPage"/>
      <w:pgSz w:w="11910" w:h="16840" w:orient="portrait"/>
      <w:pgMar w:top="992" w:right="352" w:bottom="284" w:left="709" w:header="0" w:footer="289" w:gutter="0"/>
      <w:cols w:num="1" w:sep="0" w:space="720" w:equalWidth="1"/>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endnote w:type="separator" w:id="-1">
    <w:p>
      <w:r>
        <w:separator/>
      </w:r>
      <w:r/>
    </w:p>
  </w:endnote>
  <w:endnote w:type="continuationSeparator" w:id="0">
    <w:p>
      <w:r>
        <w:continuationSeparator/>
      </w: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Math">
    <w:panose1 w:val="02040503050406030204"/>
  </w:font>
  <w:font w:name="Liberation Serif">
    <w:panose1 w:val="02020603050405020304"/>
  </w:font>
  <w:font w:name="Symbol">
    <w:panose1 w:val="05050102010706020507"/>
  </w:font>
  <w:font w:name="Wingdings">
    <w:panose1 w:val="05000000000000000000"/>
  </w:font>
  <w:font w:name="Courier New">
    <w:panose1 w:val="02070309020205020404"/>
  </w:font>
  <w:font w:name="Calibri">
    <w:panose1 w:val="020F0502020204030204"/>
  </w:font>
  <w:font w:name="Tahoma">
    <w:panose1 w:val="020B0604030504040204"/>
  </w:font>
  <w:font w:name="Times New Roman">
    <w:panose1 w:val="02020603050405020304"/>
  </w:font>
  <w:font w:name="Arial Unicode MS">
    <w:panose1 w:val="020B0604020202020204"/>
  </w:font>
  <w:font w:name="Arial">
    <w:panose1 w:val="020B0604020202020204"/>
  </w:font>
  <w:font w:name="Cambria">
    <w:panose1 w:val="02040503050406030204"/>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1247"/>
      <w:spacing w:line="14" w:lineRule="auto"/>
      <w:rPr>
        <w:sz w:val="20"/>
      </w:rPr>
    </w:pPr>
    <w:r>
      <w:rPr>
        <w:lang w:eastAsia="ru-RU"/>
      </w:rPr>
      <mc:AlternateContent>
        <mc:Choice Requires="wpg">
          <w:drawing>
            <wp:anchor xmlns:wp="http://schemas.openxmlformats.org/drawingml/2006/wordprocessingDrawing" xmlns:wp14="http://schemas.microsoft.com/office/word/2010/wordprocessingDrawing" distT="0" distB="0" distL="114300" distR="114300" simplePos="0" relativeHeight="468887040" behindDoc="1" locked="0" layoutInCell="1" allowOverlap="1">
              <wp:simplePos x="0" y="0"/>
              <wp:positionH relativeFrom="page">
                <wp:posOffset>6918458</wp:posOffset>
              </wp:positionH>
              <wp:positionV relativeFrom="page">
                <wp:posOffset>10071100</wp:posOffset>
              </wp:positionV>
              <wp:extent cx="229235" cy="180975"/>
              <wp:effectExtent l="0" t="0" r="0" b="0"/>
              <wp:wrapNone/>
              <wp:docPr id="1" name="docshape2"/>
              <wp:cNvGraphicFramePr/>
              <a:graphic xmlns:a="http://schemas.openxmlformats.org/drawingml/2006/main">
                <a:graphicData uri="http://schemas.microsoft.com/office/word/2010/wordprocessingShape">
                  <wps:wsp>
                    <wps:cNvPr id="0" name=""/>
                    <wps:cNvSpPr txBox="1">
                      <a:spLocks noChangeArrowheads="1"/>
                    </wps:cNvSpPr>
                    <wps:spPr bwMode="auto">
                      <a:xfrm>
                        <a:off x="0" y="0"/>
                        <a:ext cx="229235" cy="180975"/>
                      </a:xfrm>
                      <a:prstGeom prst="rect">
                        <a:avLst/>
                      </a:prstGeom>
                      <a:noFill/>
                      <a:ln>
                        <a:noFill/>
                      </a:ln>
                    </wps:spPr>
                    <wps:txbx>
                      <w:txbxContent>
                        <w:p>
                          <w:pPr>
                            <w:ind w:left="60" w:right="-215"/>
                            <w:spacing w:before="11"/>
                          </w:pPr>
                          <w:r>
                            <w:rPr>
                              <w:spacing w:val="-5"/>
                            </w:rPr>
                          </w:r>
                          <w:r/>
                        </w:p>
                      </w:txbxContent>
                    </wps:txbx>
                    <wps:bodyPr rot="0" vert="horz" wrap="square" lIns="36000" tIns="36000" rIns="36000" bIns="36000" anchor="t" anchorCtr="0" upright="1">
                      <a:noAutofit/>
                    </wps:bodyPr>
                  </wps:wsp>
                </a:graphicData>
              </a:graphic>
              <wp14:sizeRelH relativeFrom="page">
                <wp14:pctWidth>0</wp14:pctWidth>
              </wp14:sizeRelH>
              <wp14:sizeRelV relativeFrom="page">
                <wp14:pctHeight>0</wp14:pctHeight>
              </wp14:sizeRelV>
            </wp:anchor>
          </w:drawing>
        </mc:Choice>
        <mc:Fallback>
          <w:pict>
            <v:shape id="shape 0" o:spid="_x0000_s0" o:spt="202" type="#_x0000_t202" style="position:absolute;z-index:-468887040;o:allowoverlap:true;o:allowincell:true;mso-position-horizontal-relative:page;margin-left:544.76pt;mso-position-horizontal:absolute;mso-position-vertical-relative:page;margin-top:793.00pt;mso-position-vertical:absolute;width:18.05pt;height:14.25pt;mso-wrap-distance-left:9.00pt;mso-wrap-distance-top:0.00pt;mso-wrap-distance-right:9.00pt;mso-wrap-distance-bottom:0.00pt;v-text-anchor:top;visibility:visible;" filled="f" stroked="f">
              <v:textbox inset="0,0,0,0">
                <w:txbxContent>
                  <w:p>
                    <w:pPr>
                      <w:ind w:left="60" w:right="-215"/>
                      <w:spacing w:before="11"/>
                    </w:pPr>
                    <w:r>
                      <w:rPr>
                        <w:spacing w:val="-5"/>
                      </w:rPr>
                    </w:r>
                    <w:r/>
                  </w:p>
                </w:txbxContent>
              </v:textbox>
            </v:shape>
          </w:pict>
        </mc:Fallback>
      </mc:AlternateContent>
    </w:r>
    <w:r>
      <w:rPr>
        <w:sz w:val="20"/>
      </w:rPr>
    </w:r>
    <w:r>
      <w:rPr>
        <w:sz w:val="20"/>
      </w:rPr>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1247"/>
      <w:spacing w:line="14" w:lineRule="auto"/>
      <w:rPr>
        <w:sz w:val="20"/>
      </w:rPr>
    </w:pPr>
    <w:r>
      <w:rPr>
        <w:lang w:eastAsia="ru-RU"/>
      </w:rPr>
      <mc:AlternateContent>
        <mc:Choice Requires="wpg">
          <w:drawing>
            <wp:anchor xmlns:wp="http://schemas.openxmlformats.org/drawingml/2006/wordprocessingDrawing" xmlns:wp14="http://schemas.microsoft.com/office/word/2010/wordprocessingDrawing" distT="0" distB="0" distL="114300" distR="114300" simplePos="0" relativeHeight="468889088" behindDoc="1" locked="0" layoutInCell="1" allowOverlap="1">
              <wp:simplePos x="0" y="0"/>
              <wp:positionH relativeFrom="page">
                <wp:posOffset>6844030</wp:posOffset>
              </wp:positionH>
              <wp:positionV relativeFrom="page">
                <wp:posOffset>10071100</wp:posOffset>
              </wp:positionV>
              <wp:extent cx="229235" cy="180975"/>
              <wp:effectExtent l="0" t="0" r="0" b="0"/>
              <wp:wrapNone/>
              <wp:docPr id="2" name="docshape6"/>
              <wp:cNvGraphicFramePr/>
              <a:graphic xmlns:a="http://schemas.openxmlformats.org/drawingml/2006/main">
                <a:graphicData uri="http://schemas.microsoft.com/office/word/2010/wordprocessingShape">
                  <wps:wsp>
                    <wps:cNvPr id="0" name=""/>
                    <wps:cNvSpPr txBox="1">
                      <a:spLocks noChangeArrowheads="1"/>
                    </wps:cNvSpPr>
                    <wps:spPr bwMode="auto">
                      <a:xfrm>
                        <a:off x="0" y="0"/>
                        <a:ext cx="229235" cy="180975"/>
                      </a:xfrm>
                      <a:prstGeom prst="rect">
                        <a:avLst/>
                      </a:prstGeom>
                      <a:noFill/>
                      <a:ln>
                        <a:noFill/>
                      </a:ln>
                    </wps:spPr>
                    <wps:txbx>
                      <w:txbxContent>
                        <w:p>
                          <w:pPr>
                            <w:ind w:left="60"/>
                            <w:spacing w:before="11"/>
                          </w:pPr>
                          <w:r>
                            <w:rPr>
                              <w:spacing w:val="-5"/>
                            </w:rPr>
                            <w:fldChar w:fldCharType="begin"/>
                          </w:r>
                          <w:r>
                            <w:rPr>
                              <w:spacing w:val="-5"/>
                            </w:rPr>
                            <w:instrText xml:space="preserve"> PAGE </w:instrText>
                          </w:r>
                          <w:r>
                            <w:rPr>
                              <w:spacing w:val="-5"/>
                            </w:rPr>
                            <w:fldChar w:fldCharType="separate"/>
                          </w:r>
                          <w:r>
                            <w:rPr>
                              <w:spacing w:val="-5"/>
                            </w:rPr>
                            <w:t xml:space="preserve">25</w:t>
                          </w:r>
                          <w:r>
                            <w:rPr>
                              <w:spacing w:val="-5"/>
                            </w:rPr>
                            <w:fldChar w:fldCharType="end"/>
                          </w:r>
                          <w:r/>
                        </w:p>
                      </w:txbxContent>
                    </wps:txbx>
                    <wps:bodyPr rot="0" vert="horz" wrap="square" lIns="36000" tIns="36000" rIns="36000" bIns="36000" anchor="t" anchorCtr="0" upright="1">
                      <a:noAutofit/>
                    </wps:bodyPr>
                  </wps:wsp>
                </a:graphicData>
              </a:graphic>
              <wp14:sizeRelH relativeFrom="page">
                <wp14:pctWidth>0</wp14:pctWidth>
              </wp14:sizeRelH>
              <wp14:sizeRelV relativeFrom="page">
                <wp14:pctHeight>0</wp14:pctHeight>
              </wp14:sizeRelV>
            </wp:anchor>
          </w:drawing>
        </mc:Choice>
        <mc:Fallback>
          <w:pict>
            <v:shape id="shape 1" o:spid="_x0000_s1" o:spt="202" type="#_x0000_t202" style="position:absolute;z-index:-468889088;o:allowoverlap:true;o:allowincell:true;mso-position-horizontal-relative:page;margin-left:538.90pt;mso-position-horizontal:absolute;mso-position-vertical-relative:page;margin-top:793.00pt;mso-position-vertical:absolute;width:18.05pt;height:14.25pt;mso-wrap-distance-left:9.00pt;mso-wrap-distance-top:0.00pt;mso-wrap-distance-right:9.00pt;mso-wrap-distance-bottom:0.00pt;v-text-anchor:top;visibility:visible;" filled="f" stroked="f">
              <v:textbox inset="0,0,0,0">
                <w:txbxContent>
                  <w:p>
                    <w:pPr>
                      <w:ind w:left="60"/>
                      <w:spacing w:before="11"/>
                    </w:pPr>
                    <w:r>
                      <w:rPr>
                        <w:spacing w:val="-5"/>
                      </w:rPr>
                      <w:fldChar w:fldCharType="begin"/>
                    </w:r>
                    <w:r>
                      <w:rPr>
                        <w:spacing w:val="-5"/>
                      </w:rPr>
                      <w:instrText xml:space="preserve"> PAGE </w:instrText>
                    </w:r>
                    <w:r>
                      <w:rPr>
                        <w:spacing w:val="-5"/>
                      </w:rPr>
                      <w:fldChar w:fldCharType="separate"/>
                    </w:r>
                    <w:r>
                      <w:rPr>
                        <w:spacing w:val="-5"/>
                      </w:rPr>
                      <w:t xml:space="preserve">25</w:t>
                    </w:r>
                    <w:r>
                      <w:rPr>
                        <w:spacing w:val="-5"/>
                      </w:rPr>
                      <w:fldChar w:fldCharType="end"/>
                    </w:r>
                    <w:r/>
                  </w:p>
                </w:txbxContent>
              </v:textbox>
            </v:shape>
          </w:pict>
        </mc:Fallback>
      </mc:AlternateContent>
    </w:r>
    <w:r>
      <w:rPr>
        <w:sz w:val="20"/>
      </w:rPr>
    </w:r>
    <w:r>
      <w:rPr>
        <w:sz w:val="20"/>
      </w:rPr>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1247"/>
      <w:spacing w:line="14" w:lineRule="auto"/>
      <w:rPr>
        <w:sz w:val="20"/>
      </w:rPr>
    </w:pPr>
    <w:r>
      <w:rPr>
        <w:lang w:eastAsia="ru-RU"/>
      </w:rPr>
      <mc:AlternateContent>
        <mc:Choice Requires="wpg">
          <w:drawing>
            <wp:anchor xmlns:wp="http://schemas.openxmlformats.org/drawingml/2006/wordprocessingDrawing" xmlns:wp14="http://schemas.microsoft.com/office/word/2010/wordprocessingDrawing" distT="0" distB="0" distL="114300" distR="114300" simplePos="0" relativeHeight="468891136" behindDoc="1" locked="0" layoutInCell="1" allowOverlap="1">
              <wp:simplePos x="0" y="0"/>
              <wp:positionH relativeFrom="page">
                <wp:posOffset>6844030</wp:posOffset>
              </wp:positionH>
              <wp:positionV relativeFrom="page">
                <wp:posOffset>10071100</wp:posOffset>
              </wp:positionV>
              <wp:extent cx="229235" cy="180975"/>
              <wp:effectExtent l="0" t="0" r="0" b="0"/>
              <wp:wrapNone/>
              <wp:docPr id="3" name="docshape37"/>
              <wp:cNvGraphicFramePr/>
              <a:graphic xmlns:a="http://schemas.openxmlformats.org/drawingml/2006/main">
                <a:graphicData uri="http://schemas.microsoft.com/office/word/2010/wordprocessingShape">
                  <wps:wsp>
                    <wps:cNvPr id="0" name=""/>
                    <wps:cNvSpPr txBox="1">
                      <a:spLocks noChangeArrowheads="1"/>
                    </wps:cNvSpPr>
                    <wps:spPr bwMode="auto">
                      <a:xfrm>
                        <a:off x="0" y="0"/>
                        <a:ext cx="229235" cy="180975"/>
                      </a:xfrm>
                      <a:prstGeom prst="rect">
                        <a:avLst/>
                      </a:prstGeom>
                      <a:noFill/>
                      <a:ln>
                        <a:noFill/>
                      </a:ln>
                    </wps:spPr>
                    <wps:txbx>
                      <w:txbxContent>
                        <w:p>
                          <w:pPr>
                            <w:ind w:left="60"/>
                            <w:spacing w:before="11"/>
                          </w:pPr>
                          <w:r>
                            <w:rPr>
                              <w:spacing w:val="-5"/>
                            </w:rPr>
                            <w:fldChar w:fldCharType="begin"/>
                          </w:r>
                          <w:r>
                            <w:rPr>
                              <w:spacing w:val="-5"/>
                            </w:rPr>
                            <w:instrText xml:space="preserve"> PAGE </w:instrText>
                          </w:r>
                          <w:r>
                            <w:rPr>
                              <w:spacing w:val="-5"/>
                            </w:rPr>
                            <w:fldChar w:fldCharType="separate"/>
                          </w:r>
                          <w:r>
                            <w:rPr>
                              <w:spacing w:val="-5"/>
                            </w:rPr>
                            <w:t xml:space="preserve">75</w:t>
                          </w:r>
                          <w:r>
                            <w:rPr>
                              <w:spacing w:val="-5"/>
                            </w:rPr>
                            <w:fldChar w:fldCharType="end"/>
                          </w:r>
                          <w:r/>
                        </w:p>
                      </w:txbxContent>
                    </wps:txbx>
                    <wps:bodyPr rot="0" vert="horz" wrap="square" lIns="36000" tIns="36000" rIns="36000" bIns="36000" anchor="t" anchorCtr="0" upright="1">
                      <a:noAutofit/>
                    </wps:bodyPr>
                  </wps:wsp>
                </a:graphicData>
              </a:graphic>
              <wp14:sizeRelH relativeFrom="page">
                <wp14:pctWidth>0</wp14:pctWidth>
              </wp14:sizeRelH>
              <wp14:sizeRelV relativeFrom="page">
                <wp14:pctHeight>0</wp14:pctHeight>
              </wp14:sizeRelV>
            </wp:anchor>
          </w:drawing>
        </mc:Choice>
        <mc:Fallback>
          <w:pict>
            <v:shape id="shape 2" o:spid="_x0000_s2" o:spt="202" type="#_x0000_t202" style="position:absolute;z-index:-468891136;o:allowoverlap:true;o:allowincell:true;mso-position-horizontal-relative:page;margin-left:538.90pt;mso-position-horizontal:absolute;mso-position-vertical-relative:page;margin-top:793.00pt;mso-position-vertical:absolute;width:18.05pt;height:14.25pt;mso-wrap-distance-left:9.00pt;mso-wrap-distance-top:0.00pt;mso-wrap-distance-right:9.00pt;mso-wrap-distance-bottom:0.00pt;v-text-anchor:top;visibility:visible;" filled="f" stroked="f">
              <v:textbox inset="0,0,0,0">
                <w:txbxContent>
                  <w:p>
                    <w:pPr>
                      <w:ind w:left="60"/>
                      <w:spacing w:before="11"/>
                    </w:pPr>
                    <w:r>
                      <w:rPr>
                        <w:spacing w:val="-5"/>
                      </w:rPr>
                      <w:fldChar w:fldCharType="begin"/>
                    </w:r>
                    <w:r>
                      <w:rPr>
                        <w:spacing w:val="-5"/>
                      </w:rPr>
                      <w:instrText xml:space="preserve"> PAGE </w:instrText>
                    </w:r>
                    <w:r>
                      <w:rPr>
                        <w:spacing w:val="-5"/>
                      </w:rPr>
                      <w:fldChar w:fldCharType="separate"/>
                    </w:r>
                    <w:r>
                      <w:rPr>
                        <w:spacing w:val="-5"/>
                      </w:rPr>
                      <w:t xml:space="preserve">75</w:t>
                    </w:r>
                    <w:r>
                      <w:rPr>
                        <w:spacing w:val="-5"/>
                      </w:rPr>
                      <w:fldChar w:fldCharType="end"/>
                    </w:r>
                    <w:r/>
                  </w:p>
                </w:txbxContent>
              </v:textbox>
            </v:shape>
          </w:pict>
        </mc:Fallback>
      </mc:AlternateContent>
    </w:r>
    <w:r>
      <w:rPr>
        <w:sz w:val="20"/>
      </w:rPr>
    </w:r>
    <w:r>
      <w:rPr>
        <w:sz w:val="20"/>
      </w:rPr>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1247"/>
      <w:spacing w:line="14" w:lineRule="auto"/>
      <w:rPr>
        <w:sz w:val="20"/>
      </w:rPr>
    </w:pPr>
    <w:r>
      <w:rPr>
        <w:lang w:eastAsia="ru-RU"/>
      </w:rPr>
      <mc:AlternateContent>
        <mc:Choice Requires="wpg">
          <w:drawing>
            <wp:anchor xmlns:wp="http://schemas.openxmlformats.org/drawingml/2006/wordprocessingDrawing" xmlns:wp14="http://schemas.microsoft.com/office/word/2010/wordprocessingDrawing" distT="0" distB="0" distL="114300" distR="114300" simplePos="0" relativeHeight="468892672" behindDoc="1" locked="0" layoutInCell="1" allowOverlap="1">
              <wp:simplePos x="0" y="0"/>
              <wp:positionH relativeFrom="page">
                <wp:posOffset>6774180</wp:posOffset>
              </wp:positionH>
              <wp:positionV relativeFrom="page">
                <wp:posOffset>10071100</wp:posOffset>
              </wp:positionV>
              <wp:extent cx="299720" cy="180975"/>
              <wp:effectExtent l="0" t="0" r="0" b="0"/>
              <wp:wrapNone/>
              <wp:docPr id="4" name="docshape43"/>
              <wp:cNvGraphicFramePr/>
              <a:graphic xmlns:a="http://schemas.openxmlformats.org/drawingml/2006/main">
                <a:graphicData uri="http://schemas.microsoft.com/office/word/2010/wordprocessingShape">
                  <wps:wsp>
                    <wps:cNvPr id="0" name=""/>
                    <wps:cNvSpPr txBox="1">
                      <a:spLocks noChangeArrowheads="1"/>
                    </wps:cNvSpPr>
                    <wps:spPr bwMode="auto">
                      <a:xfrm>
                        <a:off x="0" y="0"/>
                        <a:ext cx="299720" cy="180975"/>
                      </a:xfrm>
                      <a:prstGeom prst="rect">
                        <a:avLst/>
                      </a:prstGeom>
                      <a:noFill/>
                      <a:ln>
                        <a:noFill/>
                      </a:ln>
                    </wps:spPr>
                    <wps:txbx>
                      <w:txbxContent>
                        <w:p>
                          <w:pPr>
                            <w:ind w:left="60"/>
                            <w:spacing w:before="11"/>
                          </w:pPr>
                          <w:r>
                            <w:rPr>
                              <w:spacing w:val="-5"/>
                            </w:rPr>
                            <w:fldChar w:fldCharType="begin"/>
                          </w:r>
                          <w:r>
                            <w:rPr>
                              <w:spacing w:val="-5"/>
                            </w:rPr>
                            <w:instrText xml:space="preserve"> PAGE </w:instrText>
                          </w:r>
                          <w:r>
                            <w:rPr>
                              <w:spacing w:val="-5"/>
                            </w:rPr>
                            <w:fldChar w:fldCharType="separate"/>
                          </w:r>
                          <w:r>
                            <w:rPr>
                              <w:spacing w:val="-5"/>
                            </w:rPr>
                            <w:t xml:space="preserve">101</w:t>
                          </w:r>
                          <w:r>
                            <w:rPr>
                              <w:spacing w:val="-5"/>
                            </w:rPr>
                            <w:fldChar w:fldCharType="end"/>
                          </w:r>
                          <w:r/>
                        </w:p>
                      </w:txbxContent>
                    </wps:txbx>
                    <wps:bodyPr rot="0" vert="horz" wrap="square" lIns="36000" tIns="36000" rIns="36000" bIns="36000" anchor="t" anchorCtr="0" upright="1">
                      <a:noAutofit/>
                    </wps:bodyPr>
                  </wps:wsp>
                </a:graphicData>
              </a:graphic>
              <wp14:sizeRelH relativeFrom="page">
                <wp14:pctWidth>0</wp14:pctWidth>
              </wp14:sizeRelH>
              <wp14:sizeRelV relativeFrom="page">
                <wp14:pctHeight>0</wp14:pctHeight>
              </wp14:sizeRelV>
            </wp:anchor>
          </w:drawing>
        </mc:Choice>
        <mc:Fallback>
          <w:pict>
            <v:shape id="shape 3" o:spid="_x0000_s3" o:spt="202" type="#_x0000_t202" style="position:absolute;z-index:-468892672;o:allowoverlap:true;o:allowincell:true;mso-position-horizontal-relative:page;margin-left:533.40pt;mso-position-horizontal:absolute;mso-position-vertical-relative:page;margin-top:793.00pt;mso-position-vertical:absolute;width:23.60pt;height:14.25pt;mso-wrap-distance-left:9.00pt;mso-wrap-distance-top:0.00pt;mso-wrap-distance-right:9.00pt;mso-wrap-distance-bottom:0.00pt;v-text-anchor:top;visibility:visible;" filled="f" stroked="f">
              <v:textbox inset="0,0,0,0">
                <w:txbxContent>
                  <w:p>
                    <w:pPr>
                      <w:ind w:left="60"/>
                      <w:spacing w:before="11"/>
                    </w:pPr>
                    <w:r>
                      <w:rPr>
                        <w:spacing w:val="-5"/>
                      </w:rPr>
                      <w:fldChar w:fldCharType="begin"/>
                    </w:r>
                    <w:r>
                      <w:rPr>
                        <w:spacing w:val="-5"/>
                      </w:rPr>
                      <w:instrText xml:space="preserve"> PAGE </w:instrText>
                    </w:r>
                    <w:r>
                      <w:rPr>
                        <w:spacing w:val="-5"/>
                      </w:rPr>
                      <w:fldChar w:fldCharType="separate"/>
                    </w:r>
                    <w:r>
                      <w:rPr>
                        <w:spacing w:val="-5"/>
                      </w:rPr>
                      <w:t xml:space="preserve">101</w:t>
                    </w:r>
                    <w:r>
                      <w:rPr>
                        <w:spacing w:val="-5"/>
                      </w:rPr>
                      <w:fldChar w:fldCharType="end"/>
                    </w:r>
                    <w:r/>
                  </w:p>
                </w:txbxContent>
              </v:textbox>
            </v:shape>
          </w:pict>
        </mc:Fallback>
      </mc:AlternateContent>
    </w:r>
    <w:r>
      <w:rPr>
        <w:sz w:val="20"/>
      </w:rPr>
    </w:r>
    <w:r>
      <w:rPr>
        <w:sz w:val="20"/>
      </w:rPr>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1247"/>
      <w:spacing w:line="14" w:lineRule="auto"/>
      <w:rPr>
        <w:sz w:val="20"/>
      </w:rPr>
    </w:pPr>
    <w:r>
      <w:rPr>
        <w:lang w:eastAsia="ru-RU"/>
      </w:rPr>
      <mc:AlternateContent>
        <mc:Choice Requires="wpg">
          <w:drawing>
            <wp:anchor xmlns:wp="http://schemas.openxmlformats.org/drawingml/2006/wordprocessingDrawing" xmlns:wp14="http://schemas.microsoft.com/office/word/2010/wordprocessingDrawing" distT="0" distB="0" distL="114300" distR="114300" simplePos="0" relativeHeight="468893696" behindDoc="1" locked="0" layoutInCell="1" allowOverlap="1">
              <wp:simplePos x="0" y="0"/>
              <wp:positionH relativeFrom="page">
                <wp:posOffset>6774180</wp:posOffset>
              </wp:positionH>
              <wp:positionV relativeFrom="page">
                <wp:posOffset>10071100</wp:posOffset>
              </wp:positionV>
              <wp:extent cx="299720" cy="180975"/>
              <wp:effectExtent l="0" t="0" r="0" b="0"/>
              <wp:wrapNone/>
              <wp:docPr id="5" name="docshape48"/>
              <wp:cNvGraphicFramePr/>
              <a:graphic xmlns:a="http://schemas.openxmlformats.org/drawingml/2006/main">
                <a:graphicData uri="http://schemas.microsoft.com/office/word/2010/wordprocessingShape">
                  <wps:wsp>
                    <wps:cNvPr id="0" name=""/>
                    <wps:cNvSpPr txBox="1">
                      <a:spLocks noChangeArrowheads="1"/>
                    </wps:cNvSpPr>
                    <wps:spPr bwMode="auto">
                      <a:xfrm>
                        <a:off x="0" y="0"/>
                        <a:ext cx="299720" cy="180975"/>
                      </a:xfrm>
                      <a:prstGeom prst="rect">
                        <a:avLst/>
                      </a:prstGeom>
                      <a:noFill/>
                      <a:ln>
                        <a:noFill/>
                      </a:ln>
                    </wps:spPr>
                    <wps:txbx>
                      <w:txbxContent>
                        <w:p>
                          <w:pPr>
                            <w:ind w:left="60"/>
                            <w:spacing w:before="11"/>
                          </w:pPr>
                          <w:r>
                            <w:rPr>
                              <w:spacing w:val="-5"/>
                            </w:rPr>
                            <w:fldChar w:fldCharType="begin"/>
                          </w:r>
                          <w:r>
                            <w:rPr>
                              <w:spacing w:val="-5"/>
                            </w:rPr>
                            <w:instrText xml:space="preserve"> PAGE </w:instrText>
                          </w:r>
                          <w:r>
                            <w:rPr>
                              <w:spacing w:val="-5"/>
                            </w:rPr>
                            <w:fldChar w:fldCharType="separate"/>
                          </w:r>
                          <w:r>
                            <w:rPr>
                              <w:spacing w:val="-5"/>
                            </w:rPr>
                            <w:t xml:space="preserve">104</w:t>
                          </w:r>
                          <w:r>
                            <w:rPr>
                              <w:spacing w:val="-5"/>
                            </w:rPr>
                            <w:fldChar w:fldCharType="end"/>
                          </w:r>
                          <w:r/>
                        </w:p>
                      </w:txbxContent>
                    </wps:txbx>
                    <wps:bodyPr rot="0" vert="horz" wrap="square" lIns="36000" tIns="36000" rIns="36000" bIns="36000" anchor="t" anchorCtr="0" upright="1">
                      <a:noAutofit/>
                    </wps:bodyPr>
                  </wps:wsp>
                </a:graphicData>
              </a:graphic>
              <wp14:sizeRelH relativeFrom="page">
                <wp14:pctWidth>0</wp14:pctWidth>
              </wp14:sizeRelH>
              <wp14:sizeRelV relativeFrom="page">
                <wp14:pctHeight>0</wp14:pctHeight>
              </wp14:sizeRelV>
            </wp:anchor>
          </w:drawing>
        </mc:Choice>
        <mc:Fallback>
          <w:pict>
            <v:shape id="shape 4" o:spid="_x0000_s4" o:spt="202" type="#_x0000_t202" style="position:absolute;z-index:-468893696;o:allowoverlap:true;o:allowincell:true;mso-position-horizontal-relative:page;margin-left:533.40pt;mso-position-horizontal:absolute;mso-position-vertical-relative:page;margin-top:793.00pt;mso-position-vertical:absolute;width:23.60pt;height:14.25pt;mso-wrap-distance-left:9.00pt;mso-wrap-distance-top:0.00pt;mso-wrap-distance-right:9.00pt;mso-wrap-distance-bottom:0.00pt;v-text-anchor:top;visibility:visible;" filled="f" stroked="f">
              <v:textbox inset="0,0,0,0">
                <w:txbxContent>
                  <w:p>
                    <w:pPr>
                      <w:ind w:left="60"/>
                      <w:spacing w:before="11"/>
                    </w:pPr>
                    <w:r>
                      <w:rPr>
                        <w:spacing w:val="-5"/>
                      </w:rPr>
                      <w:fldChar w:fldCharType="begin"/>
                    </w:r>
                    <w:r>
                      <w:rPr>
                        <w:spacing w:val="-5"/>
                      </w:rPr>
                      <w:instrText xml:space="preserve"> PAGE </w:instrText>
                    </w:r>
                    <w:r>
                      <w:rPr>
                        <w:spacing w:val="-5"/>
                      </w:rPr>
                      <w:fldChar w:fldCharType="separate"/>
                    </w:r>
                    <w:r>
                      <w:rPr>
                        <w:spacing w:val="-5"/>
                      </w:rPr>
                      <w:t xml:space="preserve">104</w:t>
                    </w:r>
                    <w:r>
                      <w:rPr>
                        <w:spacing w:val="-5"/>
                      </w:rPr>
                      <w:fldChar w:fldCharType="end"/>
                    </w:r>
                    <w:r/>
                  </w:p>
                </w:txbxContent>
              </v:textbox>
            </v:shape>
          </w:pict>
        </mc:Fallback>
      </mc:AlternateContent>
    </w:r>
    <w:r>
      <w:rPr>
        <w:sz w:val="20"/>
      </w:rPr>
    </w:r>
    <w:r>
      <w:rPr>
        <w:sz w:val="20"/>
      </w:rPr>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1247"/>
      <w:spacing w:line="14" w:lineRule="auto"/>
      <w:rPr>
        <w:sz w:val="20"/>
      </w:rPr>
    </w:pPr>
    <w:r>
      <w:rPr>
        <w:lang w:eastAsia="ru-RU"/>
      </w:rPr>
      <mc:AlternateContent>
        <mc:Choice Requires="wpg">
          <w:drawing>
            <wp:anchor xmlns:wp="http://schemas.openxmlformats.org/drawingml/2006/wordprocessingDrawing" xmlns:wp14="http://schemas.microsoft.com/office/word/2010/wordprocessingDrawing" distT="0" distB="0" distL="114300" distR="114300" simplePos="0" relativeHeight="468894208" behindDoc="1" locked="0" layoutInCell="1" allowOverlap="1">
              <wp:simplePos x="0" y="0"/>
              <wp:positionH relativeFrom="page">
                <wp:posOffset>10013950</wp:posOffset>
              </wp:positionH>
              <wp:positionV relativeFrom="page">
                <wp:posOffset>6939280</wp:posOffset>
              </wp:positionV>
              <wp:extent cx="299720" cy="180975"/>
              <wp:effectExtent l="0" t="0" r="0" b="0"/>
              <wp:wrapNone/>
              <wp:docPr id="6" name="docshape49"/>
              <wp:cNvGraphicFramePr/>
              <a:graphic xmlns:a="http://schemas.openxmlformats.org/drawingml/2006/main">
                <a:graphicData uri="http://schemas.microsoft.com/office/word/2010/wordprocessingShape">
                  <wps:wsp>
                    <wps:cNvPr id="0" name=""/>
                    <wps:cNvSpPr txBox="1">
                      <a:spLocks noChangeArrowheads="1"/>
                    </wps:cNvSpPr>
                    <wps:spPr bwMode="auto">
                      <a:xfrm>
                        <a:off x="0" y="0"/>
                        <a:ext cx="299720" cy="180975"/>
                      </a:xfrm>
                      <a:prstGeom prst="rect">
                        <a:avLst/>
                      </a:prstGeom>
                      <a:noFill/>
                      <a:ln>
                        <a:noFill/>
                      </a:ln>
                    </wps:spPr>
                    <wps:txbx>
                      <w:txbxContent>
                        <w:p>
                          <w:pPr>
                            <w:ind w:left="60"/>
                            <w:spacing w:before="11"/>
                          </w:pPr>
                          <w:r>
                            <w:rPr>
                              <w:spacing w:val="-5"/>
                            </w:rPr>
                            <w:fldChar w:fldCharType="begin"/>
                          </w:r>
                          <w:r>
                            <w:rPr>
                              <w:spacing w:val="-5"/>
                            </w:rPr>
                            <w:instrText xml:space="preserve"> PAGE </w:instrText>
                          </w:r>
                          <w:r>
                            <w:rPr>
                              <w:spacing w:val="-5"/>
                            </w:rPr>
                            <w:fldChar w:fldCharType="separate"/>
                          </w:r>
                          <w:r>
                            <w:rPr>
                              <w:spacing w:val="-5"/>
                            </w:rPr>
                            <w:t xml:space="preserve">105</w:t>
                          </w:r>
                          <w:r>
                            <w:rPr>
                              <w:spacing w:val="-5"/>
                            </w:rPr>
                            <w:fldChar w:fldCharType="end"/>
                          </w:r>
                          <w:r/>
                        </w:p>
                      </w:txbxContent>
                    </wps:txbx>
                    <wps:bodyPr rot="0" vert="horz" wrap="square" lIns="36000" tIns="36000" rIns="36000" bIns="36000" anchor="t" anchorCtr="0" upright="1">
                      <a:noAutofit/>
                    </wps:bodyPr>
                  </wps:wsp>
                </a:graphicData>
              </a:graphic>
              <wp14:sizeRelH relativeFrom="page">
                <wp14:pctWidth>0</wp14:pctWidth>
              </wp14:sizeRelH>
              <wp14:sizeRelV relativeFrom="page">
                <wp14:pctHeight>0</wp14:pctHeight>
              </wp14:sizeRelV>
            </wp:anchor>
          </w:drawing>
        </mc:Choice>
        <mc:Fallback>
          <w:pict>
            <v:shape id="shape 5" o:spid="_x0000_s5" o:spt="202" type="#_x0000_t202" style="position:absolute;z-index:-468894208;o:allowoverlap:true;o:allowincell:true;mso-position-horizontal-relative:page;margin-left:788.50pt;mso-position-horizontal:absolute;mso-position-vertical-relative:page;margin-top:546.40pt;mso-position-vertical:absolute;width:23.60pt;height:14.25pt;mso-wrap-distance-left:9.00pt;mso-wrap-distance-top:0.00pt;mso-wrap-distance-right:9.00pt;mso-wrap-distance-bottom:0.00pt;v-text-anchor:top;visibility:visible;" filled="f" stroked="f">
              <v:textbox inset="0,0,0,0">
                <w:txbxContent>
                  <w:p>
                    <w:pPr>
                      <w:ind w:left="60"/>
                      <w:spacing w:before="11"/>
                    </w:pPr>
                    <w:r>
                      <w:rPr>
                        <w:spacing w:val="-5"/>
                      </w:rPr>
                      <w:fldChar w:fldCharType="begin"/>
                    </w:r>
                    <w:r>
                      <w:rPr>
                        <w:spacing w:val="-5"/>
                      </w:rPr>
                      <w:instrText xml:space="preserve"> PAGE </w:instrText>
                    </w:r>
                    <w:r>
                      <w:rPr>
                        <w:spacing w:val="-5"/>
                      </w:rPr>
                      <w:fldChar w:fldCharType="separate"/>
                    </w:r>
                    <w:r>
                      <w:rPr>
                        <w:spacing w:val="-5"/>
                      </w:rPr>
                      <w:t xml:space="preserve">105</w:t>
                    </w:r>
                    <w:r>
                      <w:rPr>
                        <w:spacing w:val="-5"/>
                      </w:rPr>
                      <w:fldChar w:fldCharType="end"/>
                    </w:r>
                    <w:r/>
                  </w:p>
                </w:txbxContent>
              </v:textbox>
            </v:shape>
          </w:pict>
        </mc:Fallback>
      </mc:AlternateContent>
    </w:r>
    <w:r>
      <w:rPr>
        <w:sz w:val="20"/>
      </w:rPr>
    </w:r>
    <w:r>
      <w:rPr>
        <w:sz w:val="20"/>
      </w:rPr>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1247"/>
      <w:spacing w:line="14" w:lineRule="auto"/>
      <w:rPr>
        <w:sz w:val="20"/>
      </w:rPr>
    </w:pPr>
    <w:r>
      <w:rPr>
        <w:lang w:eastAsia="ru-RU"/>
      </w:rPr>
      <mc:AlternateContent>
        <mc:Choice Requires="wpg">
          <w:drawing>
            <wp:anchor xmlns:wp="http://schemas.openxmlformats.org/drawingml/2006/wordprocessingDrawing" xmlns:wp14="http://schemas.microsoft.com/office/word/2010/wordprocessingDrawing" distT="0" distB="0" distL="114300" distR="114300" simplePos="0" relativeHeight="468894720" behindDoc="1" locked="0" layoutInCell="1" allowOverlap="1">
              <wp:simplePos x="0" y="0"/>
              <wp:positionH relativeFrom="page">
                <wp:posOffset>6774180</wp:posOffset>
              </wp:positionH>
              <wp:positionV relativeFrom="page">
                <wp:posOffset>10071100</wp:posOffset>
              </wp:positionV>
              <wp:extent cx="299720" cy="180975"/>
              <wp:effectExtent l="0" t="0" r="0" b="0"/>
              <wp:wrapNone/>
              <wp:docPr id="7" name="docshape50"/>
              <wp:cNvGraphicFramePr/>
              <a:graphic xmlns:a="http://schemas.openxmlformats.org/drawingml/2006/main">
                <a:graphicData uri="http://schemas.microsoft.com/office/word/2010/wordprocessingShape">
                  <wps:wsp>
                    <wps:cNvPr id="0" name=""/>
                    <wps:cNvSpPr txBox="1">
                      <a:spLocks noChangeArrowheads="1"/>
                    </wps:cNvSpPr>
                    <wps:spPr bwMode="auto">
                      <a:xfrm>
                        <a:off x="0" y="0"/>
                        <a:ext cx="299720" cy="180975"/>
                      </a:xfrm>
                      <a:prstGeom prst="rect">
                        <a:avLst/>
                      </a:prstGeom>
                      <a:noFill/>
                      <a:ln>
                        <a:noFill/>
                      </a:ln>
                    </wps:spPr>
                    <wps:txbx>
                      <w:txbxContent>
                        <w:p>
                          <w:pPr>
                            <w:ind w:left="60"/>
                            <w:spacing w:before="11"/>
                          </w:pPr>
                          <w:r>
                            <w:rPr>
                              <w:spacing w:val="-5"/>
                            </w:rPr>
                            <w:fldChar w:fldCharType="begin"/>
                          </w:r>
                          <w:r>
                            <w:rPr>
                              <w:spacing w:val="-5"/>
                            </w:rPr>
                            <w:instrText xml:space="preserve"> PAGE </w:instrText>
                          </w:r>
                          <w:r>
                            <w:rPr>
                              <w:spacing w:val="-5"/>
                            </w:rPr>
                            <w:fldChar w:fldCharType="separate"/>
                          </w:r>
                          <w:r>
                            <w:rPr>
                              <w:spacing w:val="-5"/>
                            </w:rPr>
                            <w:t xml:space="preserve">113</w:t>
                          </w:r>
                          <w:r>
                            <w:rPr>
                              <w:spacing w:val="-5"/>
                            </w:rPr>
                            <w:fldChar w:fldCharType="end"/>
                          </w:r>
                          <w:r/>
                        </w:p>
                      </w:txbxContent>
                    </wps:txbx>
                    <wps:bodyPr rot="0" vert="horz" wrap="square" lIns="36000" tIns="36000" rIns="36000" bIns="36000" anchor="t" anchorCtr="0" upright="1">
                      <a:noAutofit/>
                    </wps:bodyPr>
                  </wps:wsp>
                </a:graphicData>
              </a:graphic>
              <wp14:sizeRelH relativeFrom="page">
                <wp14:pctWidth>0</wp14:pctWidth>
              </wp14:sizeRelH>
              <wp14:sizeRelV relativeFrom="page">
                <wp14:pctHeight>0</wp14:pctHeight>
              </wp14:sizeRelV>
            </wp:anchor>
          </w:drawing>
        </mc:Choice>
        <mc:Fallback>
          <w:pict>
            <v:shape id="shape 6" o:spid="_x0000_s6" o:spt="202" type="#_x0000_t202" style="position:absolute;z-index:-468894720;o:allowoverlap:true;o:allowincell:true;mso-position-horizontal-relative:page;margin-left:533.40pt;mso-position-horizontal:absolute;mso-position-vertical-relative:page;margin-top:793.00pt;mso-position-vertical:absolute;width:23.60pt;height:14.25pt;mso-wrap-distance-left:9.00pt;mso-wrap-distance-top:0.00pt;mso-wrap-distance-right:9.00pt;mso-wrap-distance-bottom:0.00pt;v-text-anchor:top;visibility:visible;" filled="f" stroked="f">
              <v:textbox inset="0,0,0,0">
                <w:txbxContent>
                  <w:p>
                    <w:pPr>
                      <w:ind w:left="60"/>
                      <w:spacing w:before="11"/>
                    </w:pPr>
                    <w:r>
                      <w:rPr>
                        <w:spacing w:val="-5"/>
                      </w:rPr>
                      <w:fldChar w:fldCharType="begin"/>
                    </w:r>
                    <w:r>
                      <w:rPr>
                        <w:spacing w:val="-5"/>
                      </w:rPr>
                      <w:instrText xml:space="preserve"> PAGE </w:instrText>
                    </w:r>
                    <w:r>
                      <w:rPr>
                        <w:spacing w:val="-5"/>
                      </w:rPr>
                      <w:fldChar w:fldCharType="separate"/>
                    </w:r>
                    <w:r>
                      <w:rPr>
                        <w:spacing w:val="-5"/>
                      </w:rPr>
                      <w:t xml:space="preserve">113</w:t>
                    </w:r>
                    <w:r>
                      <w:rPr>
                        <w:spacing w:val="-5"/>
                      </w:rPr>
                      <w:fldChar w:fldCharType="end"/>
                    </w:r>
                    <w:r/>
                  </w:p>
                </w:txbxContent>
              </v:textbox>
            </v:shape>
          </w:pict>
        </mc:Fallback>
      </mc:AlternateContent>
    </w:r>
    <w:r>
      <w:rPr>
        <w:sz w:val="20"/>
      </w:rPr>
    </w:r>
    <w:r>
      <w:rPr>
        <w:sz w:val="20"/>
      </w:rPr>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1247"/>
      <w:spacing w:line="14" w:lineRule="auto"/>
      <w:rPr>
        <w:sz w:val="20"/>
      </w:rPr>
    </w:pPr>
    <w:r>
      <w:rPr>
        <w:lang w:eastAsia="ru-RU"/>
      </w:rPr>
      <mc:AlternateContent>
        <mc:Choice Requires="wpg">
          <w:drawing>
            <wp:anchor xmlns:wp="http://schemas.openxmlformats.org/drawingml/2006/wordprocessingDrawing" xmlns:wp14="http://schemas.microsoft.com/office/word/2010/wordprocessingDrawing" distT="0" distB="0" distL="114300" distR="114300" simplePos="0" relativeHeight="468895744" behindDoc="1" locked="0" layoutInCell="1" allowOverlap="1">
              <wp:simplePos x="0" y="0"/>
              <wp:positionH relativeFrom="page">
                <wp:posOffset>6774180</wp:posOffset>
              </wp:positionH>
              <wp:positionV relativeFrom="page">
                <wp:posOffset>10071100</wp:posOffset>
              </wp:positionV>
              <wp:extent cx="299720" cy="180975"/>
              <wp:effectExtent l="0" t="0" r="0" b="0"/>
              <wp:wrapNone/>
              <wp:docPr id="8" name="docshape52"/>
              <wp:cNvGraphicFramePr/>
              <a:graphic xmlns:a="http://schemas.openxmlformats.org/drawingml/2006/main">
                <a:graphicData uri="http://schemas.microsoft.com/office/word/2010/wordprocessingShape">
                  <wps:wsp>
                    <wps:cNvPr id="0" name=""/>
                    <wps:cNvSpPr txBox="1">
                      <a:spLocks noChangeArrowheads="1"/>
                    </wps:cNvSpPr>
                    <wps:spPr bwMode="auto">
                      <a:xfrm>
                        <a:off x="0" y="0"/>
                        <a:ext cx="299720" cy="180975"/>
                      </a:xfrm>
                      <a:prstGeom prst="rect">
                        <a:avLst/>
                      </a:prstGeom>
                      <a:noFill/>
                      <a:ln>
                        <a:noFill/>
                      </a:ln>
                    </wps:spPr>
                    <wps:txbx>
                      <w:txbxContent>
                        <w:p>
                          <w:pPr>
                            <w:ind w:left="60"/>
                            <w:spacing w:before="11"/>
                          </w:pPr>
                          <w:r>
                            <w:rPr>
                              <w:spacing w:val="-5"/>
                            </w:rPr>
                            <w:fldChar w:fldCharType="begin"/>
                          </w:r>
                          <w:r>
                            <w:rPr>
                              <w:spacing w:val="-5"/>
                            </w:rPr>
                            <w:instrText xml:space="preserve"> PAGE </w:instrText>
                          </w:r>
                          <w:r>
                            <w:rPr>
                              <w:spacing w:val="-5"/>
                            </w:rPr>
                            <w:fldChar w:fldCharType="separate"/>
                          </w:r>
                          <w:r>
                            <w:rPr>
                              <w:spacing w:val="-5"/>
                            </w:rPr>
                            <w:t xml:space="preserve">115</w:t>
                          </w:r>
                          <w:r>
                            <w:rPr>
                              <w:spacing w:val="-5"/>
                            </w:rPr>
                            <w:fldChar w:fldCharType="end"/>
                          </w:r>
                          <w:r/>
                        </w:p>
                      </w:txbxContent>
                    </wps:txbx>
                    <wps:bodyPr rot="0" vert="horz" wrap="square" lIns="36000" tIns="36000" rIns="36000" bIns="36000" anchor="t" anchorCtr="0" upright="1">
                      <a:noAutofit/>
                    </wps:bodyPr>
                  </wps:wsp>
                </a:graphicData>
              </a:graphic>
              <wp14:sizeRelH relativeFrom="page">
                <wp14:pctWidth>0</wp14:pctWidth>
              </wp14:sizeRelH>
              <wp14:sizeRelV relativeFrom="page">
                <wp14:pctHeight>0</wp14:pctHeight>
              </wp14:sizeRelV>
            </wp:anchor>
          </w:drawing>
        </mc:Choice>
        <mc:Fallback>
          <w:pict>
            <v:shape id="shape 7" o:spid="_x0000_s7" o:spt="202" type="#_x0000_t202" style="position:absolute;z-index:-468895744;o:allowoverlap:true;o:allowincell:true;mso-position-horizontal-relative:page;margin-left:533.40pt;mso-position-horizontal:absolute;mso-position-vertical-relative:page;margin-top:793.00pt;mso-position-vertical:absolute;width:23.60pt;height:14.25pt;mso-wrap-distance-left:9.00pt;mso-wrap-distance-top:0.00pt;mso-wrap-distance-right:9.00pt;mso-wrap-distance-bottom:0.00pt;v-text-anchor:top;visibility:visible;" filled="f" stroked="f">
              <v:textbox inset="0,0,0,0">
                <w:txbxContent>
                  <w:p>
                    <w:pPr>
                      <w:ind w:left="60"/>
                      <w:spacing w:before="11"/>
                    </w:pPr>
                    <w:r>
                      <w:rPr>
                        <w:spacing w:val="-5"/>
                      </w:rPr>
                      <w:fldChar w:fldCharType="begin"/>
                    </w:r>
                    <w:r>
                      <w:rPr>
                        <w:spacing w:val="-5"/>
                      </w:rPr>
                      <w:instrText xml:space="preserve"> PAGE </w:instrText>
                    </w:r>
                    <w:r>
                      <w:rPr>
                        <w:spacing w:val="-5"/>
                      </w:rPr>
                      <w:fldChar w:fldCharType="separate"/>
                    </w:r>
                    <w:r>
                      <w:rPr>
                        <w:spacing w:val="-5"/>
                      </w:rPr>
                      <w:t xml:space="preserve">115</w:t>
                    </w:r>
                    <w:r>
                      <w:rPr>
                        <w:spacing w:val="-5"/>
                      </w:rPr>
                      <w:fldChar w:fldCharType="end"/>
                    </w:r>
                    <w:r/>
                  </w:p>
                </w:txbxContent>
              </v:textbox>
            </v:shape>
          </w:pict>
        </mc:Fallback>
      </mc:AlternateContent>
    </w:r>
    <w:r>
      <w:rPr>
        <w:sz w:val="20"/>
      </w:rPr>
    </w:r>
    <w:r>
      <w:rPr>
        <w:sz w:val="20"/>
      </w:rPr>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sdt>
    <w:sdtPr>
      <w15:appearance w15:val="boundingBox"/>
      <w:id w:val="-1618215566"/>
      <w:docPartObj>
        <w:docPartGallery w:val="Page Numbers (Bottom of Page)"/>
        <w:docPartUnique w:val="true"/>
      </w:docPartObj>
      <w:rPr/>
    </w:sdtPr>
    <w:sdtContent>
      <w:p>
        <w:pPr>
          <w:pStyle w:val="1261"/>
          <w:ind w:right="90"/>
        </w:pPr>
        <w:r>
          <w:fldChar w:fldCharType="begin"/>
        </w:r>
        <w:r>
          <w:instrText xml:space="preserve">PAGE   \* MERGEFORMAT</w:instrText>
        </w:r>
        <w:r>
          <w:fldChar w:fldCharType="separate"/>
        </w:r>
        <w:r>
          <w:t xml:space="preserve">123</w:t>
        </w:r>
        <w:r>
          <w:fldChar w:fldCharType="end"/>
        </w:r>
        <w:r/>
      </w:p>
    </w:sdtContent>
  </w:sdt>
  <w:p>
    <w:pPr>
      <w:pStyle w:val="1247"/>
      <w:spacing w:line="14" w:lineRule="auto"/>
      <w:rPr>
        <w:sz w:val="2"/>
      </w:rPr>
    </w:pPr>
    <w:r>
      <w:rPr>
        <w:sz w:val="2"/>
      </w:rPr>
    </w:r>
    <w:r>
      <w:rPr>
        <w:sz w:val="2"/>
      </w:rPr>
    </w:r>
    <w:r>
      <w:rPr>
        <w:sz w:val="2"/>
      </w:rPr>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footnote w:type="separator" w:id="-1">
    <w:p>
      <w:r>
        <w:separator/>
      </w:r>
      <w:r/>
    </w:p>
  </w:footnote>
  <w:footnote w:type="continuationSeparator" w:id="0">
    <w:p>
      <w:r>
        <w:continuationSeparator/>
      </w:r>
      <w:r/>
    </w:p>
  </w:footnote>
  <w:footnote w:id="2">
    <w:p>
      <w:pPr>
        <w:pStyle w:val="1293"/>
      </w:pPr>
      <w:r>
        <w:rPr>
          <w:rStyle w:val="1295"/>
        </w:rPr>
        <w:footnoteRef/>
      </w:r>
      <w:r>
        <w:t xml:space="preserve">СНиП 41-02-2003, табл. 2</w:t>
      </w:r>
      <w:r/>
    </w:p>
  </w:footnote>
  <w:footnote w:id="3">
    <w:p>
      <w:pPr>
        <w:pStyle w:val="1293"/>
      </w:pPr>
      <w:r>
        <w:rPr>
          <w:rStyle w:val="1295"/>
        </w:rPr>
        <w:footnoteRef/>
      </w:r>
      <w:r>
        <w:t xml:space="preserve">Ионин А. А. Надежность систем тепловых сетей. – М.: Стройиздат, 1989. – 268 с.: ил.</w:t>
      </w: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multiLevelType w:val="hybridMultilevel"/>
    <w:lvl w:ilvl="0">
      <w:start w:val="1"/>
      <w:numFmt w:val="bullet"/>
      <w:isLgl w:val="false"/>
      <w:suff w:val="tab"/>
      <w:lvlText w:val="•"/>
      <w:lvlJc w:val="left"/>
      <w:pPr>
        <w:ind w:left="112" w:hanging="144"/>
      </w:pPr>
      <w:rPr>
        <w:rFonts w:ascii="Times New Roman" w:hAnsi="Times New Roman" w:cs="Times New Roman"/>
        <w:b w:val="0"/>
        <w:bCs w:val="0"/>
        <w:sz w:val="24"/>
        <w:szCs w:val="24"/>
      </w:rPr>
    </w:lvl>
    <w:lvl w:ilvl="1">
      <w:start w:val="1"/>
      <w:numFmt w:val="bullet"/>
      <w:isLgl w:val="false"/>
      <w:suff w:val="tab"/>
      <w:lvlText w:val="•"/>
      <w:lvlJc w:val="left"/>
      <w:pPr>
        <w:ind w:left="1144" w:hanging="144"/>
      </w:pPr>
    </w:lvl>
    <w:lvl w:ilvl="2">
      <w:start w:val="1"/>
      <w:numFmt w:val="bullet"/>
      <w:isLgl w:val="false"/>
      <w:suff w:val="tab"/>
      <w:lvlText w:val="•"/>
      <w:lvlJc w:val="left"/>
      <w:pPr>
        <w:ind w:left="2176" w:hanging="144"/>
      </w:pPr>
    </w:lvl>
    <w:lvl w:ilvl="3">
      <w:start w:val="1"/>
      <w:numFmt w:val="bullet"/>
      <w:isLgl w:val="false"/>
      <w:suff w:val="tab"/>
      <w:lvlText w:val="•"/>
      <w:lvlJc w:val="left"/>
      <w:pPr>
        <w:ind w:left="3207" w:hanging="144"/>
      </w:pPr>
    </w:lvl>
    <w:lvl w:ilvl="4">
      <w:start w:val="1"/>
      <w:numFmt w:val="bullet"/>
      <w:isLgl w:val="false"/>
      <w:suff w:val="tab"/>
      <w:lvlText w:val="•"/>
      <w:lvlJc w:val="left"/>
      <w:pPr>
        <w:ind w:left="4239" w:hanging="144"/>
      </w:pPr>
    </w:lvl>
    <w:lvl w:ilvl="5">
      <w:start w:val="1"/>
      <w:numFmt w:val="bullet"/>
      <w:isLgl w:val="false"/>
      <w:suff w:val="tab"/>
      <w:lvlText w:val="•"/>
      <w:lvlJc w:val="left"/>
      <w:pPr>
        <w:ind w:left="5270" w:hanging="144"/>
      </w:pPr>
    </w:lvl>
    <w:lvl w:ilvl="6">
      <w:start w:val="1"/>
      <w:numFmt w:val="bullet"/>
      <w:isLgl w:val="false"/>
      <w:suff w:val="tab"/>
      <w:lvlText w:val="•"/>
      <w:lvlJc w:val="left"/>
      <w:pPr>
        <w:ind w:left="6302" w:hanging="144"/>
      </w:pPr>
    </w:lvl>
    <w:lvl w:ilvl="7">
      <w:start w:val="1"/>
      <w:numFmt w:val="bullet"/>
      <w:isLgl w:val="false"/>
      <w:suff w:val="tab"/>
      <w:lvlText w:val="•"/>
      <w:lvlJc w:val="left"/>
      <w:pPr>
        <w:ind w:left="7334" w:hanging="144"/>
      </w:pPr>
    </w:lvl>
    <w:lvl w:ilvl="8">
      <w:start w:val="1"/>
      <w:numFmt w:val="bullet"/>
      <w:isLgl w:val="false"/>
      <w:suff w:val="tab"/>
      <w:lvlText w:val="•"/>
      <w:lvlJc w:val="left"/>
      <w:pPr>
        <w:ind w:left="8365" w:hanging="144"/>
      </w:pPr>
    </w:lvl>
  </w:abstractNum>
  <w:abstractNum w:abstractNumId="1">
    <w:multiLevelType w:val="hybridMultilevel"/>
    <w:lvl w:ilvl="0">
      <w:start w:val="1"/>
      <w:numFmt w:val="bullet"/>
      <w:isLgl w:val="false"/>
      <w:suff w:val="tab"/>
      <w:lvlText w:val="-"/>
      <w:lvlJc w:val="left"/>
      <w:pPr/>
    </w:lvl>
    <w:lvl w:ilvl="1">
      <w:start w:val="1"/>
      <w:numFmt w:val="bullet"/>
      <w:isLgl w:val="false"/>
      <w:suff w:val="tab"/>
      <w:lvlText w:val="o"/>
      <w:lvlJc w:val="left"/>
      <w:pPr>
        <w:ind w:left="1440" w:hanging="360"/>
      </w:pPr>
      <w:rPr>
        <w:rFonts w:hint="default" w:ascii="Courier New" w:hAnsi="Courier New" w:eastAsia="Courier New" w:cs="Courier New"/>
      </w:rPr>
    </w:lvl>
    <w:lvl w:ilvl="2">
      <w:start w:val="1"/>
      <w:numFmt w:val="bullet"/>
      <w:isLgl w:val="false"/>
      <w:suff w:val="tab"/>
      <w:lvlText w:val="§"/>
      <w:lvlJc w:val="left"/>
      <w:pPr>
        <w:ind w:left="2160" w:hanging="360"/>
      </w:pPr>
      <w:rPr>
        <w:rFonts w:hint="default" w:ascii="Wingdings" w:hAnsi="Wingdings" w:eastAsia="Wingdings" w:cs="Wingdings"/>
      </w:rPr>
    </w:lvl>
    <w:lvl w:ilvl="3">
      <w:start w:val="1"/>
      <w:numFmt w:val="bullet"/>
      <w:isLgl w:val="false"/>
      <w:suff w:val="tab"/>
      <w:lvlText w:val="·"/>
      <w:lvlJc w:val="left"/>
      <w:pPr>
        <w:ind w:left="2880" w:hanging="360"/>
      </w:pPr>
      <w:rPr>
        <w:rFonts w:hint="default" w:ascii="Symbol" w:hAnsi="Symbol" w:eastAsia="Symbol" w:cs="Symbol"/>
      </w:rPr>
    </w:lvl>
    <w:lvl w:ilvl="4">
      <w:start w:val="1"/>
      <w:numFmt w:val="bullet"/>
      <w:isLgl w:val="false"/>
      <w:suff w:val="tab"/>
      <w:lvlText w:val="o"/>
      <w:lvlJc w:val="left"/>
      <w:pPr>
        <w:ind w:left="3600" w:hanging="360"/>
      </w:pPr>
      <w:rPr>
        <w:rFonts w:hint="default" w:ascii="Courier New" w:hAnsi="Courier New" w:eastAsia="Courier New" w:cs="Courier New"/>
      </w:rPr>
    </w:lvl>
    <w:lvl w:ilvl="5">
      <w:start w:val="1"/>
      <w:numFmt w:val="bullet"/>
      <w:isLgl w:val="false"/>
      <w:suff w:val="tab"/>
      <w:lvlText w:val="§"/>
      <w:lvlJc w:val="left"/>
      <w:pPr>
        <w:ind w:left="4320" w:hanging="360"/>
      </w:pPr>
      <w:rPr>
        <w:rFonts w:hint="default" w:ascii="Wingdings" w:hAnsi="Wingdings" w:eastAsia="Wingdings" w:cs="Wingdings"/>
      </w:rPr>
    </w:lvl>
    <w:lvl w:ilvl="6">
      <w:start w:val="1"/>
      <w:numFmt w:val="bullet"/>
      <w:isLgl w:val="false"/>
      <w:suff w:val="tab"/>
      <w:lvlText w:val="·"/>
      <w:lvlJc w:val="left"/>
      <w:pPr>
        <w:ind w:left="5040" w:hanging="360"/>
      </w:pPr>
      <w:rPr>
        <w:rFonts w:hint="default" w:ascii="Symbol" w:hAnsi="Symbol" w:eastAsia="Symbol" w:cs="Symbol"/>
      </w:rPr>
    </w:lvl>
    <w:lvl w:ilvl="7">
      <w:start w:val="1"/>
      <w:numFmt w:val="bullet"/>
      <w:isLgl w:val="false"/>
      <w:suff w:val="tab"/>
      <w:lvlText w:val="o"/>
      <w:lvlJc w:val="left"/>
      <w:pPr>
        <w:ind w:left="5760" w:hanging="360"/>
      </w:pPr>
      <w:rPr>
        <w:rFonts w:hint="default" w:ascii="Courier New" w:hAnsi="Courier New" w:eastAsia="Courier New" w:cs="Courier New"/>
      </w:rPr>
    </w:lvl>
    <w:lvl w:ilvl="8">
      <w:start w:val="1"/>
      <w:numFmt w:val="bullet"/>
      <w:isLgl w:val="false"/>
      <w:suff w:val="tab"/>
      <w:lvlText w:val="§"/>
      <w:lvlJc w:val="left"/>
      <w:pPr>
        <w:ind w:left="6480" w:hanging="360"/>
      </w:pPr>
      <w:rPr>
        <w:rFonts w:hint="default" w:ascii="Wingdings" w:hAnsi="Wingdings" w:eastAsia="Wingdings" w:cs="Wingdings"/>
      </w:rPr>
    </w:lvl>
  </w:abstractNum>
  <w:abstractNum w:abstractNumId="2">
    <w:multiLevelType w:val="hybridMultilevel"/>
    <w:lvl w:ilvl="0">
      <w:start w:val="1"/>
      <w:numFmt w:val="bullet"/>
      <w:isLgl w:val="false"/>
      <w:suff w:val="tab"/>
      <w:lvlText w:val="-"/>
      <w:lvlJc w:val="left"/>
      <w:pPr/>
    </w:lvl>
    <w:lvl w:ilvl="1">
      <w:start w:val="1"/>
      <w:numFmt w:val="bullet"/>
      <w:isLgl w:val="false"/>
      <w:suff w:val="tab"/>
      <w:lvlText w:val="o"/>
      <w:lvlJc w:val="left"/>
      <w:pPr>
        <w:ind w:left="1440" w:hanging="360"/>
      </w:pPr>
      <w:rPr>
        <w:rFonts w:hint="default" w:ascii="Courier New" w:hAnsi="Courier New" w:eastAsia="Courier New" w:cs="Courier New"/>
      </w:rPr>
    </w:lvl>
    <w:lvl w:ilvl="2">
      <w:start w:val="1"/>
      <w:numFmt w:val="bullet"/>
      <w:isLgl w:val="false"/>
      <w:suff w:val="tab"/>
      <w:lvlText w:val="§"/>
      <w:lvlJc w:val="left"/>
      <w:pPr>
        <w:ind w:left="2160" w:hanging="360"/>
      </w:pPr>
      <w:rPr>
        <w:rFonts w:hint="default" w:ascii="Wingdings" w:hAnsi="Wingdings" w:eastAsia="Wingdings" w:cs="Wingdings"/>
      </w:rPr>
    </w:lvl>
    <w:lvl w:ilvl="3">
      <w:start w:val="1"/>
      <w:numFmt w:val="bullet"/>
      <w:isLgl w:val="false"/>
      <w:suff w:val="tab"/>
      <w:lvlText w:val="·"/>
      <w:lvlJc w:val="left"/>
      <w:pPr>
        <w:ind w:left="2880" w:hanging="360"/>
      </w:pPr>
      <w:rPr>
        <w:rFonts w:hint="default" w:ascii="Symbol" w:hAnsi="Symbol" w:eastAsia="Symbol" w:cs="Symbol"/>
      </w:rPr>
    </w:lvl>
    <w:lvl w:ilvl="4">
      <w:start w:val="1"/>
      <w:numFmt w:val="bullet"/>
      <w:isLgl w:val="false"/>
      <w:suff w:val="tab"/>
      <w:lvlText w:val="o"/>
      <w:lvlJc w:val="left"/>
      <w:pPr>
        <w:ind w:left="3600" w:hanging="360"/>
      </w:pPr>
      <w:rPr>
        <w:rFonts w:hint="default" w:ascii="Courier New" w:hAnsi="Courier New" w:eastAsia="Courier New" w:cs="Courier New"/>
      </w:rPr>
    </w:lvl>
    <w:lvl w:ilvl="5">
      <w:start w:val="1"/>
      <w:numFmt w:val="bullet"/>
      <w:isLgl w:val="false"/>
      <w:suff w:val="tab"/>
      <w:lvlText w:val="§"/>
      <w:lvlJc w:val="left"/>
      <w:pPr>
        <w:ind w:left="4320" w:hanging="360"/>
      </w:pPr>
      <w:rPr>
        <w:rFonts w:hint="default" w:ascii="Wingdings" w:hAnsi="Wingdings" w:eastAsia="Wingdings" w:cs="Wingdings"/>
      </w:rPr>
    </w:lvl>
    <w:lvl w:ilvl="6">
      <w:start w:val="1"/>
      <w:numFmt w:val="bullet"/>
      <w:isLgl w:val="false"/>
      <w:suff w:val="tab"/>
      <w:lvlText w:val="·"/>
      <w:lvlJc w:val="left"/>
      <w:pPr>
        <w:ind w:left="5040" w:hanging="360"/>
      </w:pPr>
      <w:rPr>
        <w:rFonts w:hint="default" w:ascii="Symbol" w:hAnsi="Symbol" w:eastAsia="Symbol" w:cs="Symbol"/>
      </w:rPr>
    </w:lvl>
    <w:lvl w:ilvl="7">
      <w:start w:val="1"/>
      <w:numFmt w:val="bullet"/>
      <w:isLgl w:val="false"/>
      <w:suff w:val="tab"/>
      <w:lvlText w:val="o"/>
      <w:lvlJc w:val="left"/>
      <w:pPr>
        <w:ind w:left="5760" w:hanging="360"/>
      </w:pPr>
      <w:rPr>
        <w:rFonts w:hint="default" w:ascii="Courier New" w:hAnsi="Courier New" w:eastAsia="Courier New" w:cs="Courier New"/>
      </w:rPr>
    </w:lvl>
    <w:lvl w:ilvl="8">
      <w:start w:val="1"/>
      <w:numFmt w:val="bullet"/>
      <w:isLgl w:val="false"/>
      <w:suff w:val="tab"/>
      <w:lvlText w:val="§"/>
      <w:lvlJc w:val="left"/>
      <w:pPr>
        <w:ind w:left="6480" w:hanging="360"/>
      </w:pPr>
      <w:rPr>
        <w:rFonts w:hint="default" w:ascii="Wingdings" w:hAnsi="Wingdings" w:eastAsia="Wingdings" w:cs="Wingdings"/>
      </w:rPr>
    </w:lvl>
  </w:abstractNum>
  <w:abstractNum w:abstractNumId="3">
    <w:multiLevelType w:val="hybridMultilevel"/>
    <w:lvl w:ilvl="0">
      <w:start w:val="1"/>
      <w:numFmt w:val="bullet"/>
      <w:isLgl w:val="false"/>
      <w:suff w:val="tab"/>
      <w:lvlText w:val="-"/>
      <w:lvlJc w:val="left"/>
      <w:pPr>
        <w:ind w:left="118" w:hanging="140"/>
      </w:pPr>
      <w:rPr>
        <w:rFonts w:hint="default" w:ascii="Times New Roman" w:hAnsi="Times New Roman" w:eastAsia="Times New Roman" w:cs="Times New Roman"/>
        <w:b w:val="0"/>
        <w:bCs w:val="0"/>
        <w:i w:val="0"/>
        <w:iCs w:val="0"/>
        <w:sz w:val="24"/>
        <w:szCs w:val="24"/>
        <w:lang w:val="ru-RU" w:eastAsia="en-US" w:bidi="ar-SA"/>
      </w:rPr>
    </w:lvl>
    <w:lvl w:ilvl="1">
      <w:start w:val="1"/>
      <w:numFmt w:val="bullet"/>
      <w:isLgl w:val="false"/>
      <w:suff w:val="tab"/>
      <w:lvlText w:val="•"/>
      <w:lvlJc w:val="left"/>
      <w:pPr>
        <w:ind w:left="1098" w:hanging="140"/>
      </w:pPr>
      <w:rPr>
        <w:rFonts w:hint="default"/>
        <w:lang w:val="ru-RU" w:eastAsia="en-US" w:bidi="ar-SA"/>
      </w:rPr>
    </w:lvl>
    <w:lvl w:ilvl="2">
      <w:start w:val="1"/>
      <w:numFmt w:val="bullet"/>
      <w:isLgl w:val="false"/>
      <w:suff w:val="tab"/>
      <w:lvlText w:val="•"/>
      <w:lvlJc w:val="left"/>
      <w:pPr>
        <w:ind w:left="2077" w:hanging="140"/>
      </w:pPr>
      <w:rPr>
        <w:rFonts w:hint="default"/>
        <w:lang w:val="ru-RU" w:eastAsia="en-US" w:bidi="ar-SA"/>
      </w:rPr>
    </w:lvl>
    <w:lvl w:ilvl="3">
      <w:start w:val="1"/>
      <w:numFmt w:val="bullet"/>
      <w:isLgl w:val="false"/>
      <w:suff w:val="tab"/>
      <w:lvlText w:val="•"/>
      <w:lvlJc w:val="left"/>
      <w:pPr>
        <w:ind w:left="3055" w:hanging="140"/>
      </w:pPr>
      <w:rPr>
        <w:rFonts w:hint="default"/>
        <w:lang w:val="ru-RU" w:eastAsia="en-US" w:bidi="ar-SA"/>
      </w:rPr>
    </w:lvl>
    <w:lvl w:ilvl="4">
      <w:start w:val="1"/>
      <w:numFmt w:val="bullet"/>
      <w:isLgl w:val="false"/>
      <w:suff w:val="tab"/>
      <w:lvlText w:val="•"/>
      <w:lvlJc w:val="left"/>
      <w:pPr>
        <w:ind w:left="4034" w:hanging="140"/>
      </w:pPr>
      <w:rPr>
        <w:rFonts w:hint="default"/>
        <w:lang w:val="ru-RU" w:eastAsia="en-US" w:bidi="ar-SA"/>
      </w:rPr>
    </w:lvl>
    <w:lvl w:ilvl="5">
      <w:start w:val="1"/>
      <w:numFmt w:val="bullet"/>
      <w:isLgl w:val="false"/>
      <w:suff w:val="tab"/>
      <w:lvlText w:val="•"/>
      <w:lvlJc w:val="left"/>
      <w:pPr>
        <w:ind w:left="5013" w:hanging="140"/>
      </w:pPr>
      <w:rPr>
        <w:rFonts w:hint="default"/>
        <w:lang w:val="ru-RU" w:eastAsia="en-US" w:bidi="ar-SA"/>
      </w:rPr>
    </w:lvl>
    <w:lvl w:ilvl="6">
      <w:start w:val="1"/>
      <w:numFmt w:val="bullet"/>
      <w:isLgl w:val="false"/>
      <w:suff w:val="tab"/>
      <w:lvlText w:val="•"/>
      <w:lvlJc w:val="left"/>
      <w:pPr>
        <w:ind w:left="5991" w:hanging="140"/>
      </w:pPr>
      <w:rPr>
        <w:rFonts w:hint="default"/>
        <w:lang w:val="ru-RU" w:eastAsia="en-US" w:bidi="ar-SA"/>
      </w:rPr>
    </w:lvl>
    <w:lvl w:ilvl="7">
      <w:start w:val="1"/>
      <w:numFmt w:val="bullet"/>
      <w:isLgl w:val="false"/>
      <w:suff w:val="tab"/>
      <w:lvlText w:val="•"/>
      <w:lvlJc w:val="left"/>
      <w:pPr>
        <w:ind w:left="6970" w:hanging="140"/>
      </w:pPr>
      <w:rPr>
        <w:rFonts w:hint="default"/>
        <w:lang w:val="ru-RU" w:eastAsia="en-US" w:bidi="ar-SA"/>
      </w:rPr>
    </w:lvl>
    <w:lvl w:ilvl="8">
      <w:start w:val="1"/>
      <w:numFmt w:val="bullet"/>
      <w:isLgl w:val="false"/>
      <w:suff w:val="tab"/>
      <w:lvlText w:val="•"/>
      <w:lvlJc w:val="left"/>
      <w:pPr>
        <w:ind w:left="7949" w:hanging="140"/>
      </w:pPr>
      <w:rPr>
        <w:rFonts w:hint="default"/>
        <w:lang w:val="ru-RU" w:eastAsia="en-US" w:bidi="ar-SA"/>
      </w:rPr>
    </w:lvl>
  </w:abstractNum>
  <w:abstractNum w:abstractNumId="4">
    <w:multiLevelType w:val="hybridMultilevel"/>
    <w:lvl w:ilvl="0">
      <w:start w:val="1"/>
      <w:numFmt w:val="bullet"/>
      <w:isLgl w:val="false"/>
      <w:suff w:val="tab"/>
      <w:lvlText w:val="-"/>
      <w:lvlJc w:val="left"/>
      <w:pPr>
        <w:ind w:left="118" w:hanging="140"/>
      </w:pPr>
      <w:rPr>
        <w:rFonts w:hint="default" w:ascii="Times New Roman" w:hAnsi="Times New Roman" w:eastAsia="Times New Roman" w:cs="Times New Roman"/>
        <w:b w:val="0"/>
        <w:bCs w:val="0"/>
        <w:i w:val="0"/>
        <w:iCs w:val="0"/>
        <w:sz w:val="24"/>
        <w:szCs w:val="24"/>
        <w:lang w:val="ru-RU" w:eastAsia="en-US" w:bidi="ar-SA"/>
      </w:rPr>
    </w:lvl>
    <w:lvl w:ilvl="1">
      <w:start w:val="1"/>
      <w:numFmt w:val="bullet"/>
      <w:isLgl w:val="false"/>
      <w:suff w:val="tab"/>
      <w:lvlText w:val="•"/>
      <w:lvlJc w:val="left"/>
      <w:pPr>
        <w:ind w:left="1094" w:hanging="140"/>
      </w:pPr>
      <w:rPr>
        <w:rFonts w:hint="default"/>
        <w:lang w:val="ru-RU" w:eastAsia="en-US" w:bidi="ar-SA"/>
      </w:rPr>
    </w:lvl>
    <w:lvl w:ilvl="2">
      <w:start w:val="1"/>
      <w:numFmt w:val="bullet"/>
      <w:isLgl w:val="false"/>
      <w:suff w:val="tab"/>
      <w:lvlText w:val="•"/>
      <w:lvlJc w:val="left"/>
      <w:pPr>
        <w:ind w:left="2069" w:hanging="140"/>
      </w:pPr>
      <w:rPr>
        <w:rFonts w:hint="default"/>
        <w:lang w:val="ru-RU" w:eastAsia="en-US" w:bidi="ar-SA"/>
      </w:rPr>
    </w:lvl>
    <w:lvl w:ilvl="3">
      <w:start w:val="1"/>
      <w:numFmt w:val="bullet"/>
      <w:isLgl w:val="false"/>
      <w:suff w:val="tab"/>
      <w:lvlText w:val="•"/>
      <w:lvlJc w:val="left"/>
      <w:pPr>
        <w:ind w:left="3043" w:hanging="140"/>
      </w:pPr>
      <w:rPr>
        <w:rFonts w:hint="default"/>
        <w:lang w:val="ru-RU" w:eastAsia="en-US" w:bidi="ar-SA"/>
      </w:rPr>
    </w:lvl>
    <w:lvl w:ilvl="4">
      <w:start w:val="1"/>
      <w:numFmt w:val="bullet"/>
      <w:isLgl w:val="false"/>
      <w:suff w:val="tab"/>
      <w:lvlText w:val="•"/>
      <w:lvlJc w:val="left"/>
      <w:pPr>
        <w:ind w:left="4018" w:hanging="140"/>
      </w:pPr>
      <w:rPr>
        <w:rFonts w:hint="default"/>
        <w:lang w:val="ru-RU" w:eastAsia="en-US" w:bidi="ar-SA"/>
      </w:rPr>
    </w:lvl>
    <w:lvl w:ilvl="5">
      <w:start w:val="1"/>
      <w:numFmt w:val="bullet"/>
      <w:isLgl w:val="false"/>
      <w:suff w:val="tab"/>
      <w:lvlText w:val="•"/>
      <w:lvlJc w:val="left"/>
      <w:pPr>
        <w:ind w:left="4993" w:hanging="140"/>
      </w:pPr>
      <w:rPr>
        <w:rFonts w:hint="default"/>
        <w:lang w:val="ru-RU" w:eastAsia="en-US" w:bidi="ar-SA"/>
      </w:rPr>
    </w:lvl>
    <w:lvl w:ilvl="6">
      <w:start w:val="1"/>
      <w:numFmt w:val="bullet"/>
      <w:isLgl w:val="false"/>
      <w:suff w:val="tab"/>
      <w:lvlText w:val="•"/>
      <w:lvlJc w:val="left"/>
      <w:pPr>
        <w:ind w:left="5967" w:hanging="140"/>
      </w:pPr>
      <w:rPr>
        <w:rFonts w:hint="default"/>
        <w:lang w:val="ru-RU" w:eastAsia="en-US" w:bidi="ar-SA"/>
      </w:rPr>
    </w:lvl>
    <w:lvl w:ilvl="7">
      <w:start w:val="1"/>
      <w:numFmt w:val="bullet"/>
      <w:isLgl w:val="false"/>
      <w:suff w:val="tab"/>
      <w:lvlText w:val="•"/>
      <w:lvlJc w:val="left"/>
      <w:pPr>
        <w:ind w:left="6942" w:hanging="140"/>
      </w:pPr>
      <w:rPr>
        <w:rFonts w:hint="default"/>
        <w:lang w:val="ru-RU" w:eastAsia="en-US" w:bidi="ar-SA"/>
      </w:rPr>
    </w:lvl>
    <w:lvl w:ilvl="8">
      <w:start w:val="1"/>
      <w:numFmt w:val="bullet"/>
      <w:isLgl w:val="false"/>
      <w:suff w:val="tab"/>
      <w:lvlText w:val="•"/>
      <w:lvlJc w:val="left"/>
      <w:pPr>
        <w:ind w:left="7917" w:hanging="140"/>
      </w:pPr>
      <w:rPr>
        <w:rFonts w:hint="default"/>
        <w:lang w:val="ru-RU" w:eastAsia="en-US" w:bidi="ar-SA"/>
      </w:rPr>
    </w:lvl>
  </w:abstractNum>
  <w:abstractNum w:abstractNumId="5">
    <w:multiLevelType w:val="hybridMultilevel"/>
    <w:lvl w:ilvl="0">
      <w:start w:val="1"/>
      <w:numFmt w:val="bullet"/>
      <w:isLgl w:val="false"/>
      <w:suff w:val="tab"/>
      <w:lvlText w:val="-"/>
      <w:lvlJc w:val="left"/>
      <w:pPr>
        <w:ind w:left="118" w:hanging="180"/>
      </w:pPr>
      <w:rPr>
        <w:rFonts w:hint="default" w:ascii="Times New Roman" w:hAnsi="Times New Roman" w:eastAsia="Times New Roman" w:cs="Times New Roman"/>
        <w:b w:val="0"/>
        <w:bCs w:val="0"/>
        <w:i w:val="0"/>
        <w:iCs w:val="0"/>
        <w:sz w:val="24"/>
        <w:szCs w:val="24"/>
        <w:lang w:val="ru-RU" w:eastAsia="en-US" w:bidi="ar-SA"/>
      </w:rPr>
    </w:lvl>
    <w:lvl w:ilvl="1">
      <w:start w:val="1"/>
      <w:numFmt w:val="bullet"/>
      <w:isLgl w:val="false"/>
      <w:suff w:val="tab"/>
      <w:lvlText w:val="•"/>
      <w:lvlJc w:val="left"/>
      <w:pPr>
        <w:ind w:left="1098" w:hanging="180"/>
      </w:pPr>
      <w:rPr>
        <w:rFonts w:hint="default"/>
        <w:lang w:val="ru-RU" w:eastAsia="en-US" w:bidi="ar-SA"/>
      </w:rPr>
    </w:lvl>
    <w:lvl w:ilvl="2">
      <w:start w:val="1"/>
      <w:numFmt w:val="bullet"/>
      <w:isLgl w:val="false"/>
      <w:suff w:val="tab"/>
      <w:lvlText w:val="•"/>
      <w:lvlJc w:val="left"/>
      <w:pPr>
        <w:ind w:left="2077" w:hanging="180"/>
      </w:pPr>
      <w:rPr>
        <w:rFonts w:hint="default"/>
        <w:lang w:val="ru-RU" w:eastAsia="en-US" w:bidi="ar-SA"/>
      </w:rPr>
    </w:lvl>
    <w:lvl w:ilvl="3">
      <w:start w:val="1"/>
      <w:numFmt w:val="bullet"/>
      <w:isLgl w:val="false"/>
      <w:suff w:val="tab"/>
      <w:lvlText w:val="•"/>
      <w:lvlJc w:val="left"/>
      <w:pPr>
        <w:ind w:left="3055" w:hanging="180"/>
      </w:pPr>
      <w:rPr>
        <w:rFonts w:hint="default"/>
        <w:lang w:val="ru-RU" w:eastAsia="en-US" w:bidi="ar-SA"/>
      </w:rPr>
    </w:lvl>
    <w:lvl w:ilvl="4">
      <w:start w:val="1"/>
      <w:numFmt w:val="bullet"/>
      <w:isLgl w:val="false"/>
      <w:suff w:val="tab"/>
      <w:lvlText w:val="•"/>
      <w:lvlJc w:val="left"/>
      <w:pPr>
        <w:ind w:left="4034" w:hanging="180"/>
      </w:pPr>
      <w:rPr>
        <w:rFonts w:hint="default"/>
        <w:lang w:val="ru-RU" w:eastAsia="en-US" w:bidi="ar-SA"/>
      </w:rPr>
    </w:lvl>
    <w:lvl w:ilvl="5">
      <w:start w:val="1"/>
      <w:numFmt w:val="bullet"/>
      <w:isLgl w:val="false"/>
      <w:suff w:val="tab"/>
      <w:lvlText w:val="•"/>
      <w:lvlJc w:val="left"/>
      <w:pPr>
        <w:ind w:left="5013" w:hanging="180"/>
      </w:pPr>
      <w:rPr>
        <w:rFonts w:hint="default"/>
        <w:lang w:val="ru-RU" w:eastAsia="en-US" w:bidi="ar-SA"/>
      </w:rPr>
    </w:lvl>
    <w:lvl w:ilvl="6">
      <w:start w:val="1"/>
      <w:numFmt w:val="bullet"/>
      <w:isLgl w:val="false"/>
      <w:suff w:val="tab"/>
      <w:lvlText w:val="•"/>
      <w:lvlJc w:val="left"/>
      <w:pPr>
        <w:ind w:left="5991" w:hanging="180"/>
      </w:pPr>
      <w:rPr>
        <w:rFonts w:hint="default"/>
        <w:lang w:val="ru-RU" w:eastAsia="en-US" w:bidi="ar-SA"/>
      </w:rPr>
    </w:lvl>
    <w:lvl w:ilvl="7">
      <w:start w:val="1"/>
      <w:numFmt w:val="bullet"/>
      <w:isLgl w:val="false"/>
      <w:suff w:val="tab"/>
      <w:lvlText w:val="•"/>
      <w:lvlJc w:val="left"/>
      <w:pPr>
        <w:ind w:left="6970" w:hanging="180"/>
      </w:pPr>
      <w:rPr>
        <w:rFonts w:hint="default"/>
        <w:lang w:val="ru-RU" w:eastAsia="en-US" w:bidi="ar-SA"/>
      </w:rPr>
    </w:lvl>
    <w:lvl w:ilvl="8">
      <w:start w:val="1"/>
      <w:numFmt w:val="bullet"/>
      <w:isLgl w:val="false"/>
      <w:suff w:val="tab"/>
      <w:lvlText w:val="•"/>
      <w:lvlJc w:val="left"/>
      <w:pPr>
        <w:ind w:left="7949" w:hanging="180"/>
      </w:pPr>
      <w:rPr>
        <w:rFonts w:hint="default"/>
        <w:lang w:val="ru-RU" w:eastAsia="en-US" w:bidi="ar-SA"/>
      </w:rPr>
    </w:lvl>
  </w:abstractNum>
  <w:abstractNum w:abstractNumId="6">
    <w:multiLevelType w:val="hybridMultilevel"/>
    <w:lvl w:ilvl="0">
      <w:start w:val="1"/>
      <w:numFmt w:val="decimal"/>
      <w:isLgl w:val="false"/>
      <w:suff w:val="tab"/>
      <w:lvlText w:val="%1."/>
      <w:lvlJc w:val="left"/>
      <w:pPr>
        <w:ind w:left="118" w:hanging="236"/>
      </w:pPr>
      <w:rPr>
        <w:rFonts w:hint="default" w:ascii="Times New Roman" w:hAnsi="Times New Roman" w:eastAsia="Times New Roman" w:cs="Times New Roman"/>
        <w:b w:val="0"/>
        <w:bCs w:val="0"/>
        <w:i w:val="0"/>
        <w:iCs w:val="0"/>
        <w:sz w:val="24"/>
        <w:szCs w:val="24"/>
        <w:lang w:val="ru-RU" w:eastAsia="en-US" w:bidi="ar-SA"/>
      </w:rPr>
    </w:lvl>
    <w:lvl w:ilvl="1">
      <w:start w:val="1"/>
      <w:numFmt w:val="bullet"/>
      <w:isLgl w:val="false"/>
      <w:suff w:val="tab"/>
      <w:lvlText w:val="•"/>
      <w:lvlJc w:val="left"/>
      <w:pPr>
        <w:ind w:left="1094" w:hanging="236"/>
      </w:pPr>
      <w:rPr>
        <w:rFonts w:hint="default"/>
        <w:lang w:val="ru-RU" w:eastAsia="en-US" w:bidi="ar-SA"/>
      </w:rPr>
    </w:lvl>
    <w:lvl w:ilvl="2">
      <w:start w:val="1"/>
      <w:numFmt w:val="bullet"/>
      <w:isLgl w:val="false"/>
      <w:suff w:val="tab"/>
      <w:lvlText w:val="•"/>
      <w:lvlJc w:val="left"/>
      <w:pPr>
        <w:ind w:left="2069" w:hanging="236"/>
      </w:pPr>
      <w:rPr>
        <w:rFonts w:hint="default"/>
        <w:lang w:val="ru-RU" w:eastAsia="en-US" w:bidi="ar-SA"/>
      </w:rPr>
    </w:lvl>
    <w:lvl w:ilvl="3">
      <w:start w:val="1"/>
      <w:numFmt w:val="bullet"/>
      <w:isLgl w:val="false"/>
      <w:suff w:val="tab"/>
      <w:lvlText w:val="•"/>
      <w:lvlJc w:val="left"/>
      <w:pPr>
        <w:ind w:left="3043" w:hanging="236"/>
      </w:pPr>
      <w:rPr>
        <w:rFonts w:hint="default"/>
        <w:lang w:val="ru-RU" w:eastAsia="en-US" w:bidi="ar-SA"/>
      </w:rPr>
    </w:lvl>
    <w:lvl w:ilvl="4">
      <w:start w:val="1"/>
      <w:numFmt w:val="bullet"/>
      <w:isLgl w:val="false"/>
      <w:suff w:val="tab"/>
      <w:lvlText w:val="•"/>
      <w:lvlJc w:val="left"/>
      <w:pPr>
        <w:ind w:left="4018" w:hanging="236"/>
      </w:pPr>
      <w:rPr>
        <w:rFonts w:hint="default"/>
        <w:lang w:val="ru-RU" w:eastAsia="en-US" w:bidi="ar-SA"/>
      </w:rPr>
    </w:lvl>
    <w:lvl w:ilvl="5">
      <w:start w:val="1"/>
      <w:numFmt w:val="bullet"/>
      <w:isLgl w:val="false"/>
      <w:suff w:val="tab"/>
      <w:lvlText w:val="•"/>
      <w:lvlJc w:val="left"/>
      <w:pPr>
        <w:ind w:left="4993" w:hanging="236"/>
      </w:pPr>
      <w:rPr>
        <w:rFonts w:hint="default"/>
        <w:lang w:val="ru-RU" w:eastAsia="en-US" w:bidi="ar-SA"/>
      </w:rPr>
    </w:lvl>
    <w:lvl w:ilvl="6">
      <w:start w:val="1"/>
      <w:numFmt w:val="bullet"/>
      <w:isLgl w:val="false"/>
      <w:suff w:val="tab"/>
      <w:lvlText w:val="•"/>
      <w:lvlJc w:val="left"/>
      <w:pPr>
        <w:ind w:left="5967" w:hanging="236"/>
      </w:pPr>
      <w:rPr>
        <w:rFonts w:hint="default"/>
        <w:lang w:val="ru-RU" w:eastAsia="en-US" w:bidi="ar-SA"/>
      </w:rPr>
    </w:lvl>
    <w:lvl w:ilvl="7">
      <w:start w:val="1"/>
      <w:numFmt w:val="bullet"/>
      <w:isLgl w:val="false"/>
      <w:suff w:val="tab"/>
      <w:lvlText w:val="•"/>
      <w:lvlJc w:val="left"/>
      <w:pPr>
        <w:ind w:left="6942" w:hanging="236"/>
      </w:pPr>
      <w:rPr>
        <w:rFonts w:hint="default"/>
        <w:lang w:val="ru-RU" w:eastAsia="en-US" w:bidi="ar-SA"/>
      </w:rPr>
    </w:lvl>
    <w:lvl w:ilvl="8">
      <w:start w:val="1"/>
      <w:numFmt w:val="bullet"/>
      <w:isLgl w:val="false"/>
      <w:suff w:val="tab"/>
      <w:lvlText w:val="•"/>
      <w:lvlJc w:val="left"/>
      <w:pPr>
        <w:ind w:left="7917" w:hanging="236"/>
      </w:pPr>
      <w:rPr>
        <w:rFonts w:hint="default"/>
        <w:lang w:val="ru-RU" w:eastAsia="en-US" w:bidi="ar-SA"/>
      </w:rPr>
    </w:lvl>
  </w:abstractNum>
  <w:abstractNum w:abstractNumId="7">
    <w:multiLevelType w:val="hybridMultilevel"/>
    <w:lvl w:ilvl="0">
      <w:start w:val="1"/>
      <w:numFmt w:val="bullet"/>
      <w:isLgl w:val="false"/>
      <w:suff w:val="tab"/>
      <w:lvlText w:val="-"/>
      <w:lvlJc w:val="left"/>
      <w:pPr>
        <w:ind w:left="118" w:hanging="140"/>
      </w:pPr>
      <w:rPr>
        <w:rFonts w:hint="default" w:ascii="Times New Roman" w:hAnsi="Times New Roman" w:eastAsia="Times New Roman" w:cs="Times New Roman"/>
        <w:b w:val="0"/>
        <w:bCs w:val="0"/>
        <w:i w:val="0"/>
        <w:iCs w:val="0"/>
        <w:sz w:val="24"/>
        <w:szCs w:val="24"/>
        <w:lang w:val="ru-RU" w:eastAsia="en-US" w:bidi="ar-SA"/>
      </w:rPr>
    </w:lvl>
    <w:lvl w:ilvl="1">
      <w:start w:val="1"/>
      <w:numFmt w:val="bullet"/>
      <w:isLgl w:val="false"/>
      <w:suff w:val="tab"/>
      <w:lvlText w:val="•"/>
      <w:lvlJc w:val="left"/>
      <w:pPr>
        <w:ind w:left="1094" w:hanging="140"/>
      </w:pPr>
      <w:rPr>
        <w:rFonts w:hint="default"/>
        <w:lang w:val="ru-RU" w:eastAsia="en-US" w:bidi="ar-SA"/>
      </w:rPr>
    </w:lvl>
    <w:lvl w:ilvl="2">
      <w:start w:val="1"/>
      <w:numFmt w:val="bullet"/>
      <w:isLgl w:val="false"/>
      <w:suff w:val="tab"/>
      <w:lvlText w:val="•"/>
      <w:lvlJc w:val="left"/>
      <w:pPr>
        <w:ind w:left="2069" w:hanging="140"/>
      </w:pPr>
      <w:rPr>
        <w:rFonts w:hint="default"/>
        <w:lang w:val="ru-RU" w:eastAsia="en-US" w:bidi="ar-SA"/>
      </w:rPr>
    </w:lvl>
    <w:lvl w:ilvl="3">
      <w:start w:val="1"/>
      <w:numFmt w:val="bullet"/>
      <w:isLgl w:val="false"/>
      <w:suff w:val="tab"/>
      <w:lvlText w:val="•"/>
      <w:lvlJc w:val="left"/>
      <w:pPr>
        <w:ind w:left="3043" w:hanging="140"/>
      </w:pPr>
      <w:rPr>
        <w:rFonts w:hint="default"/>
        <w:lang w:val="ru-RU" w:eastAsia="en-US" w:bidi="ar-SA"/>
      </w:rPr>
    </w:lvl>
    <w:lvl w:ilvl="4">
      <w:start w:val="1"/>
      <w:numFmt w:val="bullet"/>
      <w:isLgl w:val="false"/>
      <w:suff w:val="tab"/>
      <w:lvlText w:val="•"/>
      <w:lvlJc w:val="left"/>
      <w:pPr>
        <w:ind w:left="4018" w:hanging="140"/>
      </w:pPr>
      <w:rPr>
        <w:rFonts w:hint="default"/>
        <w:lang w:val="ru-RU" w:eastAsia="en-US" w:bidi="ar-SA"/>
      </w:rPr>
    </w:lvl>
    <w:lvl w:ilvl="5">
      <w:start w:val="1"/>
      <w:numFmt w:val="bullet"/>
      <w:isLgl w:val="false"/>
      <w:suff w:val="tab"/>
      <w:lvlText w:val="•"/>
      <w:lvlJc w:val="left"/>
      <w:pPr>
        <w:ind w:left="4993" w:hanging="140"/>
      </w:pPr>
      <w:rPr>
        <w:rFonts w:hint="default"/>
        <w:lang w:val="ru-RU" w:eastAsia="en-US" w:bidi="ar-SA"/>
      </w:rPr>
    </w:lvl>
    <w:lvl w:ilvl="6">
      <w:start w:val="1"/>
      <w:numFmt w:val="bullet"/>
      <w:isLgl w:val="false"/>
      <w:suff w:val="tab"/>
      <w:lvlText w:val="•"/>
      <w:lvlJc w:val="left"/>
      <w:pPr>
        <w:ind w:left="5967" w:hanging="140"/>
      </w:pPr>
      <w:rPr>
        <w:rFonts w:hint="default"/>
        <w:lang w:val="ru-RU" w:eastAsia="en-US" w:bidi="ar-SA"/>
      </w:rPr>
    </w:lvl>
    <w:lvl w:ilvl="7">
      <w:start w:val="1"/>
      <w:numFmt w:val="bullet"/>
      <w:isLgl w:val="false"/>
      <w:suff w:val="tab"/>
      <w:lvlText w:val="•"/>
      <w:lvlJc w:val="left"/>
      <w:pPr>
        <w:ind w:left="6942" w:hanging="140"/>
      </w:pPr>
      <w:rPr>
        <w:rFonts w:hint="default"/>
        <w:lang w:val="ru-RU" w:eastAsia="en-US" w:bidi="ar-SA"/>
      </w:rPr>
    </w:lvl>
    <w:lvl w:ilvl="8">
      <w:start w:val="1"/>
      <w:numFmt w:val="bullet"/>
      <w:isLgl w:val="false"/>
      <w:suff w:val="tab"/>
      <w:lvlText w:val="•"/>
      <w:lvlJc w:val="left"/>
      <w:pPr>
        <w:ind w:left="7917" w:hanging="140"/>
      </w:pPr>
      <w:rPr>
        <w:rFonts w:hint="default"/>
        <w:lang w:val="ru-RU" w:eastAsia="en-US" w:bidi="ar-SA"/>
      </w:rPr>
    </w:lvl>
  </w:abstractNum>
  <w:abstractNum w:abstractNumId="8">
    <w:multiLevelType w:val="hybridMultilevel"/>
    <w:lvl w:ilvl="0">
      <w:start w:val="1"/>
      <w:numFmt w:val="bullet"/>
      <w:isLgl w:val="false"/>
      <w:suff w:val="tab"/>
      <w:lvlText w:val="-"/>
      <w:lvlJc w:val="left"/>
      <w:pPr/>
    </w:lvl>
    <w:lvl w:ilvl="1">
      <w:start w:val="1"/>
      <w:numFmt w:val="bullet"/>
      <w:isLgl w:val="false"/>
      <w:suff w:val="tab"/>
      <w:lvlText w:val="o"/>
      <w:lvlJc w:val="left"/>
      <w:pPr>
        <w:ind w:left="1440" w:hanging="360"/>
      </w:pPr>
      <w:rPr>
        <w:rFonts w:hint="default" w:ascii="Courier New" w:hAnsi="Courier New" w:eastAsia="Courier New" w:cs="Courier New"/>
      </w:rPr>
    </w:lvl>
    <w:lvl w:ilvl="2">
      <w:start w:val="1"/>
      <w:numFmt w:val="bullet"/>
      <w:isLgl w:val="false"/>
      <w:suff w:val="tab"/>
      <w:lvlText w:val="§"/>
      <w:lvlJc w:val="left"/>
      <w:pPr>
        <w:ind w:left="2160" w:hanging="360"/>
      </w:pPr>
      <w:rPr>
        <w:rFonts w:hint="default" w:ascii="Wingdings" w:hAnsi="Wingdings" w:eastAsia="Wingdings" w:cs="Wingdings"/>
      </w:rPr>
    </w:lvl>
    <w:lvl w:ilvl="3">
      <w:start w:val="1"/>
      <w:numFmt w:val="bullet"/>
      <w:isLgl w:val="false"/>
      <w:suff w:val="tab"/>
      <w:lvlText w:val="·"/>
      <w:lvlJc w:val="left"/>
      <w:pPr>
        <w:ind w:left="2880" w:hanging="360"/>
      </w:pPr>
      <w:rPr>
        <w:rFonts w:hint="default" w:ascii="Symbol" w:hAnsi="Symbol" w:eastAsia="Symbol" w:cs="Symbol"/>
      </w:rPr>
    </w:lvl>
    <w:lvl w:ilvl="4">
      <w:start w:val="1"/>
      <w:numFmt w:val="bullet"/>
      <w:isLgl w:val="false"/>
      <w:suff w:val="tab"/>
      <w:lvlText w:val="o"/>
      <w:lvlJc w:val="left"/>
      <w:pPr>
        <w:ind w:left="3600" w:hanging="360"/>
      </w:pPr>
      <w:rPr>
        <w:rFonts w:hint="default" w:ascii="Courier New" w:hAnsi="Courier New" w:eastAsia="Courier New" w:cs="Courier New"/>
      </w:rPr>
    </w:lvl>
    <w:lvl w:ilvl="5">
      <w:start w:val="1"/>
      <w:numFmt w:val="bullet"/>
      <w:isLgl w:val="false"/>
      <w:suff w:val="tab"/>
      <w:lvlText w:val="§"/>
      <w:lvlJc w:val="left"/>
      <w:pPr>
        <w:ind w:left="4320" w:hanging="360"/>
      </w:pPr>
      <w:rPr>
        <w:rFonts w:hint="default" w:ascii="Wingdings" w:hAnsi="Wingdings" w:eastAsia="Wingdings" w:cs="Wingdings"/>
      </w:rPr>
    </w:lvl>
    <w:lvl w:ilvl="6">
      <w:start w:val="1"/>
      <w:numFmt w:val="bullet"/>
      <w:isLgl w:val="false"/>
      <w:suff w:val="tab"/>
      <w:lvlText w:val="·"/>
      <w:lvlJc w:val="left"/>
      <w:pPr>
        <w:ind w:left="5040" w:hanging="360"/>
      </w:pPr>
      <w:rPr>
        <w:rFonts w:hint="default" w:ascii="Symbol" w:hAnsi="Symbol" w:eastAsia="Symbol" w:cs="Symbol"/>
      </w:rPr>
    </w:lvl>
    <w:lvl w:ilvl="7">
      <w:start w:val="1"/>
      <w:numFmt w:val="bullet"/>
      <w:isLgl w:val="false"/>
      <w:suff w:val="tab"/>
      <w:lvlText w:val="o"/>
      <w:lvlJc w:val="left"/>
      <w:pPr>
        <w:ind w:left="5760" w:hanging="360"/>
      </w:pPr>
      <w:rPr>
        <w:rFonts w:hint="default" w:ascii="Courier New" w:hAnsi="Courier New" w:eastAsia="Courier New" w:cs="Courier New"/>
      </w:rPr>
    </w:lvl>
    <w:lvl w:ilvl="8">
      <w:start w:val="1"/>
      <w:numFmt w:val="bullet"/>
      <w:isLgl w:val="false"/>
      <w:suff w:val="tab"/>
      <w:lvlText w:val="§"/>
      <w:lvlJc w:val="left"/>
      <w:pPr>
        <w:ind w:left="6480" w:hanging="360"/>
      </w:pPr>
      <w:rPr>
        <w:rFonts w:hint="default" w:ascii="Wingdings" w:hAnsi="Wingdings" w:eastAsia="Wingdings" w:cs="Wingdings"/>
      </w:rPr>
    </w:lvl>
  </w:abstractNum>
  <w:abstractNum w:abstractNumId="9">
    <w:multiLevelType w:val="hybridMultilevel"/>
    <w:lvl w:ilvl="0">
      <w:start w:val="1"/>
      <w:numFmt w:val="decimal"/>
      <w:isLgl w:val="false"/>
      <w:suff w:val="tab"/>
      <w:lvlText w:val="Глава %1"/>
      <w:lvlJc w:val="left"/>
      <w:pPr>
        <w:ind w:left="0" w:firstLine="0"/>
      </w:pPr>
      <w:rPr>
        <w:rFonts w:hint="default"/>
      </w:rPr>
    </w:lvl>
    <w:lvl w:ilvl="1">
      <w:start w:val="1"/>
      <w:numFmt w:val="decimal"/>
      <w:isLgl w:val="false"/>
      <w:suff w:val="tab"/>
      <w:lvlText w:val="%1.%2"/>
      <w:lvlJc w:val="left"/>
      <w:pPr>
        <w:ind w:left="0" w:firstLine="284"/>
        <w:tabs>
          <w:tab w:val="num" w:pos="567" w:leader="none"/>
        </w:tabs>
      </w:pPr>
      <w:rPr>
        <w:rFonts w:hint="default"/>
      </w:rPr>
    </w:lvl>
    <w:lvl w:ilvl="2">
      <w:start w:val="1"/>
      <w:numFmt w:val="decimal"/>
      <w:isLgl w:val="false"/>
      <w:suff w:val="tab"/>
      <w:lvlText w:val="%1.%2.%3"/>
      <w:lvlJc w:val="left"/>
      <w:pPr>
        <w:ind w:left="0" w:firstLine="567"/>
      </w:pPr>
      <w:rPr>
        <w:rFonts w:hint="default" w:ascii="Times New Roman" w:hAnsi="Times New Roman"/>
        <w:i w:val="0"/>
        <w:iCs w:val="0"/>
        <w:caps w:val="0"/>
        <w:smallCaps w:val="0"/>
        <w:strike w:val="0"/>
        <w:vanish w:val="0"/>
        <w:color w:val="000000"/>
        <w:spacing w:val="0"/>
        <w:position w:val="0"/>
        <w:u w:val="none"/>
        <w:vertAlign w:val="baseline"/>
        <w14:textOutline w14:w="0" w14:cap="rnd" w14:cmpd="sng" w14:algn="ctr">
          <w14:noFill/>
          <w14:prstDash w14:val="solid"/>
          <w14:bevel/>
        </w14:textOutline>
        <w14:ligatures w14:val="none"/>
      </w:rPr>
    </w:lvl>
    <w:lvl w:ilvl="3">
      <w:start w:val="1"/>
      <w:numFmt w:val="decimal"/>
      <w:isLgl w:val="false"/>
      <w:suff w:val="tab"/>
      <w:lvlText w:val="%1.%2.%3.%4"/>
      <w:lvlJc w:val="left"/>
      <w:pPr>
        <w:ind w:left="0" w:firstLine="0"/>
      </w:pPr>
      <w:rPr>
        <w:rFonts w:hint="default"/>
      </w:rPr>
    </w:lvl>
    <w:lvl w:ilvl="4">
      <w:start w:val="1"/>
      <w:numFmt w:val="decimal"/>
      <w:isLgl w:val="false"/>
      <w:suff w:val="tab"/>
      <w:lvlText w:val="%1.%2.%3.%4.%5"/>
      <w:lvlJc w:val="left"/>
      <w:pPr>
        <w:ind w:left="0" w:firstLine="0"/>
      </w:pPr>
      <w:rPr>
        <w:rFonts w:hint="default"/>
      </w:rPr>
    </w:lvl>
    <w:lvl w:ilvl="5">
      <w:start w:val="1"/>
      <w:numFmt w:val="decimal"/>
      <w:isLgl w:val="false"/>
      <w:suff w:val="tab"/>
      <w:lvlText w:val="%1.%2.%3.%4.%5.%6"/>
      <w:lvlJc w:val="left"/>
      <w:pPr>
        <w:ind w:left="0" w:firstLine="0"/>
      </w:pPr>
      <w:rPr>
        <w:rFonts w:hint="default"/>
      </w:rPr>
    </w:lvl>
    <w:lvl w:ilvl="6">
      <w:start w:val="1"/>
      <w:numFmt w:val="decimal"/>
      <w:isLgl w:val="false"/>
      <w:suff w:val="tab"/>
      <w:lvlText w:val="%1.%2.%3.%4.%5.%6.%7"/>
      <w:lvlJc w:val="left"/>
      <w:pPr>
        <w:ind w:left="0" w:firstLine="0"/>
      </w:pPr>
      <w:rPr>
        <w:rFonts w:hint="default"/>
      </w:rPr>
    </w:lvl>
    <w:lvl w:ilvl="7">
      <w:start w:val="1"/>
      <w:numFmt w:val="decimal"/>
      <w:isLgl w:val="false"/>
      <w:suff w:val="tab"/>
      <w:lvlText w:val="%1.%2.%3.%4.%5.%6.%7.%8"/>
      <w:lvlJc w:val="left"/>
      <w:pPr>
        <w:ind w:left="0" w:firstLine="0"/>
      </w:pPr>
      <w:rPr>
        <w:rFonts w:hint="default"/>
      </w:rPr>
    </w:lvl>
    <w:lvl w:ilvl="8">
      <w:start w:val="1"/>
      <w:numFmt w:val="decimal"/>
      <w:isLgl w:val="false"/>
      <w:suff w:val="tab"/>
      <w:lvlText w:val="%1.%2.%3.%4.%5.%6.%7.%8.%9"/>
      <w:lvlJc w:val="left"/>
      <w:pPr>
        <w:ind w:left="0" w:firstLine="0"/>
      </w:pPr>
      <w:rPr>
        <w:rFonts w:hint="default"/>
      </w:rPr>
    </w:lvl>
  </w:abstractNum>
  <w:abstractNum w:abstractNumId="10">
    <w:multiLevelType w:val="hybridMultilevel"/>
    <w:lvl w:ilvl="0">
      <w:start w:val="1"/>
      <w:numFmt w:val="decimal"/>
      <w:isLgl w:val="false"/>
      <w:suff w:val="tab"/>
      <w:lvlText w:val="%1)"/>
      <w:lvlJc w:val="left"/>
      <w:pPr>
        <w:ind w:left="720" w:hanging="360"/>
      </w:pPr>
      <w:rPr>
        <w:rFonts w:hint="default"/>
      </w:rPr>
    </w:lvl>
    <w:lvl w:ilvl="1">
      <w:start w:val="1"/>
      <w:numFmt w:val="lowerLetter"/>
      <w:isLgl w:val="false"/>
      <w:suff w:val="tab"/>
      <w:lvlText w:val="%2."/>
      <w:lvlJc w:val="left"/>
      <w:pPr>
        <w:ind w:left="1440" w:hanging="360"/>
      </w:pPr>
    </w:lvl>
    <w:lvl w:ilvl="2">
      <w:start w:val="1"/>
      <w:numFmt w:val="lowerRoman"/>
      <w:isLgl w:val="false"/>
      <w:suff w:val="tab"/>
      <w:lvlText w:val="%3."/>
      <w:lvlJc w:val="right"/>
      <w:pPr>
        <w:ind w:left="2160" w:hanging="180"/>
      </w:pPr>
    </w:lvl>
    <w:lvl w:ilvl="3">
      <w:start w:val="1"/>
      <w:numFmt w:val="decimal"/>
      <w:isLgl w:val="false"/>
      <w:suff w:val="tab"/>
      <w:lvlText w:val="%4."/>
      <w:lvlJc w:val="left"/>
      <w:pPr>
        <w:ind w:left="2880" w:hanging="360"/>
      </w:pPr>
    </w:lvl>
    <w:lvl w:ilvl="4">
      <w:start w:val="1"/>
      <w:numFmt w:val="lowerLetter"/>
      <w:isLgl w:val="false"/>
      <w:suff w:val="tab"/>
      <w:lvlText w:val="%5."/>
      <w:lvlJc w:val="left"/>
      <w:pPr>
        <w:ind w:left="3600" w:hanging="360"/>
      </w:pPr>
    </w:lvl>
    <w:lvl w:ilvl="5">
      <w:start w:val="1"/>
      <w:numFmt w:val="lowerRoman"/>
      <w:isLgl w:val="false"/>
      <w:suff w:val="tab"/>
      <w:lvlText w:val="%6."/>
      <w:lvlJc w:val="right"/>
      <w:pPr>
        <w:ind w:left="4320" w:hanging="180"/>
      </w:pPr>
    </w:lvl>
    <w:lvl w:ilvl="6">
      <w:start w:val="1"/>
      <w:numFmt w:val="decimal"/>
      <w:isLgl w:val="false"/>
      <w:suff w:val="tab"/>
      <w:lvlText w:val="%7."/>
      <w:lvlJc w:val="left"/>
      <w:pPr>
        <w:ind w:left="5040" w:hanging="360"/>
      </w:pPr>
    </w:lvl>
    <w:lvl w:ilvl="7">
      <w:start w:val="1"/>
      <w:numFmt w:val="lowerLetter"/>
      <w:isLgl w:val="false"/>
      <w:suff w:val="tab"/>
      <w:lvlText w:val="%8."/>
      <w:lvlJc w:val="left"/>
      <w:pPr>
        <w:ind w:left="5760" w:hanging="360"/>
      </w:pPr>
    </w:lvl>
    <w:lvl w:ilvl="8">
      <w:start w:val="1"/>
      <w:numFmt w:val="lowerRoman"/>
      <w:isLgl w:val="false"/>
      <w:suff w:val="tab"/>
      <w:lvlText w:val="%9."/>
      <w:lvlJc w:val="right"/>
      <w:pPr>
        <w:ind w:left="6480" w:hanging="180"/>
      </w:pPr>
    </w:lvl>
  </w:abstractNum>
  <w:abstractNum w:abstractNumId="11">
    <w:multiLevelType w:val="hybridMultilevel"/>
    <w:lvl w:ilvl="0">
      <w:start w:val="1"/>
      <w:numFmt w:val="bullet"/>
      <w:isLgl w:val="false"/>
      <w:suff w:val="tab"/>
      <w:lvlText w:val="-"/>
      <w:lvlJc w:val="left"/>
      <w:pPr>
        <w:ind w:left="118" w:hanging="140"/>
      </w:pPr>
      <w:rPr>
        <w:rFonts w:hint="default" w:ascii="Times New Roman" w:hAnsi="Times New Roman" w:eastAsia="Times New Roman" w:cs="Times New Roman"/>
        <w:b w:val="0"/>
        <w:bCs w:val="0"/>
        <w:i w:val="0"/>
        <w:iCs w:val="0"/>
        <w:sz w:val="24"/>
        <w:szCs w:val="24"/>
        <w:lang w:val="ru-RU" w:eastAsia="en-US" w:bidi="ar-SA"/>
      </w:rPr>
    </w:lvl>
    <w:lvl w:ilvl="1">
      <w:start w:val="1"/>
      <w:numFmt w:val="bullet"/>
      <w:isLgl w:val="false"/>
      <w:suff w:val="tab"/>
      <w:lvlText w:val="•"/>
      <w:lvlJc w:val="left"/>
      <w:pPr>
        <w:ind w:left="1110" w:hanging="140"/>
      </w:pPr>
      <w:rPr>
        <w:rFonts w:hint="default"/>
        <w:lang w:val="ru-RU" w:eastAsia="en-US" w:bidi="ar-SA"/>
      </w:rPr>
    </w:lvl>
    <w:lvl w:ilvl="2">
      <w:start w:val="1"/>
      <w:numFmt w:val="bullet"/>
      <w:isLgl w:val="false"/>
      <w:suff w:val="tab"/>
      <w:lvlText w:val="•"/>
      <w:lvlJc w:val="left"/>
      <w:pPr>
        <w:ind w:left="2101" w:hanging="140"/>
      </w:pPr>
      <w:rPr>
        <w:rFonts w:hint="default"/>
        <w:lang w:val="ru-RU" w:eastAsia="en-US" w:bidi="ar-SA"/>
      </w:rPr>
    </w:lvl>
    <w:lvl w:ilvl="3">
      <w:start w:val="1"/>
      <w:numFmt w:val="bullet"/>
      <w:isLgl w:val="false"/>
      <w:suff w:val="tab"/>
      <w:lvlText w:val="•"/>
      <w:lvlJc w:val="left"/>
      <w:pPr>
        <w:ind w:left="3091" w:hanging="140"/>
      </w:pPr>
      <w:rPr>
        <w:rFonts w:hint="default"/>
        <w:lang w:val="ru-RU" w:eastAsia="en-US" w:bidi="ar-SA"/>
      </w:rPr>
    </w:lvl>
    <w:lvl w:ilvl="4">
      <w:start w:val="1"/>
      <w:numFmt w:val="bullet"/>
      <w:isLgl w:val="false"/>
      <w:suff w:val="tab"/>
      <w:lvlText w:val="•"/>
      <w:lvlJc w:val="left"/>
      <w:pPr>
        <w:ind w:left="4082" w:hanging="140"/>
      </w:pPr>
      <w:rPr>
        <w:rFonts w:hint="default"/>
        <w:lang w:val="ru-RU" w:eastAsia="en-US" w:bidi="ar-SA"/>
      </w:rPr>
    </w:lvl>
    <w:lvl w:ilvl="5">
      <w:start w:val="1"/>
      <w:numFmt w:val="bullet"/>
      <w:isLgl w:val="false"/>
      <w:suff w:val="tab"/>
      <w:lvlText w:val="•"/>
      <w:lvlJc w:val="left"/>
      <w:pPr>
        <w:ind w:left="5073" w:hanging="140"/>
      </w:pPr>
      <w:rPr>
        <w:rFonts w:hint="default"/>
        <w:lang w:val="ru-RU" w:eastAsia="en-US" w:bidi="ar-SA"/>
      </w:rPr>
    </w:lvl>
    <w:lvl w:ilvl="6">
      <w:start w:val="1"/>
      <w:numFmt w:val="bullet"/>
      <w:isLgl w:val="false"/>
      <w:suff w:val="tab"/>
      <w:lvlText w:val="•"/>
      <w:lvlJc w:val="left"/>
      <w:pPr>
        <w:ind w:left="6063" w:hanging="140"/>
      </w:pPr>
      <w:rPr>
        <w:rFonts w:hint="default"/>
        <w:lang w:val="ru-RU" w:eastAsia="en-US" w:bidi="ar-SA"/>
      </w:rPr>
    </w:lvl>
    <w:lvl w:ilvl="7">
      <w:start w:val="1"/>
      <w:numFmt w:val="bullet"/>
      <w:isLgl w:val="false"/>
      <w:suff w:val="tab"/>
      <w:lvlText w:val="•"/>
      <w:lvlJc w:val="left"/>
      <w:pPr>
        <w:ind w:left="7054" w:hanging="140"/>
      </w:pPr>
      <w:rPr>
        <w:rFonts w:hint="default"/>
        <w:lang w:val="ru-RU" w:eastAsia="en-US" w:bidi="ar-SA"/>
      </w:rPr>
    </w:lvl>
    <w:lvl w:ilvl="8">
      <w:start w:val="1"/>
      <w:numFmt w:val="bullet"/>
      <w:isLgl w:val="false"/>
      <w:suff w:val="tab"/>
      <w:lvlText w:val="•"/>
      <w:lvlJc w:val="left"/>
      <w:pPr>
        <w:ind w:left="8045" w:hanging="140"/>
      </w:pPr>
      <w:rPr>
        <w:rFonts w:hint="default"/>
        <w:lang w:val="ru-RU" w:eastAsia="en-US" w:bidi="ar-SA"/>
      </w:rPr>
    </w:lvl>
  </w:abstractNum>
  <w:abstractNum w:abstractNumId="12">
    <w:multiLevelType w:val="hybridMultilevel"/>
    <w:lvl w:ilvl="0">
      <w:start w:val="1"/>
      <w:numFmt w:val="bullet"/>
      <w:isLgl w:val="false"/>
      <w:suff w:val="tab"/>
      <w:lvlText w:val="-"/>
      <w:lvlJc w:val="left"/>
      <w:pPr/>
    </w:lvl>
    <w:lvl w:ilvl="1">
      <w:start w:val="1"/>
      <w:numFmt w:val="bullet"/>
      <w:isLgl w:val="false"/>
      <w:suff w:val="tab"/>
      <w:lvlText w:val="o"/>
      <w:lvlJc w:val="left"/>
      <w:pPr>
        <w:ind w:left="1440" w:hanging="360"/>
      </w:pPr>
      <w:rPr>
        <w:rFonts w:hint="default" w:ascii="Courier New" w:hAnsi="Courier New" w:eastAsia="Courier New" w:cs="Courier New"/>
      </w:rPr>
    </w:lvl>
    <w:lvl w:ilvl="2">
      <w:start w:val="1"/>
      <w:numFmt w:val="bullet"/>
      <w:isLgl w:val="false"/>
      <w:suff w:val="tab"/>
      <w:lvlText w:val="§"/>
      <w:lvlJc w:val="left"/>
      <w:pPr>
        <w:ind w:left="2160" w:hanging="360"/>
      </w:pPr>
      <w:rPr>
        <w:rFonts w:hint="default" w:ascii="Wingdings" w:hAnsi="Wingdings" w:eastAsia="Wingdings" w:cs="Wingdings"/>
      </w:rPr>
    </w:lvl>
    <w:lvl w:ilvl="3">
      <w:start w:val="1"/>
      <w:numFmt w:val="bullet"/>
      <w:isLgl w:val="false"/>
      <w:suff w:val="tab"/>
      <w:lvlText w:val="·"/>
      <w:lvlJc w:val="left"/>
      <w:pPr>
        <w:ind w:left="2880" w:hanging="360"/>
      </w:pPr>
      <w:rPr>
        <w:rFonts w:hint="default" w:ascii="Symbol" w:hAnsi="Symbol" w:eastAsia="Symbol" w:cs="Symbol"/>
      </w:rPr>
    </w:lvl>
    <w:lvl w:ilvl="4">
      <w:start w:val="1"/>
      <w:numFmt w:val="bullet"/>
      <w:isLgl w:val="false"/>
      <w:suff w:val="tab"/>
      <w:lvlText w:val="o"/>
      <w:lvlJc w:val="left"/>
      <w:pPr>
        <w:ind w:left="3600" w:hanging="360"/>
      </w:pPr>
      <w:rPr>
        <w:rFonts w:hint="default" w:ascii="Courier New" w:hAnsi="Courier New" w:eastAsia="Courier New" w:cs="Courier New"/>
      </w:rPr>
    </w:lvl>
    <w:lvl w:ilvl="5">
      <w:start w:val="1"/>
      <w:numFmt w:val="bullet"/>
      <w:isLgl w:val="false"/>
      <w:suff w:val="tab"/>
      <w:lvlText w:val="§"/>
      <w:lvlJc w:val="left"/>
      <w:pPr>
        <w:ind w:left="4320" w:hanging="360"/>
      </w:pPr>
      <w:rPr>
        <w:rFonts w:hint="default" w:ascii="Wingdings" w:hAnsi="Wingdings" w:eastAsia="Wingdings" w:cs="Wingdings"/>
      </w:rPr>
    </w:lvl>
    <w:lvl w:ilvl="6">
      <w:start w:val="1"/>
      <w:numFmt w:val="bullet"/>
      <w:isLgl w:val="false"/>
      <w:suff w:val="tab"/>
      <w:lvlText w:val="·"/>
      <w:lvlJc w:val="left"/>
      <w:pPr>
        <w:ind w:left="5040" w:hanging="360"/>
      </w:pPr>
      <w:rPr>
        <w:rFonts w:hint="default" w:ascii="Symbol" w:hAnsi="Symbol" w:eastAsia="Symbol" w:cs="Symbol"/>
      </w:rPr>
    </w:lvl>
    <w:lvl w:ilvl="7">
      <w:start w:val="1"/>
      <w:numFmt w:val="bullet"/>
      <w:isLgl w:val="false"/>
      <w:suff w:val="tab"/>
      <w:lvlText w:val="o"/>
      <w:lvlJc w:val="left"/>
      <w:pPr>
        <w:ind w:left="5760" w:hanging="360"/>
      </w:pPr>
      <w:rPr>
        <w:rFonts w:hint="default" w:ascii="Courier New" w:hAnsi="Courier New" w:eastAsia="Courier New" w:cs="Courier New"/>
      </w:rPr>
    </w:lvl>
    <w:lvl w:ilvl="8">
      <w:start w:val="1"/>
      <w:numFmt w:val="bullet"/>
      <w:isLgl w:val="false"/>
      <w:suff w:val="tab"/>
      <w:lvlText w:val="§"/>
      <w:lvlJc w:val="left"/>
      <w:pPr>
        <w:ind w:left="6480" w:hanging="360"/>
      </w:pPr>
      <w:rPr>
        <w:rFonts w:hint="default" w:ascii="Wingdings" w:hAnsi="Wingdings" w:eastAsia="Wingdings" w:cs="Wingdings"/>
      </w:rPr>
    </w:lvl>
  </w:abstractNum>
  <w:abstractNum w:abstractNumId="13">
    <w:multiLevelType w:val="hybridMultilevel"/>
    <w:lvl w:ilvl="0">
      <w:start w:val="1"/>
      <w:numFmt w:val="bullet"/>
      <w:isLgl w:val="false"/>
      <w:suff w:val="tab"/>
      <w:lvlText w:val=""/>
      <w:lvlJc w:val="left"/>
      <w:pPr>
        <w:ind w:left="1126" w:hanging="286"/>
      </w:pPr>
      <w:rPr>
        <w:rFonts w:hint="default" w:ascii="Symbol" w:hAnsi="Symbol" w:eastAsia="Symbol" w:cs="Symbol"/>
        <w:sz w:val="24"/>
        <w:szCs w:val="24"/>
        <w:lang w:val="ru-RU" w:eastAsia="en-US" w:bidi="ar-SA"/>
      </w:rPr>
    </w:lvl>
    <w:lvl w:ilvl="1">
      <w:start w:val="1"/>
      <w:numFmt w:val="bullet"/>
      <w:isLgl w:val="false"/>
      <w:suff w:val="tab"/>
      <w:lvlText w:val="•"/>
      <w:lvlJc w:val="left"/>
      <w:pPr>
        <w:ind w:left="2094" w:hanging="286"/>
      </w:pPr>
      <w:rPr>
        <w:rFonts w:hint="default"/>
        <w:lang w:val="ru-RU" w:eastAsia="en-US" w:bidi="ar-SA"/>
      </w:rPr>
    </w:lvl>
    <w:lvl w:ilvl="2">
      <w:start w:val="1"/>
      <w:numFmt w:val="bullet"/>
      <w:isLgl w:val="false"/>
      <w:suff w:val="tab"/>
      <w:lvlText w:val="•"/>
      <w:lvlJc w:val="left"/>
      <w:pPr>
        <w:ind w:left="3069" w:hanging="286"/>
      </w:pPr>
      <w:rPr>
        <w:rFonts w:hint="default"/>
        <w:lang w:val="ru-RU" w:eastAsia="en-US" w:bidi="ar-SA"/>
      </w:rPr>
    </w:lvl>
    <w:lvl w:ilvl="3">
      <w:start w:val="1"/>
      <w:numFmt w:val="bullet"/>
      <w:isLgl w:val="false"/>
      <w:suff w:val="tab"/>
      <w:lvlText w:val="•"/>
      <w:lvlJc w:val="left"/>
      <w:pPr>
        <w:ind w:left="4043" w:hanging="286"/>
      </w:pPr>
      <w:rPr>
        <w:rFonts w:hint="default"/>
        <w:lang w:val="ru-RU" w:eastAsia="en-US" w:bidi="ar-SA"/>
      </w:rPr>
    </w:lvl>
    <w:lvl w:ilvl="4">
      <w:start w:val="1"/>
      <w:numFmt w:val="bullet"/>
      <w:isLgl w:val="false"/>
      <w:suff w:val="tab"/>
      <w:lvlText w:val="•"/>
      <w:lvlJc w:val="left"/>
      <w:pPr>
        <w:ind w:left="5018" w:hanging="286"/>
      </w:pPr>
      <w:rPr>
        <w:rFonts w:hint="default"/>
        <w:lang w:val="ru-RU" w:eastAsia="en-US" w:bidi="ar-SA"/>
      </w:rPr>
    </w:lvl>
    <w:lvl w:ilvl="5">
      <w:start w:val="1"/>
      <w:numFmt w:val="bullet"/>
      <w:isLgl w:val="false"/>
      <w:suff w:val="tab"/>
      <w:lvlText w:val="•"/>
      <w:lvlJc w:val="left"/>
      <w:pPr>
        <w:ind w:left="5993" w:hanging="286"/>
      </w:pPr>
      <w:rPr>
        <w:rFonts w:hint="default"/>
        <w:lang w:val="ru-RU" w:eastAsia="en-US" w:bidi="ar-SA"/>
      </w:rPr>
    </w:lvl>
    <w:lvl w:ilvl="6">
      <w:start w:val="1"/>
      <w:numFmt w:val="bullet"/>
      <w:isLgl w:val="false"/>
      <w:suff w:val="tab"/>
      <w:lvlText w:val="•"/>
      <w:lvlJc w:val="left"/>
      <w:pPr>
        <w:ind w:left="6967" w:hanging="286"/>
      </w:pPr>
      <w:rPr>
        <w:rFonts w:hint="default"/>
        <w:lang w:val="ru-RU" w:eastAsia="en-US" w:bidi="ar-SA"/>
      </w:rPr>
    </w:lvl>
    <w:lvl w:ilvl="7">
      <w:start w:val="1"/>
      <w:numFmt w:val="bullet"/>
      <w:isLgl w:val="false"/>
      <w:suff w:val="tab"/>
      <w:lvlText w:val="•"/>
      <w:lvlJc w:val="left"/>
      <w:pPr>
        <w:ind w:left="7942" w:hanging="286"/>
      </w:pPr>
      <w:rPr>
        <w:rFonts w:hint="default"/>
        <w:lang w:val="ru-RU" w:eastAsia="en-US" w:bidi="ar-SA"/>
      </w:rPr>
    </w:lvl>
    <w:lvl w:ilvl="8">
      <w:start w:val="1"/>
      <w:numFmt w:val="bullet"/>
      <w:isLgl w:val="false"/>
      <w:suff w:val="tab"/>
      <w:lvlText w:val="•"/>
      <w:lvlJc w:val="left"/>
      <w:pPr>
        <w:ind w:left="8917" w:hanging="286"/>
      </w:pPr>
      <w:rPr>
        <w:rFonts w:hint="default"/>
        <w:lang w:val="ru-RU" w:eastAsia="en-US" w:bidi="ar-SA"/>
      </w:rPr>
    </w:lvl>
  </w:abstractNum>
  <w:abstractNum w:abstractNumId="14">
    <w:multiLevelType w:val="hybridMultilevel"/>
    <w:lvl w:ilvl="0">
      <w:start w:val="1"/>
      <w:numFmt w:val="decimal"/>
      <w:pStyle w:val="1227"/>
      <w:isLgl w:val="false"/>
      <w:suff w:val="space"/>
      <w:lvlText w:val="Глава %1"/>
      <w:lvlJc w:val="left"/>
      <w:pPr>
        <w:ind w:left="0" w:firstLine="0"/>
      </w:pPr>
      <w:rPr>
        <w:rFonts w:hint="default"/>
      </w:rPr>
    </w:lvl>
    <w:lvl w:ilvl="1">
      <w:start w:val="1"/>
      <w:numFmt w:val="decimal"/>
      <w:pStyle w:val="1228"/>
      <w:isLgl w:val="false"/>
      <w:suff w:val="space"/>
      <w:lvlText w:val="%1.%2"/>
      <w:lvlJc w:val="left"/>
      <w:pPr>
        <w:ind w:left="0" w:firstLine="284"/>
      </w:pPr>
      <w:rPr>
        <w:rFonts w:hint="default" w:ascii="Times New Roman" w:hAnsi="Times New Roman"/>
        <w:i w:val="0"/>
        <w:iCs w:val="0"/>
        <w:caps w:val="0"/>
        <w:smallCaps w:val="0"/>
        <w:strike w:val="0"/>
        <w:vanish w:val="0"/>
        <w:color w:val="000000"/>
        <w:spacing w:val="0"/>
        <w:position w:val="0"/>
        <w:u w:val="none"/>
        <w:vertAlign w:val="baseline"/>
        <w14:textOutline w14:w="0" w14:cap="rnd" w14:cmpd="sng" w14:algn="ctr">
          <w14:noFill/>
          <w14:prstDash w14:val="solid"/>
          <w14:bevel/>
        </w14:textOutline>
        <w14:ligatures w14:val="none"/>
      </w:rPr>
    </w:lvl>
    <w:lvl w:ilvl="2">
      <w:start w:val="1"/>
      <w:numFmt w:val="decimal"/>
      <w:pStyle w:val="1229"/>
      <w:isLgl w:val="false"/>
      <w:suff w:val="space"/>
      <w:lvlText w:val="%1.%2.%3"/>
      <w:lvlJc w:val="left"/>
      <w:pPr>
        <w:ind w:left="0" w:firstLine="567"/>
      </w:pPr>
      <w:rPr>
        <w:rFonts w:hint="default" w:ascii="Times New Roman" w:hAnsi="Times New Roman"/>
        <w:i w:val="0"/>
        <w:iCs w:val="0"/>
        <w:caps w:val="0"/>
        <w:smallCaps w:val="0"/>
        <w:strike w:val="0"/>
        <w:vanish w:val="0"/>
        <w:color w:val="000000"/>
        <w:spacing w:val="0"/>
        <w:position w:val="0"/>
        <w:u w:val="none"/>
        <w:vertAlign w:val="baseline"/>
        <w14:textOutline w14:w="0" w14:cap="rnd" w14:cmpd="sng" w14:algn="ctr">
          <w14:noFill/>
          <w14:prstDash w14:val="solid"/>
          <w14:bevel/>
        </w14:textOutline>
        <w14:ligatures w14:val="none"/>
      </w:rPr>
    </w:lvl>
    <w:lvl w:ilvl="3">
      <w:start w:val="1"/>
      <w:numFmt w:val="decimal"/>
      <w:isLgl w:val="false"/>
      <w:suff w:val="tab"/>
      <w:lvlText w:val="%1.%2.%3.%4"/>
      <w:lvlJc w:val="left"/>
      <w:pPr>
        <w:ind w:left="0" w:firstLine="0"/>
      </w:pPr>
      <w:rPr>
        <w:rFonts w:hint="default"/>
      </w:rPr>
    </w:lvl>
    <w:lvl w:ilvl="4">
      <w:start w:val="1"/>
      <w:numFmt w:val="decimal"/>
      <w:isLgl w:val="false"/>
      <w:suff w:val="tab"/>
      <w:lvlText w:val="%1.%2.%3.%4.%5"/>
      <w:lvlJc w:val="left"/>
      <w:pPr>
        <w:ind w:left="0" w:firstLine="0"/>
      </w:pPr>
      <w:rPr>
        <w:rFonts w:hint="default"/>
      </w:rPr>
    </w:lvl>
    <w:lvl w:ilvl="5">
      <w:start w:val="1"/>
      <w:numFmt w:val="decimal"/>
      <w:isLgl w:val="false"/>
      <w:suff w:val="tab"/>
      <w:lvlText w:val="%1.%2.%3.%4.%5.%6"/>
      <w:lvlJc w:val="left"/>
      <w:pPr>
        <w:ind w:left="0" w:firstLine="0"/>
      </w:pPr>
      <w:rPr>
        <w:rFonts w:hint="default"/>
      </w:rPr>
    </w:lvl>
    <w:lvl w:ilvl="6">
      <w:start w:val="1"/>
      <w:numFmt w:val="decimal"/>
      <w:isLgl w:val="false"/>
      <w:suff w:val="tab"/>
      <w:lvlText w:val="%1.%2.%3.%4.%5.%6.%7"/>
      <w:lvlJc w:val="left"/>
      <w:pPr>
        <w:ind w:left="0" w:firstLine="0"/>
      </w:pPr>
      <w:rPr>
        <w:rFonts w:hint="default"/>
      </w:rPr>
    </w:lvl>
    <w:lvl w:ilvl="7">
      <w:start w:val="1"/>
      <w:numFmt w:val="decimal"/>
      <w:isLgl w:val="false"/>
      <w:suff w:val="tab"/>
      <w:lvlText w:val="%1.%2.%3.%4.%5.%6.%7.%8"/>
      <w:lvlJc w:val="left"/>
      <w:pPr>
        <w:ind w:left="0" w:firstLine="0"/>
      </w:pPr>
      <w:rPr>
        <w:rFonts w:hint="default"/>
      </w:rPr>
    </w:lvl>
    <w:lvl w:ilvl="8">
      <w:start w:val="1"/>
      <w:numFmt w:val="decimal"/>
      <w:isLgl w:val="false"/>
      <w:suff w:val="tab"/>
      <w:lvlText w:val="%1.%2.%3.%4.%5.%6.%7.%8.%9"/>
      <w:lvlJc w:val="left"/>
      <w:pPr>
        <w:ind w:left="0" w:firstLine="0"/>
      </w:pPr>
      <w:rPr>
        <w:rFonts w:hint="default"/>
      </w:rPr>
    </w:lvl>
  </w:abstractNum>
  <w:abstractNum w:abstractNumId="15">
    <w:multiLevelType w:val="hybridMultilevel"/>
    <w:lvl w:ilvl="0">
      <w:start w:val="1"/>
      <w:numFmt w:val="decimal"/>
      <w:isLgl w:val="false"/>
      <w:suff w:val="tab"/>
      <w:lvlText w:val="%1."/>
      <w:lvlJc w:val="left"/>
      <w:pPr>
        <w:ind w:left="1073" w:hanging="247"/>
      </w:pPr>
      <w:rPr>
        <w:rFonts w:hint="default" w:ascii="Times New Roman" w:hAnsi="Times New Roman" w:eastAsia="Times New Roman" w:cs="Times New Roman"/>
        <w:b w:val="0"/>
        <w:bCs w:val="0"/>
        <w:i w:val="0"/>
        <w:iCs w:val="0"/>
        <w:sz w:val="24"/>
        <w:szCs w:val="24"/>
        <w:lang w:val="ru-RU" w:eastAsia="en-US" w:bidi="ar-SA"/>
      </w:rPr>
    </w:lvl>
    <w:lvl w:ilvl="1">
      <w:start w:val="1"/>
      <w:numFmt w:val="bullet"/>
      <w:isLgl w:val="false"/>
      <w:suff w:val="tab"/>
      <w:lvlText w:val="•"/>
      <w:lvlJc w:val="left"/>
      <w:pPr>
        <w:ind w:left="1974" w:hanging="247"/>
      </w:pPr>
      <w:rPr>
        <w:rFonts w:hint="default"/>
        <w:lang w:val="ru-RU" w:eastAsia="en-US" w:bidi="ar-SA"/>
      </w:rPr>
    </w:lvl>
    <w:lvl w:ilvl="2">
      <w:start w:val="1"/>
      <w:numFmt w:val="bullet"/>
      <w:isLgl w:val="false"/>
      <w:suff w:val="tab"/>
      <w:lvlText w:val="•"/>
      <w:lvlJc w:val="left"/>
      <w:pPr>
        <w:ind w:left="2869" w:hanging="247"/>
      </w:pPr>
      <w:rPr>
        <w:rFonts w:hint="default"/>
        <w:lang w:val="ru-RU" w:eastAsia="en-US" w:bidi="ar-SA"/>
      </w:rPr>
    </w:lvl>
    <w:lvl w:ilvl="3">
      <w:start w:val="1"/>
      <w:numFmt w:val="bullet"/>
      <w:isLgl w:val="false"/>
      <w:suff w:val="tab"/>
      <w:lvlText w:val="•"/>
      <w:lvlJc w:val="left"/>
      <w:pPr>
        <w:ind w:left="3763" w:hanging="247"/>
      </w:pPr>
      <w:rPr>
        <w:rFonts w:hint="default"/>
        <w:lang w:val="ru-RU" w:eastAsia="en-US" w:bidi="ar-SA"/>
      </w:rPr>
    </w:lvl>
    <w:lvl w:ilvl="4">
      <w:start w:val="1"/>
      <w:numFmt w:val="bullet"/>
      <w:isLgl w:val="false"/>
      <w:suff w:val="tab"/>
      <w:lvlText w:val="•"/>
      <w:lvlJc w:val="left"/>
      <w:pPr>
        <w:ind w:left="4658" w:hanging="247"/>
      </w:pPr>
      <w:rPr>
        <w:rFonts w:hint="default"/>
        <w:lang w:val="ru-RU" w:eastAsia="en-US" w:bidi="ar-SA"/>
      </w:rPr>
    </w:lvl>
    <w:lvl w:ilvl="5">
      <w:start w:val="1"/>
      <w:numFmt w:val="bullet"/>
      <w:isLgl w:val="false"/>
      <w:suff w:val="tab"/>
      <w:lvlText w:val="•"/>
      <w:lvlJc w:val="left"/>
      <w:pPr>
        <w:ind w:left="5553" w:hanging="247"/>
      </w:pPr>
      <w:rPr>
        <w:rFonts w:hint="default"/>
        <w:lang w:val="ru-RU" w:eastAsia="en-US" w:bidi="ar-SA"/>
      </w:rPr>
    </w:lvl>
    <w:lvl w:ilvl="6">
      <w:start w:val="1"/>
      <w:numFmt w:val="bullet"/>
      <w:isLgl w:val="false"/>
      <w:suff w:val="tab"/>
      <w:lvlText w:val="•"/>
      <w:lvlJc w:val="left"/>
      <w:pPr>
        <w:ind w:left="6447" w:hanging="247"/>
      </w:pPr>
      <w:rPr>
        <w:rFonts w:hint="default"/>
        <w:lang w:val="ru-RU" w:eastAsia="en-US" w:bidi="ar-SA"/>
      </w:rPr>
    </w:lvl>
    <w:lvl w:ilvl="7">
      <w:start w:val="1"/>
      <w:numFmt w:val="bullet"/>
      <w:isLgl w:val="false"/>
      <w:suff w:val="tab"/>
      <w:lvlText w:val="•"/>
      <w:lvlJc w:val="left"/>
      <w:pPr>
        <w:ind w:left="7342" w:hanging="247"/>
      </w:pPr>
      <w:rPr>
        <w:rFonts w:hint="default"/>
        <w:lang w:val="ru-RU" w:eastAsia="en-US" w:bidi="ar-SA"/>
      </w:rPr>
    </w:lvl>
    <w:lvl w:ilvl="8">
      <w:start w:val="1"/>
      <w:numFmt w:val="bullet"/>
      <w:isLgl w:val="false"/>
      <w:suff w:val="tab"/>
      <w:lvlText w:val="•"/>
      <w:lvlJc w:val="left"/>
      <w:pPr>
        <w:ind w:left="8237" w:hanging="247"/>
      </w:pPr>
      <w:rPr>
        <w:rFonts w:hint="default"/>
        <w:lang w:val="ru-RU" w:eastAsia="en-US" w:bidi="ar-SA"/>
      </w:rPr>
    </w:lvl>
  </w:abstractNum>
  <w:abstractNum w:abstractNumId="16">
    <w:multiLevelType w:val="hybridMultilevel"/>
    <w:lvl w:ilvl="0">
      <w:start w:val="1"/>
      <w:numFmt w:val="bullet"/>
      <w:isLgl w:val="false"/>
      <w:suff w:val="tab"/>
      <w:lvlText w:val="-"/>
      <w:lvlJc w:val="left"/>
      <w:pPr>
        <w:ind w:left="113" w:hanging="252"/>
      </w:pPr>
      <w:rPr>
        <w:rFonts w:hint="default" w:ascii="Times New Roman" w:hAnsi="Times New Roman" w:eastAsia="Times New Roman" w:cs="Times New Roman"/>
        <w:sz w:val="24"/>
        <w:szCs w:val="24"/>
        <w:lang w:val="ru-RU" w:eastAsia="en-US" w:bidi="ar-SA"/>
      </w:rPr>
    </w:lvl>
    <w:lvl w:ilvl="1">
      <w:start w:val="1"/>
      <w:numFmt w:val="bullet"/>
      <w:isLgl w:val="false"/>
      <w:suff w:val="tab"/>
      <w:lvlText w:val="-"/>
      <w:lvlJc w:val="left"/>
      <w:pPr>
        <w:ind w:left="672" w:hanging="140"/>
      </w:pPr>
      <w:rPr>
        <w:rFonts w:hint="default" w:ascii="Times New Roman" w:hAnsi="Times New Roman" w:eastAsia="Times New Roman" w:cs="Times New Roman"/>
        <w:sz w:val="24"/>
        <w:szCs w:val="24"/>
        <w:lang w:val="ru-RU" w:eastAsia="en-US" w:bidi="ar-SA"/>
      </w:rPr>
    </w:lvl>
    <w:lvl w:ilvl="2">
      <w:start w:val="1"/>
      <w:numFmt w:val="bullet"/>
      <w:isLgl w:val="false"/>
      <w:suff w:val="tab"/>
      <w:lvlText w:val="•"/>
      <w:lvlJc w:val="left"/>
      <w:pPr>
        <w:ind w:left="980" w:hanging="140"/>
      </w:pPr>
      <w:rPr>
        <w:rFonts w:hint="default"/>
        <w:lang w:val="ru-RU" w:eastAsia="en-US" w:bidi="ar-SA"/>
      </w:rPr>
    </w:lvl>
    <w:lvl w:ilvl="3">
      <w:start w:val="1"/>
      <w:numFmt w:val="bullet"/>
      <w:isLgl w:val="false"/>
      <w:suff w:val="tab"/>
      <w:lvlText w:val="•"/>
      <w:lvlJc w:val="left"/>
      <w:pPr>
        <w:ind w:left="2178" w:hanging="140"/>
      </w:pPr>
      <w:rPr>
        <w:rFonts w:hint="default"/>
        <w:lang w:val="ru-RU" w:eastAsia="en-US" w:bidi="ar-SA"/>
      </w:rPr>
    </w:lvl>
    <w:lvl w:ilvl="4">
      <w:start w:val="1"/>
      <w:numFmt w:val="bullet"/>
      <w:isLgl w:val="false"/>
      <w:suff w:val="tab"/>
      <w:lvlText w:val="•"/>
      <w:lvlJc w:val="left"/>
      <w:pPr>
        <w:ind w:left="3376" w:hanging="140"/>
      </w:pPr>
      <w:rPr>
        <w:rFonts w:hint="default"/>
        <w:lang w:val="ru-RU" w:eastAsia="en-US" w:bidi="ar-SA"/>
      </w:rPr>
    </w:lvl>
    <w:lvl w:ilvl="5">
      <w:start w:val="1"/>
      <w:numFmt w:val="bullet"/>
      <w:isLgl w:val="false"/>
      <w:suff w:val="tab"/>
      <w:lvlText w:val="•"/>
      <w:lvlJc w:val="left"/>
      <w:pPr>
        <w:ind w:left="4574" w:hanging="140"/>
      </w:pPr>
      <w:rPr>
        <w:rFonts w:hint="default"/>
        <w:lang w:val="ru-RU" w:eastAsia="en-US" w:bidi="ar-SA"/>
      </w:rPr>
    </w:lvl>
    <w:lvl w:ilvl="6">
      <w:start w:val="1"/>
      <w:numFmt w:val="bullet"/>
      <w:isLgl w:val="false"/>
      <w:suff w:val="tab"/>
      <w:lvlText w:val="•"/>
      <w:lvlJc w:val="left"/>
      <w:pPr>
        <w:ind w:left="5773" w:hanging="140"/>
      </w:pPr>
      <w:rPr>
        <w:rFonts w:hint="default"/>
        <w:lang w:val="ru-RU" w:eastAsia="en-US" w:bidi="ar-SA"/>
      </w:rPr>
    </w:lvl>
    <w:lvl w:ilvl="7">
      <w:start w:val="1"/>
      <w:numFmt w:val="bullet"/>
      <w:isLgl w:val="false"/>
      <w:suff w:val="tab"/>
      <w:lvlText w:val="•"/>
      <w:lvlJc w:val="left"/>
      <w:pPr>
        <w:ind w:left="6971" w:hanging="140"/>
      </w:pPr>
      <w:rPr>
        <w:rFonts w:hint="default"/>
        <w:lang w:val="ru-RU" w:eastAsia="en-US" w:bidi="ar-SA"/>
      </w:rPr>
    </w:lvl>
    <w:lvl w:ilvl="8">
      <w:start w:val="1"/>
      <w:numFmt w:val="bullet"/>
      <w:isLgl w:val="false"/>
      <w:suff w:val="tab"/>
      <w:lvlText w:val="•"/>
      <w:lvlJc w:val="left"/>
      <w:pPr>
        <w:ind w:left="8169" w:hanging="140"/>
      </w:pPr>
      <w:rPr>
        <w:rFonts w:hint="default"/>
        <w:lang w:val="ru-RU" w:eastAsia="en-US" w:bidi="ar-SA"/>
      </w:rPr>
    </w:lvl>
  </w:abstractNum>
  <w:abstractNum w:abstractNumId="17">
    <w:multiLevelType w:val="hybridMultilevel"/>
    <w:lvl w:ilvl="0">
      <w:start w:val="1"/>
      <w:numFmt w:val="decimal"/>
      <w:isLgl w:val="false"/>
      <w:suff w:val="tab"/>
      <w:lvlText w:val="%1."/>
      <w:lvlJc w:val="left"/>
      <w:pPr>
        <w:ind w:left="720" w:hanging="360"/>
      </w:pPr>
    </w:lvl>
    <w:lvl w:ilvl="1">
      <w:start w:val="1"/>
      <w:numFmt w:val="lowerLetter"/>
      <w:isLgl w:val="false"/>
      <w:suff w:val="tab"/>
      <w:lvlText w:val="%2."/>
      <w:lvlJc w:val="left"/>
      <w:pPr>
        <w:ind w:left="1440" w:hanging="360"/>
      </w:pPr>
    </w:lvl>
    <w:lvl w:ilvl="2">
      <w:start w:val="1"/>
      <w:numFmt w:val="lowerRoman"/>
      <w:isLgl w:val="false"/>
      <w:suff w:val="tab"/>
      <w:lvlText w:val="%3."/>
      <w:lvlJc w:val="right"/>
      <w:pPr>
        <w:ind w:left="2160" w:hanging="180"/>
      </w:pPr>
    </w:lvl>
    <w:lvl w:ilvl="3">
      <w:start w:val="1"/>
      <w:numFmt w:val="decimal"/>
      <w:isLgl w:val="false"/>
      <w:suff w:val="tab"/>
      <w:lvlText w:val="%4."/>
      <w:lvlJc w:val="left"/>
      <w:pPr>
        <w:ind w:left="2880" w:hanging="360"/>
      </w:pPr>
    </w:lvl>
    <w:lvl w:ilvl="4">
      <w:start w:val="1"/>
      <w:numFmt w:val="lowerLetter"/>
      <w:isLgl w:val="false"/>
      <w:suff w:val="tab"/>
      <w:lvlText w:val="%5."/>
      <w:lvlJc w:val="left"/>
      <w:pPr>
        <w:ind w:left="3600" w:hanging="360"/>
      </w:pPr>
    </w:lvl>
    <w:lvl w:ilvl="5">
      <w:start w:val="1"/>
      <w:numFmt w:val="lowerRoman"/>
      <w:isLgl w:val="false"/>
      <w:suff w:val="tab"/>
      <w:lvlText w:val="%6."/>
      <w:lvlJc w:val="right"/>
      <w:pPr>
        <w:ind w:left="4320" w:hanging="180"/>
      </w:pPr>
    </w:lvl>
    <w:lvl w:ilvl="6">
      <w:start w:val="1"/>
      <w:numFmt w:val="decimal"/>
      <w:isLgl w:val="false"/>
      <w:suff w:val="tab"/>
      <w:lvlText w:val="%7."/>
      <w:lvlJc w:val="left"/>
      <w:pPr>
        <w:ind w:left="5040" w:hanging="360"/>
      </w:pPr>
    </w:lvl>
    <w:lvl w:ilvl="7">
      <w:start w:val="1"/>
      <w:numFmt w:val="lowerLetter"/>
      <w:isLgl w:val="false"/>
      <w:suff w:val="tab"/>
      <w:lvlText w:val="%8."/>
      <w:lvlJc w:val="left"/>
      <w:pPr>
        <w:ind w:left="5760" w:hanging="360"/>
      </w:pPr>
    </w:lvl>
    <w:lvl w:ilvl="8">
      <w:start w:val="1"/>
      <w:numFmt w:val="lowerRoman"/>
      <w:isLgl w:val="false"/>
      <w:suff w:val="tab"/>
      <w:lvlText w:val="%9."/>
      <w:lvlJc w:val="right"/>
      <w:pPr>
        <w:ind w:left="6480" w:hanging="180"/>
      </w:pPr>
    </w:lvl>
  </w:abstractNum>
  <w:abstractNum w:abstractNumId="18">
    <w:multiLevelType w:val="hybridMultilevel"/>
    <w:lvl w:ilvl="0">
      <w:start w:val="1"/>
      <w:numFmt w:val="bullet"/>
      <w:isLgl w:val="false"/>
      <w:suff w:val="tab"/>
      <w:lvlText w:val="-"/>
      <w:lvlJc w:val="left"/>
      <w:pPr/>
    </w:lvl>
    <w:lvl w:ilvl="1">
      <w:start w:val="1"/>
      <w:numFmt w:val="bullet"/>
      <w:isLgl w:val="false"/>
      <w:suff w:val="tab"/>
      <w:lvlText w:val="o"/>
      <w:lvlJc w:val="left"/>
      <w:pPr>
        <w:ind w:left="1440" w:hanging="360"/>
      </w:pPr>
      <w:rPr>
        <w:rFonts w:hint="default" w:ascii="Courier New" w:hAnsi="Courier New" w:eastAsia="Courier New" w:cs="Courier New"/>
      </w:rPr>
    </w:lvl>
    <w:lvl w:ilvl="2">
      <w:start w:val="1"/>
      <w:numFmt w:val="bullet"/>
      <w:isLgl w:val="false"/>
      <w:suff w:val="tab"/>
      <w:lvlText w:val="§"/>
      <w:lvlJc w:val="left"/>
      <w:pPr>
        <w:ind w:left="2160" w:hanging="360"/>
      </w:pPr>
      <w:rPr>
        <w:rFonts w:hint="default" w:ascii="Wingdings" w:hAnsi="Wingdings" w:eastAsia="Wingdings" w:cs="Wingdings"/>
      </w:rPr>
    </w:lvl>
    <w:lvl w:ilvl="3">
      <w:start w:val="1"/>
      <w:numFmt w:val="bullet"/>
      <w:isLgl w:val="false"/>
      <w:suff w:val="tab"/>
      <w:lvlText w:val="·"/>
      <w:lvlJc w:val="left"/>
      <w:pPr>
        <w:ind w:left="2880" w:hanging="360"/>
      </w:pPr>
      <w:rPr>
        <w:rFonts w:hint="default" w:ascii="Symbol" w:hAnsi="Symbol" w:eastAsia="Symbol" w:cs="Symbol"/>
      </w:rPr>
    </w:lvl>
    <w:lvl w:ilvl="4">
      <w:start w:val="1"/>
      <w:numFmt w:val="bullet"/>
      <w:isLgl w:val="false"/>
      <w:suff w:val="tab"/>
      <w:lvlText w:val="o"/>
      <w:lvlJc w:val="left"/>
      <w:pPr>
        <w:ind w:left="3600" w:hanging="360"/>
      </w:pPr>
      <w:rPr>
        <w:rFonts w:hint="default" w:ascii="Courier New" w:hAnsi="Courier New" w:eastAsia="Courier New" w:cs="Courier New"/>
      </w:rPr>
    </w:lvl>
    <w:lvl w:ilvl="5">
      <w:start w:val="1"/>
      <w:numFmt w:val="bullet"/>
      <w:isLgl w:val="false"/>
      <w:suff w:val="tab"/>
      <w:lvlText w:val="§"/>
      <w:lvlJc w:val="left"/>
      <w:pPr>
        <w:ind w:left="4320" w:hanging="360"/>
      </w:pPr>
      <w:rPr>
        <w:rFonts w:hint="default" w:ascii="Wingdings" w:hAnsi="Wingdings" w:eastAsia="Wingdings" w:cs="Wingdings"/>
      </w:rPr>
    </w:lvl>
    <w:lvl w:ilvl="6">
      <w:start w:val="1"/>
      <w:numFmt w:val="bullet"/>
      <w:isLgl w:val="false"/>
      <w:suff w:val="tab"/>
      <w:lvlText w:val="·"/>
      <w:lvlJc w:val="left"/>
      <w:pPr>
        <w:ind w:left="5040" w:hanging="360"/>
      </w:pPr>
      <w:rPr>
        <w:rFonts w:hint="default" w:ascii="Symbol" w:hAnsi="Symbol" w:eastAsia="Symbol" w:cs="Symbol"/>
      </w:rPr>
    </w:lvl>
    <w:lvl w:ilvl="7">
      <w:start w:val="1"/>
      <w:numFmt w:val="bullet"/>
      <w:isLgl w:val="false"/>
      <w:suff w:val="tab"/>
      <w:lvlText w:val="o"/>
      <w:lvlJc w:val="left"/>
      <w:pPr>
        <w:ind w:left="5760" w:hanging="360"/>
      </w:pPr>
      <w:rPr>
        <w:rFonts w:hint="default" w:ascii="Courier New" w:hAnsi="Courier New" w:eastAsia="Courier New" w:cs="Courier New"/>
      </w:rPr>
    </w:lvl>
    <w:lvl w:ilvl="8">
      <w:start w:val="1"/>
      <w:numFmt w:val="bullet"/>
      <w:isLgl w:val="false"/>
      <w:suff w:val="tab"/>
      <w:lvlText w:val="§"/>
      <w:lvlJc w:val="left"/>
      <w:pPr>
        <w:ind w:left="6480" w:hanging="360"/>
      </w:pPr>
      <w:rPr>
        <w:rFonts w:hint="default" w:ascii="Wingdings" w:hAnsi="Wingdings" w:eastAsia="Wingdings" w:cs="Wingdings"/>
      </w:rPr>
    </w:lvl>
  </w:abstractNum>
  <w:abstractNum w:abstractNumId="19">
    <w:multiLevelType w:val="hybridMultilevel"/>
    <w:lvl w:ilvl="0">
      <w:start w:val="1"/>
      <w:numFmt w:val="bullet"/>
      <w:isLgl w:val="false"/>
      <w:suff w:val="tab"/>
      <w:lvlText w:val="-"/>
      <w:lvlJc w:val="left"/>
      <w:pPr>
        <w:ind w:left="966" w:hanging="140"/>
      </w:pPr>
      <w:rPr>
        <w:rFonts w:hint="default" w:ascii="Times New Roman" w:hAnsi="Times New Roman" w:eastAsia="Times New Roman" w:cs="Times New Roman"/>
        <w:b w:val="0"/>
        <w:bCs w:val="0"/>
        <w:i w:val="0"/>
        <w:iCs w:val="0"/>
        <w:sz w:val="24"/>
        <w:szCs w:val="24"/>
        <w:lang w:val="ru-RU" w:eastAsia="en-US" w:bidi="ar-SA"/>
      </w:rPr>
    </w:lvl>
    <w:lvl w:ilvl="1">
      <w:start w:val="1"/>
      <w:numFmt w:val="bullet"/>
      <w:isLgl w:val="false"/>
      <w:suff w:val="tab"/>
      <w:lvlText w:val="•"/>
      <w:lvlJc w:val="left"/>
      <w:pPr>
        <w:ind w:left="1866" w:hanging="140"/>
      </w:pPr>
      <w:rPr>
        <w:rFonts w:hint="default"/>
        <w:lang w:val="ru-RU" w:eastAsia="en-US" w:bidi="ar-SA"/>
      </w:rPr>
    </w:lvl>
    <w:lvl w:ilvl="2">
      <w:start w:val="1"/>
      <w:numFmt w:val="bullet"/>
      <w:isLgl w:val="false"/>
      <w:suff w:val="tab"/>
      <w:lvlText w:val="•"/>
      <w:lvlJc w:val="left"/>
      <w:pPr>
        <w:ind w:left="2773" w:hanging="140"/>
      </w:pPr>
      <w:rPr>
        <w:rFonts w:hint="default"/>
        <w:lang w:val="ru-RU" w:eastAsia="en-US" w:bidi="ar-SA"/>
      </w:rPr>
    </w:lvl>
    <w:lvl w:ilvl="3">
      <w:start w:val="1"/>
      <w:numFmt w:val="bullet"/>
      <w:isLgl w:val="false"/>
      <w:suff w:val="tab"/>
      <w:lvlText w:val="•"/>
      <w:lvlJc w:val="left"/>
      <w:pPr>
        <w:ind w:left="3679" w:hanging="140"/>
      </w:pPr>
      <w:rPr>
        <w:rFonts w:hint="default"/>
        <w:lang w:val="ru-RU" w:eastAsia="en-US" w:bidi="ar-SA"/>
      </w:rPr>
    </w:lvl>
    <w:lvl w:ilvl="4">
      <w:start w:val="1"/>
      <w:numFmt w:val="bullet"/>
      <w:isLgl w:val="false"/>
      <w:suff w:val="tab"/>
      <w:lvlText w:val="•"/>
      <w:lvlJc w:val="left"/>
      <w:pPr>
        <w:ind w:left="4586" w:hanging="140"/>
      </w:pPr>
      <w:rPr>
        <w:rFonts w:hint="default"/>
        <w:lang w:val="ru-RU" w:eastAsia="en-US" w:bidi="ar-SA"/>
      </w:rPr>
    </w:lvl>
    <w:lvl w:ilvl="5">
      <w:start w:val="1"/>
      <w:numFmt w:val="bullet"/>
      <w:isLgl w:val="false"/>
      <w:suff w:val="tab"/>
      <w:lvlText w:val="•"/>
      <w:lvlJc w:val="left"/>
      <w:pPr>
        <w:ind w:left="5493" w:hanging="140"/>
      </w:pPr>
      <w:rPr>
        <w:rFonts w:hint="default"/>
        <w:lang w:val="ru-RU" w:eastAsia="en-US" w:bidi="ar-SA"/>
      </w:rPr>
    </w:lvl>
    <w:lvl w:ilvl="6">
      <w:start w:val="1"/>
      <w:numFmt w:val="bullet"/>
      <w:isLgl w:val="false"/>
      <w:suff w:val="tab"/>
      <w:lvlText w:val="•"/>
      <w:lvlJc w:val="left"/>
      <w:pPr>
        <w:ind w:left="6399" w:hanging="140"/>
      </w:pPr>
      <w:rPr>
        <w:rFonts w:hint="default"/>
        <w:lang w:val="ru-RU" w:eastAsia="en-US" w:bidi="ar-SA"/>
      </w:rPr>
    </w:lvl>
    <w:lvl w:ilvl="7">
      <w:start w:val="1"/>
      <w:numFmt w:val="bullet"/>
      <w:isLgl w:val="false"/>
      <w:suff w:val="tab"/>
      <w:lvlText w:val="•"/>
      <w:lvlJc w:val="left"/>
      <w:pPr>
        <w:ind w:left="7306" w:hanging="140"/>
      </w:pPr>
      <w:rPr>
        <w:rFonts w:hint="default"/>
        <w:lang w:val="ru-RU" w:eastAsia="en-US" w:bidi="ar-SA"/>
      </w:rPr>
    </w:lvl>
    <w:lvl w:ilvl="8">
      <w:start w:val="1"/>
      <w:numFmt w:val="bullet"/>
      <w:isLgl w:val="false"/>
      <w:suff w:val="tab"/>
      <w:lvlText w:val="•"/>
      <w:lvlJc w:val="left"/>
      <w:pPr>
        <w:ind w:left="8213" w:hanging="140"/>
      </w:pPr>
      <w:rPr>
        <w:rFonts w:hint="default"/>
        <w:lang w:val="ru-RU" w:eastAsia="en-US" w:bidi="ar-SA"/>
      </w:rPr>
    </w:lvl>
  </w:abstractNum>
  <w:abstractNum w:abstractNumId="20">
    <w:multiLevelType w:val="hybridMultilevel"/>
    <w:lvl w:ilvl="0">
      <w:start w:val="1"/>
      <w:numFmt w:val="bullet"/>
      <w:isLgl w:val="false"/>
      <w:suff w:val="tab"/>
      <w:lvlText w:val="-"/>
      <w:lvlJc w:val="left"/>
      <w:pPr/>
    </w:lvl>
    <w:lvl w:ilvl="1">
      <w:start w:val="1"/>
      <w:numFmt w:val="bullet"/>
      <w:isLgl w:val="false"/>
      <w:suff w:val="tab"/>
      <w:lvlText w:val="o"/>
      <w:lvlJc w:val="left"/>
      <w:pPr>
        <w:ind w:left="1440" w:hanging="360"/>
      </w:pPr>
      <w:rPr>
        <w:rFonts w:hint="default" w:ascii="Courier New" w:hAnsi="Courier New" w:eastAsia="Courier New" w:cs="Courier New"/>
      </w:rPr>
    </w:lvl>
    <w:lvl w:ilvl="2">
      <w:start w:val="1"/>
      <w:numFmt w:val="bullet"/>
      <w:isLgl w:val="false"/>
      <w:suff w:val="tab"/>
      <w:lvlText w:val="§"/>
      <w:lvlJc w:val="left"/>
      <w:pPr>
        <w:ind w:left="2160" w:hanging="360"/>
      </w:pPr>
      <w:rPr>
        <w:rFonts w:hint="default" w:ascii="Wingdings" w:hAnsi="Wingdings" w:eastAsia="Wingdings" w:cs="Wingdings"/>
      </w:rPr>
    </w:lvl>
    <w:lvl w:ilvl="3">
      <w:start w:val="1"/>
      <w:numFmt w:val="bullet"/>
      <w:isLgl w:val="false"/>
      <w:suff w:val="tab"/>
      <w:lvlText w:val="·"/>
      <w:lvlJc w:val="left"/>
      <w:pPr>
        <w:ind w:left="2880" w:hanging="360"/>
      </w:pPr>
      <w:rPr>
        <w:rFonts w:hint="default" w:ascii="Symbol" w:hAnsi="Symbol" w:eastAsia="Symbol" w:cs="Symbol"/>
      </w:rPr>
    </w:lvl>
    <w:lvl w:ilvl="4">
      <w:start w:val="1"/>
      <w:numFmt w:val="bullet"/>
      <w:isLgl w:val="false"/>
      <w:suff w:val="tab"/>
      <w:lvlText w:val="o"/>
      <w:lvlJc w:val="left"/>
      <w:pPr>
        <w:ind w:left="3600" w:hanging="360"/>
      </w:pPr>
      <w:rPr>
        <w:rFonts w:hint="default" w:ascii="Courier New" w:hAnsi="Courier New" w:eastAsia="Courier New" w:cs="Courier New"/>
      </w:rPr>
    </w:lvl>
    <w:lvl w:ilvl="5">
      <w:start w:val="1"/>
      <w:numFmt w:val="bullet"/>
      <w:isLgl w:val="false"/>
      <w:suff w:val="tab"/>
      <w:lvlText w:val="§"/>
      <w:lvlJc w:val="left"/>
      <w:pPr>
        <w:ind w:left="4320" w:hanging="360"/>
      </w:pPr>
      <w:rPr>
        <w:rFonts w:hint="default" w:ascii="Wingdings" w:hAnsi="Wingdings" w:eastAsia="Wingdings" w:cs="Wingdings"/>
      </w:rPr>
    </w:lvl>
    <w:lvl w:ilvl="6">
      <w:start w:val="1"/>
      <w:numFmt w:val="bullet"/>
      <w:isLgl w:val="false"/>
      <w:suff w:val="tab"/>
      <w:lvlText w:val="·"/>
      <w:lvlJc w:val="left"/>
      <w:pPr>
        <w:ind w:left="5040" w:hanging="360"/>
      </w:pPr>
      <w:rPr>
        <w:rFonts w:hint="default" w:ascii="Symbol" w:hAnsi="Symbol" w:eastAsia="Symbol" w:cs="Symbol"/>
      </w:rPr>
    </w:lvl>
    <w:lvl w:ilvl="7">
      <w:start w:val="1"/>
      <w:numFmt w:val="bullet"/>
      <w:isLgl w:val="false"/>
      <w:suff w:val="tab"/>
      <w:lvlText w:val="o"/>
      <w:lvlJc w:val="left"/>
      <w:pPr>
        <w:ind w:left="5760" w:hanging="360"/>
      </w:pPr>
      <w:rPr>
        <w:rFonts w:hint="default" w:ascii="Courier New" w:hAnsi="Courier New" w:eastAsia="Courier New" w:cs="Courier New"/>
      </w:rPr>
    </w:lvl>
    <w:lvl w:ilvl="8">
      <w:start w:val="1"/>
      <w:numFmt w:val="bullet"/>
      <w:isLgl w:val="false"/>
      <w:suff w:val="tab"/>
      <w:lvlText w:val="§"/>
      <w:lvlJc w:val="left"/>
      <w:pPr>
        <w:ind w:left="6480" w:hanging="360"/>
      </w:pPr>
      <w:rPr>
        <w:rFonts w:hint="default" w:ascii="Wingdings" w:hAnsi="Wingdings" w:eastAsia="Wingdings" w:cs="Wingdings"/>
      </w:rPr>
    </w:lvl>
  </w:abstractNum>
  <w:abstractNum w:abstractNumId="21">
    <w:multiLevelType w:val="hybridMultilevel"/>
    <w:lvl w:ilvl="0">
      <w:start w:val="1"/>
      <w:numFmt w:val="bullet"/>
      <w:isLgl w:val="false"/>
      <w:suff w:val="tab"/>
      <w:lvlText w:val="-"/>
      <w:lvlJc w:val="left"/>
      <w:pPr/>
    </w:lvl>
    <w:lvl w:ilvl="1">
      <w:start w:val="1"/>
      <w:numFmt w:val="bullet"/>
      <w:isLgl w:val="false"/>
      <w:suff w:val="tab"/>
      <w:lvlText w:val="o"/>
      <w:lvlJc w:val="left"/>
      <w:pPr>
        <w:ind w:left="1440" w:hanging="360"/>
      </w:pPr>
      <w:rPr>
        <w:rFonts w:hint="default" w:ascii="Courier New" w:hAnsi="Courier New" w:eastAsia="Courier New" w:cs="Courier New"/>
      </w:rPr>
    </w:lvl>
    <w:lvl w:ilvl="2">
      <w:start w:val="1"/>
      <w:numFmt w:val="bullet"/>
      <w:isLgl w:val="false"/>
      <w:suff w:val="tab"/>
      <w:lvlText w:val="§"/>
      <w:lvlJc w:val="left"/>
      <w:pPr>
        <w:ind w:left="2160" w:hanging="360"/>
      </w:pPr>
      <w:rPr>
        <w:rFonts w:hint="default" w:ascii="Wingdings" w:hAnsi="Wingdings" w:eastAsia="Wingdings" w:cs="Wingdings"/>
      </w:rPr>
    </w:lvl>
    <w:lvl w:ilvl="3">
      <w:start w:val="1"/>
      <w:numFmt w:val="bullet"/>
      <w:isLgl w:val="false"/>
      <w:suff w:val="tab"/>
      <w:lvlText w:val="·"/>
      <w:lvlJc w:val="left"/>
      <w:pPr>
        <w:ind w:left="2880" w:hanging="360"/>
      </w:pPr>
      <w:rPr>
        <w:rFonts w:hint="default" w:ascii="Symbol" w:hAnsi="Symbol" w:eastAsia="Symbol" w:cs="Symbol"/>
      </w:rPr>
    </w:lvl>
    <w:lvl w:ilvl="4">
      <w:start w:val="1"/>
      <w:numFmt w:val="bullet"/>
      <w:isLgl w:val="false"/>
      <w:suff w:val="tab"/>
      <w:lvlText w:val="o"/>
      <w:lvlJc w:val="left"/>
      <w:pPr>
        <w:ind w:left="3600" w:hanging="360"/>
      </w:pPr>
      <w:rPr>
        <w:rFonts w:hint="default" w:ascii="Courier New" w:hAnsi="Courier New" w:eastAsia="Courier New" w:cs="Courier New"/>
      </w:rPr>
    </w:lvl>
    <w:lvl w:ilvl="5">
      <w:start w:val="1"/>
      <w:numFmt w:val="bullet"/>
      <w:isLgl w:val="false"/>
      <w:suff w:val="tab"/>
      <w:lvlText w:val="§"/>
      <w:lvlJc w:val="left"/>
      <w:pPr>
        <w:ind w:left="4320" w:hanging="360"/>
      </w:pPr>
      <w:rPr>
        <w:rFonts w:hint="default" w:ascii="Wingdings" w:hAnsi="Wingdings" w:eastAsia="Wingdings" w:cs="Wingdings"/>
      </w:rPr>
    </w:lvl>
    <w:lvl w:ilvl="6">
      <w:start w:val="1"/>
      <w:numFmt w:val="bullet"/>
      <w:isLgl w:val="false"/>
      <w:suff w:val="tab"/>
      <w:lvlText w:val="·"/>
      <w:lvlJc w:val="left"/>
      <w:pPr>
        <w:ind w:left="5040" w:hanging="360"/>
      </w:pPr>
      <w:rPr>
        <w:rFonts w:hint="default" w:ascii="Symbol" w:hAnsi="Symbol" w:eastAsia="Symbol" w:cs="Symbol"/>
      </w:rPr>
    </w:lvl>
    <w:lvl w:ilvl="7">
      <w:start w:val="1"/>
      <w:numFmt w:val="bullet"/>
      <w:isLgl w:val="false"/>
      <w:suff w:val="tab"/>
      <w:lvlText w:val="o"/>
      <w:lvlJc w:val="left"/>
      <w:pPr>
        <w:ind w:left="5760" w:hanging="360"/>
      </w:pPr>
      <w:rPr>
        <w:rFonts w:hint="default" w:ascii="Courier New" w:hAnsi="Courier New" w:eastAsia="Courier New" w:cs="Courier New"/>
      </w:rPr>
    </w:lvl>
    <w:lvl w:ilvl="8">
      <w:start w:val="1"/>
      <w:numFmt w:val="bullet"/>
      <w:isLgl w:val="false"/>
      <w:suff w:val="tab"/>
      <w:lvlText w:val="§"/>
      <w:lvlJc w:val="left"/>
      <w:pPr>
        <w:ind w:left="6480" w:hanging="360"/>
      </w:pPr>
      <w:rPr>
        <w:rFonts w:hint="default" w:ascii="Wingdings" w:hAnsi="Wingdings" w:eastAsia="Wingdings" w:cs="Wingdings"/>
      </w:rPr>
    </w:lvl>
  </w:abstractNum>
  <w:abstractNum w:abstractNumId="22">
    <w:multiLevelType w:val="hybridMultilevel"/>
    <w:lvl w:ilvl="0">
      <w:start w:val="1"/>
      <w:numFmt w:val="decimal"/>
      <w:isLgl w:val="false"/>
      <w:suff w:val="tab"/>
      <w:lvlText w:val="%1."/>
      <w:lvlJc w:val="left"/>
      <w:pPr>
        <w:ind w:left="747" w:hanging="360"/>
      </w:pPr>
    </w:lvl>
    <w:lvl w:ilvl="1">
      <w:start w:val="1"/>
      <w:numFmt w:val="lowerLetter"/>
      <w:isLgl w:val="false"/>
      <w:suff w:val="tab"/>
      <w:lvlText w:val="%2."/>
      <w:lvlJc w:val="left"/>
      <w:pPr>
        <w:ind w:left="1440" w:hanging="360"/>
      </w:pPr>
    </w:lvl>
    <w:lvl w:ilvl="2">
      <w:start w:val="1"/>
      <w:numFmt w:val="lowerRoman"/>
      <w:isLgl w:val="false"/>
      <w:suff w:val="tab"/>
      <w:lvlText w:val="%3."/>
      <w:lvlJc w:val="right"/>
      <w:pPr>
        <w:ind w:left="2160" w:hanging="180"/>
      </w:pPr>
    </w:lvl>
    <w:lvl w:ilvl="3">
      <w:start w:val="1"/>
      <w:numFmt w:val="decimal"/>
      <w:isLgl w:val="false"/>
      <w:suff w:val="tab"/>
      <w:lvlText w:val="%4."/>
      <w:lvlJc w:val="left"/>
      <w:pPr>
        <w:ind w:left="2880" w:hanging="360"/>
      </w:pPr>
    </w:lvl>
    <w:lvl w:ilvl="4">
      <w:start w:val="1"/>
      <w:numFmt w:val="lowerLetter"/>
      <w:isLgl w:val="false"/>
      <w:suff w:val="tab"/>
      <w:lvlText w:val="%5."/>
      <w:lvlJc w:val="left"/>
      <w:pPr>
        <w:ind w:left="3600" w:hanging="360"/>
      </w:pPr>
    </w:lvl>
    <w:lvl w:ilvl="5">
      <w:start w:val="1"/>
      <w:numFmt w:val="lowerRoman"/>
      <w:isLgl w:val="false"/>
      <w:suff w:val="tab"/>
      <w:lvlText w:val="%6."/>
      <w:lvlJc w:val="right"/>
      <w:pPr>
        <w:ind w:left="4320" w:hanging="180"/>
      </w:pPr>
    </w:lvl>
    <w:lvl w:ilvl="6">
      <w:start w:val="1"/>
      <w:numFmt w:val="decimal"/>
      <w:isLgl w:val="false"/>
      <w:suff w:val="tab"/>
      <w:lvlText w:val="%7."/>
      <w:lvlJc w:val="left"/>
      <w:pPr>
        <w:ind w:left="5040" w:hanging="360"/>
      </w:pPr>
    </w:lvl>
    <w:lvl w:ilvl="7">
      <w:start w:val="1"/>
      <w:numFmt w:val="lowerLetter"/>
      <w:isLgl w:val="false"/>
      <w:suff w:val="tab"/>
      <w:lvlText w:val="%8."/>
      <w:lvlJc w:val="left"/>
      <w:pPr>
        <w:ind w:left="5760" w:hanging="360"/>
      </w:pPr>
    </w:lvl>
    <w:lvl w:ilvl="8">
      <w:start w:val="1"/>
      <w:numFmt w:val="lowerRoman"/>
      <w:isLgl w:val="false"/>
      <w:suff w:val="tab"/>
      <w:lvlText w:val="%9."/>
      <w:lvlJc w:val="right"/>
      <w:pPr>
        <w:ind w:left="6480" w:hanging="180"/>
      </w:pPr>
    </w:lvl>
  </w:abstractNum>
  <w:abstractNum w:abstractNumId="23">
    <w:multiLevelType w:val="hybridMultilevel"/>
    <w:lvl w:ilvl="0">
      <w:start w:val="1"/>
      <w:numFmt w:val="bullet"/>
      <w:isLgl w:val="false"/>
      <w:suff w:val="tab"/>
      <w:lvlText w:val=""/>
      <w:lvlJc w:val="left"/>
      <w:pPr>
        <w:ind w:left="1571" w:hanging="360"/>
      </w:pPr>
      <w:rPr>
        <w:rFonts w:hint="default" w:ascii="Symbol" w:hAnsi="Symbol"/>
      </w:rPr>
    </w:lvl>
    <w:lvl w:ilvl="1">
      <w:start w:val="1"/>
      <w:numFmt w:val="bullet"/>
      <w:isLgl w:val="false"/>
      <w:suff w:val="tab"/>
      <w:lvlText w:val="o"/>
      <w:lvlJc w:val="left"/>
      <w:pPr>
        <w:ind w:left="2291" w:hanging="360"/>
      </w:pPr>
      <w:rPr>
        <w:rFonts w:hint="default" w:ascii="Courier New" w:hAnsi="Courier New" w:cs="Courier New"/>
      </w:rPr>
    </w:lvl>
    <w:lvl w:ilvl="2">
      <w:start w:val="1"/>
      <w:numFmt w:val="bullet"/>
      <w:isLgl w:val="false"/>
      <w:suff w:val="tab"/>
      <w:lvlText w:val=""/>
      <w:lvlJc w:val="left"/>
      <w:pPr>
        <w:ind w:left="3011" w:hanging="360"/>
      </w:pPr>
      <w:rPr>
        <w:rFonts w:hint="default" w:ascii="Wingdings" w:hAnsi="Wingdings"/>
      </w:rPr>
    </w:lvl>
    <w:lvl w:ilvl="3">
      <w:start w:val="1"/>
      <w:numFmt w:val="bullet"/>
      <w:isLgl w:val="false"/>
      <w:suff w:val="tab"/>
      <w:lvlText w:val=""/>
      <w:lvlJc w:val="left"/>
      <w:pPr>
        <w:ind w:left="3731" w:hanging="360"/>
      </w:pPr>
      <w:rPr>
        <w:rFonts w:hint="default" w:ascii="Symbol" w:hAnsi="Symbol"/>
      </w:rPr>
    </w:lvl>
    <w:lvl w:ilvl="4">
      <w:start w:val="1"/>
      <w:numFmt w:val="bullet"/>
      <w:isLgl w:val="false"/>
      <w:suff w:val="tab"/>
      <w:lvlText w:val="o"/>
      <w:lvlJc w:val="left"/>
      <w:pPr>
        <w:ind w:left="4451" w:hanging="360"/>
      </w:pPr>
      <w:rPr>
        <w:rFonts w:hint="default" w:ascii="Courier New" w:hAnsi="Courier New" w:cs="Courier New"/>
      </w:rPr>
    </w:lvl>
    <w:lvl w:ilvl="5">
      <w:start w:val="1"/>
      <w:numFmt w:val="bullet"/>
      <w:isLgl w:val="false"/>
      <w:suff w:val="tab"/>
      <w:lvlText w:val=""/>
      <w:lvlJc w:val="left"/>
      <w:pPr>
        <w:ind w:left="5171" w:hanging="360"/>
      </w:pPr>
      <w:rPr>
        <w:rFonts w:hint="default" w:ascii="Wingdings" w:hAnsi="Wingdings"/>
      </w:rPr>
    </w:lvl>
    <w:lvl w:ilvl="6">
      <w:start w:val="1"/>
      <w:numFmt w:val="bullet"/>
      <w:isLgl w:val="false"/>
      <w:suff w:val="tab"/>
      <w:lvlText w:val=""/>
      <w:lvlJc w:val="left"/>
      <w:pPr>
        <w:ind w:left="5891" w:hanging="360"/>
      </w:pPr>
      <w:rPr>
        <w:rFonts w:hint="default" w:ascii="Symbol" w:hAnsi="Symbol"/>
      </w:rPr>
    </w:lvl>
    <w:lvl w:ilvl="7">
      <w:start w:val="1"/>
      <w:numFmt w:val="bullet"/>
      <w:isLgl w:val="false"/>
      <w:suff w:val="tab"/>
      <w:lvlText w:val="o"/>
      <w:lvlJc w:val="left"/>
      <w:pPr>
        <w:ind w:left="6611" w:hanging="360"/>
      </w:pPr>
      <w:rPr>
        <w:rFonts w:hint="default" w:ascii="Courier New" w:hAnsi="Courier New" w:cs="Courier New"/>
      </w:rPr>
    </w:lvl>
    <w:lvl w:ilvl="8">
      <w:start w:val="1"/>
      <w:numFmt w:val="bullet"/>
      <w:isLgl w:val="false"/>
      <w:suff w:val="tab"/>
      <w:lvlText w:val=""/>
      <w:lvlJc w:val="left"/>
      <w:pPr>
        <w:ind w:left="7331" w:hanging="360"/>
      </w:pPr>
      <w:rPr>
        <w:rFonts w:hint="default" w:ascii="Wingdings" w:hAnsi="Wingdings"/>
      </w:rPr>
    </w:lvl>
  </w:abstractNum>
  <w:abstractNum w:abstractNumId="24">
    <w:multiLevelType w:val="hybridMultilevel"/>
    <w:lvl w:ilvl="0">
      <w:start w:val="1"/>
      <w:numFmt w:val="decimal"/>
      <w:isLgl w:val="false"/>
      <w:suff w:val="tab"/>
      <w:lvlText w:val="%1."/>
      <w:lvlJc w:val="left"/>
      <w:pPr>
        <w:ind w:left="747" w:hanging="360"/>
      </w:pPr>
      <w:rPr>
        <w:rFonts w:hint="default"/>
      </w:rPr>
    </w:lvl>
    <w:lvl w:ilvl="1">
      <w:start w:val="1"/>
      <w:numFmt w:val="lowerLetter"/>
      <w:isLgl w:val="false"/>
      <w:suff w:val="tab"/>
      <w:lvlText w:val="%2."/>
      <w:lvlJc w:val="left"/>
      <w:pPr>
        <w:ind w:left="1440" w:hanging="360"/>
      </w:pPr>
    </w:lvl>
    <w:lvl w:ilvl="2">
      <w:start w:val="1"/>
      <w:numFmt w:val="lowerRoman"/>
      <w:isLgl w:val="false"/>
      <w:suff w:val="tab"/>
      <w:lvlText w:val="%3."/>
      <w:lvlJc w:val="right"/>
      <w:pPr>
        <w:ind w:left="2160" w:hanging="180"/>
      </w:pPr>
    </w:lvl>
    <w:lvl w:ilvl="3">
      <w:start w:val="1"/>
      <w:numFmt w:val="decimal"/>
      <w:isLgl w:val="false"/>
      <w:suff w:val="tab"/>
      <w:lvlText w:val="%4."/>
      <w:lvlJc w:val="left"/>
      <w:pPr>
        <w:ind w:left="2880" w:hanging="360"/>
      </w:pPr>
    </w:lvl>
    <w:lvl w:ilvl="4">
      <w:start w:val="1"/>
      <w:numFmt w:val="lowerLetter"/>
      <w:isLgl w:val="false"/>
      <w:suff w:val="tab"/>
      <w:lvlText w:val="%5."/>
      <w:lvlJc w:val="left"/>
      <w:pPr>
        <w:ind w:left="3600" w:hanging="360"/>
      </w:pPr>
    </w:lvl>
    <w:lvl w:ilvl="5">
      <w:start w:val="1"/>
      <w:numFmt w:val="lowerRoman"/>
      <w:isLgl w:val="false"/>
      <w:suff w:val="tab"/>
      <w:lvlText w:val="%6."/>
      <w:lvlJc w:val="right"/>
      <w:pPr>
        <w:ind w:left="4320" w:hanging="180"/>
      </w:pPr>
    </w:lvl>
    <w:lvl w:ilvl="6">
      <w:start w:val="1"/>
      <w:numFmt w:val="decimal"/>
      <w:isLgl w:val="false"/>
      <w:suff w:val="tab"/>
      <w:lvlText w:val="%7."/>
      <w:lvlJc w:val="left"/>
      <w:pPr>
        <w:ind w:left="5040" w:hanging="360"/>
      </w:pPr>
    </w:lvl>
    <w:lvl w:ilvl="7">
      <w:start w:val="1"/>
      <w:numFmt w:val="lowerLetter"/>
      <w:isLgl w:val="false"/>
      <w:suff w:val="tab"/>
      <w:lvlText w:val="%8."/>
      <w:lvlJc w:val="left"/>
      <w:pPr>
        <w:ind w:left="5760" w:hanging="360"/>
      </w:pPr>
    </w:lvl>
    <w:lvl w:ilvl="8">
      <w:start w:val="1"/>
      <w:numFmt w:val="lowerRoman"/>
      <w:isLgl w:val="false"/>
      <w:suff w:val="tab"/>
      <w:lvlText w:val="%9."/>
      <w:lvlJc w:val="right"/>
      <w:pPr>
        <w:ind w:left="6480" w:hanging="180"/>
      </w:pPr>
    </w:lvl>
  </w:abstractNum>
  <w:abstractNum w:abstractNumId="25">
    <w:multiLevelType w:val="hybridMultilevel"/>
    <w:lvl w:ilvl="0">
      <w:start w:val="1"/>
      <w:numFmt w:val="decimal"/>
      <w:isLgl w:val="false"/>
      <w:suff w:val="tab"/>
      <w:lvlText w:val="%1."/>
      <w:lvlJc w:val="left"/>
      <w:pPr>
        <w:ind w:left="747" w:hanging="360"/>
      </w:pPr>
    </w:lvl>
    <w:lvl w:ilvl="1">
      <w:start w:val="1"/>
      <w:numFmt w:val="lowerLetter"/>
      <w:isLgl w:val="false"/>
      <w:suff w:val="tab"/>
      <w:lvlText w:val="%2."/>
      <w:lvlJc w:val="left"/>
      <w:pPr>
        <w:ind w:left="1440" w:hanging="360"/>
      </w:pPr>
    </w:lvl>
    <w:lvl w:ilvl="2">
      <w:start w:val="1"/>
      <w:numFmt w:val="lowerRoman"/>
      <w:isLgl w:val="false"/>
      <w:suff w:val="tab"/>
      <w:lvlText w:val="%3."/>
      <w:lvlJc w:val="right"/>
      <w:pPr>
        <w:ind w:left="2160" w:hanging="180"/>
      </w:pPr>
    </w:lvl>
    <w:lvl w:ilvl="3">
      <w:start w:val="1"/>
      <w:numFmt w:val="decimal"/>
      <w:isLgl w:val="false"/>
      <w:suff w:val="tab"/>
      <w:lvlText w:val="%4."/>
      <w:lvlJc w:val="left"/>
      <w:pPr>
        <w:ind w:left="2880" w:hanging="360"/>
      </w:pPr>
    </w:lvl>
    <w:lvl w:ilvl="4">
      <w:start w:val="1"/>
      <w:numFmt w:val="lowerLetter"/>
      <w:isLgl w:val="false"/>
      <w:suff w:val="tab"/>
      <w:lvlText w:val="%5."/>
      <w:lvlJc w:val="left"/>
      <w:pPr>
        <w:ind w:left="3600" w:hanging="360"/>
      </w:pPr>
    </w:lvl>
    <w:lvl w:ilvl="5">
      <w:start w:val="1"/>
      <w:numFmt w:val="lowerRoman"/>
      <w:isLgl w:val="false"/>
      <w:suff w:val="tab"/>
      <w:lvlText w:val="%6."/>
      <w:lvlJc w:val="right"/>
      <w:pPr>
        <w:ind w:left="4320" w:hanging="180"/>
      </w:pPr>
    </w:lvl>
    <w:lvl w:ilvl="6">
      <w:start w:val="1"/>
      <w:numFmt w:val="decimal"/>
      <w:isLgl w:val="false"/>
      <w:suff w:val="tab"/>
      <w:lvlText w:val="%7."/>
      <w:lvlJc w:val="left"/>
      <w:pPr>
        <w:ind w:left="5040" w:hanging="360"/>
      </w:pPr>
    </w:lvl>
    <w:lvl w:ilvl="7">
      <w:start w:val="1"/>
      <w:numFmt w:val="lowerLetter"/>
      <w:isLgl w:val="false"/>
      <w:suff w:val="tab"/>
      <w:lvlText w:val="%8."/>
      <w:lvlJc w:val="left"/>
      <w:pPr>
        <w:ind w:left="5760" w:hanging="360"/>
      </w:pPr>
    </w:lvl>
    <w:lvl w:ilvl="8">
      <w:start w:val="1"/>
      <w:numFmt w:val="lowerRoman"/>
      <w:isLgl w:val="false"/>
      <w:suff w:val="tab"/>
      <w:lvlText w:val="%9."/>
      <w:lvlJc w:val="right"/>
      <w:pPr>
        <w:ind w:left="6480" w:hanging="180"/>
      </w:pPr>
    </w:lvl>
  </w:abstractNum>
  <w:abstractNum w:abstractNumId="26">
    <w:multiLevelType w:val="hybridMultilevel"/>
    <w:lvl w:ilvl="0">
      <w:start w:val="8"/>
      <w:numFmt w:val="bullet"/>
      <w:isLgl w:val="false"/>
      <w:suff w:val="tab"/>
      <w:lvlText w:val="-"/>
      <w:lvlJc w:val="left"/>
      <w:pPr>
        <w:ind w:left="720" w:hanging="360"/>
      </w:pPr>
      <w:rPr>
        <w:rFonts w:hint="default" w:ascii="Times New Roman" w:hAnsi="Times New Roman" w:eastAsia="Times New Roman" w:cs="Times New Roman"/>
      </w:rPr>
    </w:lvl>
    <w:lvl w:ilvl="1">
      <w:start w:val="1"/>
      <w:numFmt w:val="bullet"/>
      <w:isLgl w:val="false"/>
      <w:suff w:val="tab"/>
      <w:lvlText w:val="o"/>
      <w:lvlJc w:val="left"/>
      <w:pPr>
        <w:ind w:left="1440" w:hanging="360"/>
      </w:pPr>
      <w:rPr>
        <w:rFonts w:hint="default" w:ascii="Courier New" w:hAnsi="Courier New" w:cs="Courier New"/>
      </w:rPr>
    </w:lvl>
    <w:lvl w:ilvl="2">
      <w:start w:val="1"/>
      <w:numFmt w:val="bullet"/>
      <w:isLgl w:val="false"/>
      <w:suff w:val="tab"/>
      <w:lvlText w:val=""/>
      <w:lvlJc w:val="left"/>
      <w:pPr>
        <w:ind w:left="2160" w:hanging="360"/>
      </w:pPr>
      <w:rPr>
        <w:rFonts w:hint="default" w:ascii="Wingdings" w:hAnsi="Wingdings"/>
      </w:rPr>
    </w:lvl>
    <w:lvl w:ilvl="3">
      <w:start w:val="1"/>
      <w:numFmt w:val="bullet"/>
      <w:isLgl w:val="false"/>
      <w:suff w:val="tab"/>
      <w:lvlText w:val=""/>
      <w:lvlJc w:val="left"/>
      <w:pPr>
        <w:ind w:left="2880" w:hanging="360"/>
      </w:pPr>
      <w:rPr>
        <w:rFonts w:hint="default" w:ascii="Symbol" w:hAnsi="Symbol"/>
      </w:rPr>
    </w:lvl>
    <w:lvl w:ilvl="4">
      <w:start w:val="1"/>
      <w:numFmt w:val="bullet"/>
      <w:isLgl w:val="false"/>
      <w:suff w:val="tab"/>
      <w:lvlText w:val="o"/>
      <w:lvlJc w:val="left"/>
      <w:pPr>
        <w:ind w:left="3600" w:hanging="360"/>
      </w:pPr>
      <w:rPr>
        <w:rFonts w:hint="default" w:ascii="Courier New" w:hAnsi="Courier New" w:cs="Courier New"/>
      </w:rPr>
    </w:lvl>
    <w:lvl w:ilvl="5">
      <w:start w:val="1"/>
      <w:numFmt w:val="bullet"/>
      <w:isLgl w:val="false"/>
      <w:suff w:val="tab"/>
      <w:lvlText w:val=""/>
      <w:lvlJc w:val="left"/>
      <w:pPr>
        <w:ind w:left="4320" w:hanging="360"/>
      </w:pPr>
      <w:rPr>
        <w:rFonts w:hint="default" w:ascii="Wingdings" w:hAnsi="Wingdings"/>
      </w:rPr>
    </w:lvl>
    <w:lvl w:ilvl="6">
      <w:start w:val="1"/>
      <w:numFmt w:val="bullet"/>
      <w:isLgl w:val="false"/>
      <w:suff w:val="tab"/>
      <w:lvlText w:val=""/>
      <w:lvlJc w:val="left"/>
      <w:pPr>
        <w:ind w:left="5040" w:hanging="360"/>
      </w:pPr>
      <w:rPr>
        <w:rFonts w:hint="default" w:ascii="Symbol" w:hAnsi="Symbol"/>
      </w:rPr>
    </w:lvl>
    <w:lvl w:ilvl="7">
      <w:start w:val="1"/>
      <w:numFmt w:val="bullet"/>
      <w:isLgl w:val="false"/>
      <w:suff w:val="tab"/>
      <w:lvlText w:val="o"/>
      <w:lvlJc w:val="left"/>
      <w:pPr>
        <w:ind w:left="5760" w:hanging="360"/>
      </w:pPr>
      <w:rPr>
        <w:rFonts w:hint="default" w:ascii="Courier New" w:hAnsi="Courier New" w:cs="Courier New"/>
      </w:rPr>
    </w:lvl>
    <w:lvl w:ilvl="8">
      <w:start w:val="1"/>
      <w:numFmt w:val="bullet"/>
      <w:isLgl w:val="false"/>
      <w:suff w:val="tab"/>
      <w:lvlText w:val=""/>
      <w:lvlJc w:val="left"/>
      <w:pPr>
        <w:ind w:left="6480" w:hanging="360"/>
      </w:pPr>
      <w:rPr>
        <w:rFonts w:hint="default" w:ascii="Wingdings" w:hAnsi="Wingdings"/>
      </w:rPr>
    </w:lvl>
  </w:abstractNum>
  <w:abstractNum w:abstractNumId="27">
    <w:multiLevelType w:val="hybridMultilevel"/>
    <w:lvl w:ilvl="0">
      <w:start w:val="1"/>
      <w:numFmt w:val="bullet"/>
      <w:isLgl w:val="false"/>
      <w:suff w:val="tab"/>
      <w:lvlText w:val="-"/>
      <w:lvlJc w:val="left"/>
      <w:pPr>
        <w:ind w:left="118" w:hanging="140"/>
      </w:pPr>
      <w:rPr>
        <w:rFonts w:hint="default" w:ascii="Times New Roman" w:hAnsi="Times New Roman" w:eastAsia="Times New Roman" w:cs="Times New Roman"/>
        <w:b w:val="0"/>
        <w:bCs w:val="0"/>
        <w:i w:val="0"/>
        <w:iCs w:val="0"/>
        <w:sz w:val="24"/>
        <w:szCs w:val="24"/>
        <w:lang w:val="ru-RU" w:eastAsia="en-US" w:bidi="ar-SA"/>
      </w:rPr>
    </w:lvl>
    <w:lvl w:ilvl="1">
      <w:start w:val="1"/>
      <w:numFmt w:val="bullet"/>
      <w:isLgl w:val="false"/>
      <w:suff w:val="tab"/>
      <w:lvlText w:val="•"/>
      <w:lvlJc w:val="left"/>
      <w:pPr>
        <w:ind w:left="1094" w:hanging="140"/>
      </w:pPr>
      <w:rPr>
        <w:rFonts w:hint="default"/>
        <w:lang w:val="ru-RU" w:eastAsia="en-US" w:bidi="ar-SA"/>
      </w:rPr>
    </w:lvl>
    <w:lvl w:ilvl="2">
      <w:start w:val="1"/>
      <w:numFmt w:val="bullet"/>
      <w:isLgl w:val="false"/>
      <w:suff w:val="tab"/>
      <w:lvlText w:val="•"/>
      <w:lvlJc w:val="left"/>
      <w:pPr>
        <w:ind w:left="2069" w:hanging="140"/>
      </w:pPr>
      <w:rPr>
        <w:rFonts w:hint="default"/>
        <w:lang w:val="ru-RU" w:eastAsia="en-US" w:bidi="ar-SA"/>
      </w:rPr>
    </w:lvl>
    <w:lvl w:ilvl="3">
      <w:start w:val="1"/>
      <w:numFmt w:val="bullet"/>
      <w:isLgl w:val="false"/>
      <w:suff w:val="tab"/>
      <w:lvlText w:val="•"/>
      <w:lvlJc w:val="left"/>
      <w:pPr>
        <w:ind w:left="3043" w:hanging="140"/>
      </w:pPr>
      <w:rPr>
        <w:rFonts w:hint="default"/>
        <w:lang w:val="ru-RU" w:eastAsia="en-US" w:bidi="ar-SA"/>
      </w:rPr>
    </w:lvl>
    <w:lvl w:ilvl="4">
      <w:start w:val="1"/>
      <w:numFmt w:val="bullet"/>
      <w:isLgl w:val="false"/>
      <w:suff w:val="tab"/>
      <w:lvlText w:val="•"/>
      <w:lvlJc w:val="left"/>
      <w:pPr>
        <w:ind w:left="4018" w:hanging="140"/>
      </w:pPr>
      <w:rPr>
        <w:rFonts w:hint="default"/>
        <w:lang w:val="ru-RU" w:eastAsia="en-US" w:bidi="ar-SA"/>
      </w:rPr>
    </w:lvl>
    <w:lvl w:ilvl="5">
      <w:start w:val="1"/>
      <w:numFmt w:val="bullet"/>
      <w:isLgl w:val="false"/>
      <w:suff w:val="tab"/>
      <w:lvlText w:val="•"/>
      <w:lvlJc w:val="left"/>
      <w:pPr>
        <w:ind w:left="4993" w:hanging="140"/>
      </w:pPr>
      <w:rPr>
        <w:rFonts w:hint="default"/>
        <w:lang w:val="ru-RU" w:eastAsia="en-US" w:bidi="ar-SA"/>
      </w:rPr>
    </w:lvl>
    <w:lvl w:ilvl="6">
      <w:start w:val="1"/>
      <w:numFmt w:val="bullet"/>
      <w:isLgl w:val="false"/>
      <w:suff w:val="tab"/>
      <w:lvlText w:val="•"/>
      <w:lvlJc w:val="left"/>
      <w:pPr>
        <w:ind w:left="5967" w:hanging="140"/>
      </w:pPr>
      <w:rPr>
        <w:rFonts w:hint="default"/>
        <w:lang w:val="ru-RU" w:eastAsia="en-US" w:bidi="ar-SA"/>
      </w:rPr>
    </w:lvl>
    <w:lvl w:ilvl="7">
      <w:start w:val="1"/>
      <w:numFmt w:val="bullet"/>
      <w:isLgl w:val="false"/>
      <w:suff w:val="tab"/>
      <w:lvlText w:val="•"/>
      <w:lvlJc w:val="left"/>
      <w:pPr>
        <w:ind w:left="6942" w:hanging="140"/>
      </w:pPr>
      <w:rPr>
        <w:rFonts w:hint="default"/>
        <w:lang w:val="ru-RU" w:eastAsia="en-US" w:bidi="ar-SA"/>
      </w:rPr>
    </w:lvl>
    <w:lvl w:ilvl="8">
      <w:start w:val="1"/>
      <w:numFmt w:val="bullet"/>
      <w:isLgl w:val="false"/>
      <w:suff w:val="tab"/>
      <w:lvlText w:val="•"/>
      <w:lvlJc w:val="left"/>
      <w:pPr>
        <w:ind w:left="7917" w:hanging="140"/>
      </w:pPr>
      <w:rPr>
        <w:rFonts w:hint="default"/>
        <w:lang w:val="ru-RU" w:eastAsia="en-US" w:bidi="ar-SA"/>
      </w:rPr>
    </w:lvl>
  </w:abstractNum>
  <w:abstractNum w:abstractNumId="28">
    <w:multiLevelType w:val="hybridMultilevel"/>
    <w:lvl w:ilvl="0">
      <w:start w:val="8"/>
      <w:numFmt w:val="bullet"/>
      <w:isLgl w:val="false"/>
      <w:suff w:val="tab"/>
      <w:lvlText w:val="-"/>
      <w:lvlJc w:val="left"/>
      <w:pPr>
        <w:ind w:left="720" w:hanging="360"/>
      </w:pPr>
      <w:rPr>
        <w:rFonts w:hint="default" w:ascii="Times New Roman" w:hAnsi="Times New Roman" w:eastAsia="Times New Roman" w:cs="Times New Roman"/>
      </w:rPr>
    </w:lvl>
    <w:lvl w:ilvl="1">
      <w:start w:val="1"/>
      <w:numFmt w:val="bullet"/>
      <w:isLgl w:val="false"/>
      <w:suff w:val="tab"/>
      <w:lvlText w:val="o"/>
      <w:lvlJc w:val="left"/>
      <w:pPr>
        <w:ind w:left="1440" w:hanging="360"/>
      </w:pPr>
      <w:rPr>
        <w:rFonts w:hint="default" w:ascii="Courier New" w:hAnsi="Courier New" w:cs="Courier New"/>
      </w:rPr>
    </w:lvl>
    <w:lvl w:ilvl="2">
      <w:start w:val="1"/>
      <w:numFmt w:val="bullet"/>
      <w:isLgl w:val="false"/>
      <w:suff w:val="tab"/>
      <w:lvlText w:val=""/>
      <w:lvlJc w:val="left"/>
      <w:pPr>
        <w:ind w:left="2160" w:hanging="360"/>
      </w:pPr>
      <w:rPr>
        <w:rFonts w:hint="default" w:ascii="Wingdings" w:hAnsi="Wingdings"/>
      </w:rPr>
    </w:lvl>
    <w:lvl w:ilvl="3">
      <w:start w:val="1"/>
      <w:numFmt w:val="bullet"/>
      <w:isLgl w:val="false"/>
      <w:suff w:val="tab"/>
      <w:lvlText w:val=""/>
      <w:lvlJc w:val="left"/>
      <w:pPr>
        <w:ind w:left="2880" w:hanging="360"/>
      </w:pPr>
      <w:rPr>
        <w:rFonts w:hint="default" w:ascii="Symbol" w:hAnsi="Symbol"/>
      </w:rPr>
    </w:lvl>
    <w:lvl w:ilvl="4">
      <w:start w:val="1"/>
      <w:numFmt w:val="bullet"/>
      <w:isLgl w:val="false"/>
      <w:suff w:val="tab"/>
      <w:lvlText w:val="o"/>
      <w:lvlJc w:val="left"/>
      <w:pPr>
        <w:ind w:left="3600" w:hanging="360"/>
      </w:pPr>
      <w:rPr>
        <w:rFonts w:hint="default" w:ascii="Courier New" w:hAnsi="Courier New" w:cs="Courier New"/>
      </w:rPr>
    </w:lvl>
    <w:lvl w:ilvl="5">
      <w:start w:val="1"/>
      <w:numFmt w:val="bullet"/>
      <w:isLgl w:val="false"/>
      <w:suff w:val="tab"/>
      <w:lvlText w:val=""/>
      <w:lvlJc w:val="left"/>
      <w:pPr>
        <w:ind w:left="4320" w:hanging="360"/>
      </w:pPr>
      <w:rPr>
        <w:rFonts w:hint="default" w:ascii="Wingdings" w:hAnsi="Wingdings"/>
      </w:rPr>
    </w:lvl>
    <w:lvl w:ilvl="6">
      <w:start w:val="1"/>
      <w:numFmt w:val="bullet"/>
      <w:isLgl w:val="false"/>
      <w:suff w:val="tab"/>
      <w:lvlText w:val=""/>
      <w:lvlJc w:val="left"/>
      <w:pPr>
        <w:ind w:left="5040" w:hanging="360"/>
      </w:pPr>
      <w:rPr>
        <w:rFonts w:hint="default" w:ascii="Symbol" w:hAnsi="Symbol"/>
      </w:rPr>
    </w:lvl>
    <w:lvl w:ilvl="7">
      <w:start w:val="1"/>
      <w:numFmt w:val="bullet"/>
      <w:isLgl w:val="false"/>
      <w:suff w:val="tab"/>
      <w:lvlText w:val="o"/>
      <w:lvlJc w:val="left"/>
      <w:pPr>
        <w:ind w:left="5760" w:hanging="360"/>
      </w:pPr>
      <w:rPr>
        <w:rFonts w:hint="default" w:ascii="Courier New" w:hAnsi="Courier New" w:cs="Courier New"/>
      </w:rPr>
    </w:lvl>
    <w:lvl w:ilvl="8">
      <w:start w:val="1"/>
      <w:numFmt w:val="bullet"/>
      <w:isLgl w:val="false"/>
      <w:suff w:val="tab"/>
      <w:lvlText w:val=""/>
      <w:lvlJc w:val="left"/>
      <w:pPr>
        <w:ind w:left="6480" w:hanging="360"/>
      </w:pPr>
      <w:rPr>
        <w:rFonts w:hint="default" w:ascii="Wingdings" w:hAnsi="Wingdings"/>
      </w:rPr>
    </w:lvl>
  </w:abstractNum>
  <w:abstractNum w:abstractNumId="29">
    <w:multiLevelType w:val="hybridMultilevel"/>
    <w:lvl w:ilvl="0">
      <w:start w:val="1"/>
      <w:numFmt w:val="bullet"/>
      <w:isLgl w:val="false"/>
      <w:suff w:val="tab"/>
      <w:lvlText w:val="-"/>
      <w:lvlJc w:val="left"/>
      <w:pPr/>
    </w:lvl>
    <w:lvl w:ilvl="1">
      <w:start w:val="1"/>
      <w:numFmt w:val="bullet"/>
      <w:isLgl w:val="false"/>
      <w:suff w:val="tab"/>
      <w:lvlText w:val="o"/>
      <w:lvlJc w:val="left"/>
      <w:pPr>
        <w:ind w:left="1440" w:hanging="360"/>
      </w:pPr>
      <w:rPr>
        <w:rFonts w:hint="default" w:ascii="Courier New" w:hAnsi="Courier New" w:eastAsia="Courier New" w:cs="Courier New"/>
      </w:rPr>
    </w:lvl>
    <w:lvl w:ilvl="2">
      <w:start w:val="1"/>
      <w:numFmt w:val="bullet"/>
      <w:isLgl w:val="false"/>
      <w:suff w:val="tab"/>
      <w:lvlText w:val="§"/>
      <w:lvlJc w:val="left"/>
      <w:pPr>
        <w:ind w:left="2160" w:hanging="360"/>
      </w:pPr>
      <w:rPr>
        <w:rFonts w:hint="default" w:ascii="Wingdings" w:hAnsi="Wingdings" w:eastAsia="Wingdings" w:cs="Wingdings"/>
      </w:rPr>
    </w:lvl>
    <w:lvl w:ilvl="3">
      <w:start w:val="1"/>
      <w:numFmt w:val="bullet"/>
      <w:isLgl w:val="false"/>
      <w:suff w:val="tab"/>
      <w:lvlText w:val="·"/>
      <w:lvlJc w:val="left"/>
      <w:pPr>
        <w:ind w:left="2880" w:hanging="360"/>
      </w:pPr>
      <w:rPr>
        <w:rFonts w:hint="default" w:ascii="Symbol" w:hAnsi="Symbol" w:eastAsia="Symbol" w:cs="Symbol"/>
      </w:rPr>
    </w:lvl>
    <w:lvl w:ilvl="4">
      <w:start w:val="1"/>
      <w:numFmt w:val="bullet"/>
      <w:isLgl w:val="false"/>
      <w:suff w:val="tab"/>
      <w:lvlText w:val="o"/>
      <w:lvlJc w:val="left"/>
      <w:pPr>
        <w:ind w:left="3600" w:hanging="360"/>
      </w:pPr>
      <w:rPr>
        <w:rFonts w:hint="default" w:ascii="Courier New" w:hAnsi="Courier New" w:eastAsia="Courier New" w:cs="Courier New"/>
      </w:rPr>
    </w:lvl>
    <w:lvl w:ilvl="5">
      <w:start w:val="1"/>
      <w:numFmt w:val="bullet"/>
      <w:isLgl w:val="false"/>
      <w:suff w:val="tab"/>
      <w:lvlText w:val="§"/>
      <w:lvlJc w:val="left"/>
      <w:pPr>
        <w:ind w:left="4320" w:hanging="360"/>
      </w:pPr>
      <w:rPr>
        <w:rFonts w:hint="default" w:ascii="Wingdings" w:hAnsi="Wingdings" w:eastAsia="Wingdings" w:cs="Wingdings"/>
      </w:rPr>
    </w:lvl>
    <w:lvl w:ilvl="6">
      <w:start w:val="1"/>
      <w:numFmt w:val="bullet"/>
      <w:isLgl w:val="false"/>
      <w:suff w:val="tab"/>
      <w:lvlText w:val="·"/>
      <w:lvlJc w:val="left"/>
      <w:pPr>
        <w:ind w:left="5040" w:hanging="360"/>
      </w:pPr>
      <w:rPr>
        <w:rFonts w:hint="default" w:ascii="Symbol" w:hAnsi="Symbol" w:eastAsia="Symbol" w:cs="Symbol"/>
      </w:rPr>
    </w:lvl>
    <w:lvl w:ilvl="7">
      <w:start w:val="1"/>
      <w:numFmt w:val="bullet"/>
      <w:isLgl w:val="false"/>
      <w:suff w:val="tab"/>
      <w:lvlText w:val="o"/>
      <w:lvlJc w:val="left"/>
      <w:pPr>
        <w:ind w:left="5760" w:hanging="360"/>
      </w:pPr>
      <w:rPr>
        <w:rFonts w:hint="default" w:ascii="Courier New" w:hAnsi="Courier New" w:eastAsia="Courier New" w:cs="Courier New"/>
      </w:rPr>
    </w:lvl>
    <w:lvl w:ilvl="8">
      <w:start w:val="1"/>
      <w:numFmt w:val="bullet"/>
      <w:isLgl w:val="false"/>
      <w:suff w:val="tab"/>
      <w:lvlText w:val="§"/>
      <w:lvlJc w:val="left"/>
      <w:pPr>
        <w:ind w:left="6480" w:hanging="360"/>
      </w:pPr>
      <w:rPr>
        <w:rFonts w:hint="default" w:ascii="Wingdings" w:hAnsi="Wingdings" w:eastAsia="Wingdings" w:cs="Wingdings"/>
      </w:rPr>
    </w:lvl>
  </w:abstractNum>
  <w:abstractNum w:abstractNumId="30">
    <w:multiLevelType w:val="hybridMultilevel"/>
    <w:lvl w:ilvl="0">
      <w:start w:val="1"/>
      <w:numFmt w:val="bullet"/>
      <w:isLgl w:val="false"/>
      <w:suff w:val="tab"/>
      <w:lvlText w:val="-"/>
      <w:lvlJc w:val="left"/>
      <w:pPr>
        <w:ind w:left="118" w:hanging="288"/>
      </w:pPr>
      <w:rPr>
        <w:rFonts w:hint="default" w:ascii="Times New Roman" w:hAnsi="Times New Roman" w:eastAsia="Times New Roman" w:cs="Times New Roman"/>
        <w:b w:val="0"/>
        <w:bCs w:val="0"/>
        <w:i w:val="0"/>
        <w:iCs w:val="0"/>
        <w:sz w:val="24"/>
        <w:szCs w:val="24"/>
        <w:lang w:val="ru-RU" w:eastAsia="en-US" w:bidi="ar-SA"/>
      </w:rPr>
    </w:lvl>
    <w:lvl w:ilvl="1">
      <w:start w:val="1"/>
      <w:numFmt w:val="bullet"/>
      <w:isLgl w:val="false"/>
      <w:suff w:val="tab"/>
      <w:lvlText w:val="•"/>
      <w:lvlJc w:val="left"/>
      <w:pPr>
        <w:ind w:left="1094" w:hanging="288"/>
      </w:pPr>
      <w:rPr>
        <w:rFonts w:hint="default"/>
        <w:lang w:val="ru-RU" w:eastAsia="en-US" w:bidi="ar-SA"/>
      </w:rPr>
    </w:lvl>
    <w:lvl w:ilvl="2">
      <w:start w:val="1"/>
      <w:numFmt w:val="bullet"/>
      <w:isLgl w:val="false"/>
      <w:suff w:val="tab"/>
      <w:lvlText w:val="•"/>
      <w:lvlJc w:val="left"/>
      <w:pPr>
        <w:ind w:left="2069" w:hanging="288"/>
      </w:pPr>
      <w:rPr>
        <w:rFonts w:hint="default"/>
        <w:lang w:val="ru-RU" w:eastAsia="en-US" w:bidi="ar-SA"/>
      </w:rPr>
    </w:lvl>
    <w:lvl w:ilvl="3">
      <w:start w:val="1"/>
      <w:numFmt w:val="bullet"/>
      <w:isLgl w:val="false"/>
      <w:suff w:val="tab"/>
      <w:lvlText w:val="•"/>
      <w:lvlJc w:val="left"/>
      <w:pPr>
        <w:ind w:left="3043" w:hanging="288"/>
      </w:pPr>
      <w:rPr>
        <w:rFonts w:hint="default"/>
        <w:lang w:val="ru-RU" w:eastAsia="en-US" w:bidi="ar-SA"/>
      </w:rPr>
    </w:lvl>
    <w:lvl w:ilvl="4">
      <w:start w:val="1"/>
      <w:numFmt w:val="bullet"/>
      <w:isLgl w:val="false"/>
      <w:suff w:val="tab"/>
      <w:lvlText w:val="•"/>
      <w:lvlJc w:val="left"/>
      <w:pPr>
        <w:ind w:left="4018" w:hanging="288"/>
      </w:pPr>
      <w:rPr>
        <w:rFonts w:hint="default"/>
        <w:lang w:val="ru-RU" w:eastAsia="en-US" w:bidi="ar-SA"/>
      </w:rPr>
    </w:lvl>
    <w:lvl w:ilvl="5">
      <w:start w:val="1"/>
      <w:numFmt w:val="bullet"/>
      <w:isLgl w:val="false"/>
      <w:suff w:val="tab"/>
      <w:lvlText w:val="•"/>
      <w:lvlJc w:val="left"/>
      <w:pPr>
        <w:ind w:left="4993" w:hanging="288"/>
      </w:pPr>
      <w:rPr>
        <w:rFonts w:hint="default"/>
        <w:lang w:val="ru-RU" w:eastAsia="en-US" w:bidi="ar-SA"/>
      </w:rPr>
    </w:lvl>
    <w:lvl w:ilvl="6">
      <w:start w:val="1"/>
      <w:numFmt w:val="bullet"/>
      <w:isLgl w:val="false"/>
      <w:suff w:val="tab"/>
      <w:lvlText w:val="•"/>
      <w:lvlJc w:val="left"/>
      <w:pPr>
        <w:ind w:left="5967" w:hanging="288"/>
      </w:pPr>
      <w:rPr>
        <w:rFonts w:hint="default"/>
        <w:lang w:val="ru-RU" w:eastAsia="en-US" w:bidi="ar-SA"/>
      </w:rPr>
    </w:lvl>
    <w:lvl w:ilvl="7">
      <w:start w:val="1"/>
      <w:numFmt w:val="bullet"/>
      <w:isLgl w:val="false"/>
      <w:suff w:val="tab"/>
      <w:lvlText w:val="•"/>
      <w:lvlJc w:val="left"/>
      <w:pPr>
        <w:ind w:left="6942" w:hanging="288"/>
      </w:pPr>
      <w:rPr>
        <w:rFonts w:hint="default"/>
        <w:lang w:val="ru-RU" w:eastAsia="en-US" w:bidi="ar-SA"/>
      </w:rPr>
    </w:lvl>
    <w:lvl w:ilvl="8">
      <w:start w:val="1"/>
      <w:numFmt w:val="bullet"/>
      <w:isLgl w:val="false"/>
      <w:suff w:val="tab"/>
      <w:lvlText w:val="•"/>
      <w:lvlJc w:val="left"/>
      <w:pPr>
        <w:ind w:left="7917" w:hanging="288"/>
      </w:pPr>
      <w:rPr>
        <w:rFonts w:hint="default"/>
        <w:lang w:val="ru-RU" w:eastAsia="en-US" w:bidi="ar-SA"/>
      </w:rPr>
    </w:lvl>
  </w:abstractNum>
  <w:abstractNum w:abstractNumId="31">
    <w:multiLevelType w:val="hybridMultilevel"/>
    <w:lvl w:ilvl="0">
      <w:start w:val="1"/>
      <w:numFmt w:val="decimal"/>
      <w:isLgl w:val="false"/>
      <w:suff w:val="tab"/>
      <w:lvlText w:val="%1."/>
      <w:lvlJc w:val="left"/>
      <w:pPr>
        <w:ind w:left="720" w:hanging="360"/>
      </w:pPr>
    </w:lvl>
    <w:lvl w:ilvl="1">
      <w:start w:val="1"/>
      <w:numFmt w:val="lowerLetter"/>
      <w:isLgl w:val="false"/>
      <w:suff w:val="tab"/>
      <w:lvlText w:val="%2."/>
      <w:lvlJc w:val="left"/>
      <w:pPr>
        <w:ind w:left="1440" w:hanging="360"/>
      </w:pPr>
    </w:lvl>
    <w:lvl w:ilvl="2">
      <w:start w:val="1"/>
      <w:numFmt w:val="lowerRoman"/>
      <w:isLgl w:val="false"/>
      <w:suff w:val="tab"/>
      <w:lvlText w:val="%3."/>
      <w:lvlJc w:val="right"/>
      <w:pPr>
        <w:ind w:left="2160" w:hanging="180"/>
      </w:pPr>
    </w:lvl>
    <w:lvl w:ilvl="3">
      <w:start w:val="1"/>
      <w:numFmt w:val="decimal"/>
      <w:isLgl w:val="false"/>
      <w:suff w:val="tab"/>
      <w:lvlText w:val="%4."/>
      <w:lvlJc w:val="left"/>
      <w:pPr>
        <w:ind w:left="2880" w:hanging="360"/>
      </w:pPr>
    </w:lvl>
    <w:lvl w:ilvl="4">
      <w:start w:val="1"/>
      <w:numFmt w:val="lowerLetter"/>
      <w:isLgl w:val="false"/>
      <w:suff w:val="tab"/>
      <w:lvlText w:val="%5."/>
      <w:lvlJc w:val="left"/>
      <w:pPr>
        <w:ind w:left="3600" w:hanging="360"/>
      </w:pPr>
    </w:lvl>
    <w:lvl w:ilvl="5">
      <w:start w:val="1"/>
      <w:numFmt w:val="lowerRoman"/>
      <w:isLgl w:val="false"/>
      <w:suff w:val="tab"/>
      <w:lvlText w:val="%6."/>
      <w:lvlJc w:val="right"/>
      <w:pPr>
        <w:ind w:left="4320" w:hanging="180"/>
      </w:pPr>
    </w:lvl>
    <w:lvl w:ilvl="6">
      <w:start w:val="1"/>
      <w:numFmt w:val="decimal"/>
      <w:isLgl w:val="false"/>
      <w:suff w:val="tab"/>
      <w:lvlText w:val="%7."/>
      <w:lvlJc w:val="left"/>
      <w:pPr>
        <w:ind w:left="5040" w:hanging="360"/>
      </w:pPr>
    </w:lvl>
    <w:lvl w:ilvl="7">
      <w:start w:val="1"/>
      <w:numFmt w:val="lowerLetter"/>
      <w:isLgl w:val="false"/>
      <w:suff w:val="tab"/>
      <w:lvlText w:val="%8."/>
      <w:lvlJc w:val="left"/>
      <w:pPr>
        <w:ind w:left="5760" w:hanging="360"/>
      </w:pPr>
    </w:lvl>
    <w:lvl w:ilvl="8">
      <w:start w:val="1"/>
      <w:numFmt w:val="lowerRoman"/>
      <w:isLgl w:val="false"/>
      <w:suff w:val="tab"/>
      <w:lvlText w:val="%9."/>
      <w:lvlJc w:val="right"/>
      <w:pPr>
        <w:ind w:left="6480" w:hanging="180"/>
      </w:pPr>
    </w:lvl>
  </w:abstractNum>
  <w:abstractNum w:abstractNumId="32">
    <w:multiLevelType w:val="hybridMultilevel"/>
    <w:lvl w:ilvl="0">
      <w:start w:val="1"/>
      <w:numFmt w:val="decimal"/>
      <w:isLgl w:val="false"/>
      <w:suff w:val="tab"/>
      <w:lvlText w:val="%1)"/>
      <w:lvlJc w:val="left"/>
      <w:pPr>
        <w:ind w:left="1158" w:hanging="276"/>
      </w:pPr>
      <w:rPr>
        <w:rFonts w:hint="default" w:ascii="Times New Roman" w:hAnsi="Times New Roman" w:eastAsia="Times New Roman" w:cs="Times New Roman"/>
        <w:b w:val="0"/>
        <w:bCs w:val="0"/>
        <w:i w:val="0"/>
        <w:iCs w:val="0"/>
        <w:sz w:val="24"/>
        <w:szCs w:val="24"/>
        <w:lang w:val="ru-RU" w:eastAsia="en-US" w:bidi="ar-SA"/>
      </w:rPr>
    </w:lvl>
    <w:lvl w:ilvl="1">
      <w:start w:val="1"/>
      <w:numFmt w:val="bullet"/>
      <w:isLgl w:val="false"/>
      <w:suff w:val="tab"/>
      <w:lvlText w:val="•"/>
      <w:lvlJc w:val="left"/>
      <w:pPr>
        <w:ind w:left="2184" w:hanging="276"/>
      </w:pPr>
      <w:rPr>
        <w:rFonts w:hint="default"/>
        <w:lang w:val="ru-RU" w:eastAsia="en-US" w:bidi="ar-SA"/>
      </w:rPr>
    </w:lvl>
    <w:lvl w:ilvl="2">
      <w:start w:val="1"/>
      <w:numFmt w:val="bullet"/>
      <w:isLgl w:val="false"/>
      <w:suff w:val="tab"/>
      <w:lvlText w:val="•"/>
      <w:lvlJc w:val="left"/>
      <w:pPr>
        <w:ind w:left="3209" w:hanging="276"/>
      </w:pPr>
      <w:rPr>
        <w:rFonts w:hint="default"/>
        <w:lang w:val="ru-RU" w:eastAsia="en-US" w:bidi="ar-SA"/>
      </w:rPr>
    </w:lvl>
    <w:lvl w:ilvl="3">
      <w:start w:val="1"/>
      <w:numFmt w:val="bullet"/>
      <w:isLgl w:val="false"/>
      <w:suff w:val="tab"/>
      <w:lvlText w:val="•"/>
      <w:lvlJc w:val="left"/>
      <w:pPr>
        <w:ind w:left="4233" w:hanging="276"/>
      </w:pPr>
      <w:rPr>
        <w:rFonts w:hint="default"/>
        <w:lang w:val="ru-RU" w:eastAsia="en-US" w:bidi="ar-SA"/>
      </w:rPr>
    </w:lvl>
    <w:lvl w:ilvl="4">
      <w:start w:val="1"/>
      <w:numFmt w:val="bullet"/>
      <w:isLgl w:val="false"/>
      <w:suff w:val="tab"/>
      <w:lvlText w:val="•"/>
      <w:lvlJc w:val="left"/>
      <w:pPr>
        <w:ind w:left="5258" w:hanging="276"/>
      </w:pPr>
      <w:rPr>
        <w:rFonts w:hint="default"/>
        <w:lang w:val="ru-RU" w:eastAsia="en-US" w:bidi="ar-SA"/>
      </w:rPr>
    </w:lvl>
    <w:lvl w:ilvl="5">
      <w:start w:val="1"/>
      <w:numFmt w:val="bullet"/>
      <w:isLgl w:val="false"/>
      <w:suff w:val="tab"/>
      <w:lvlText w:val="•"/>
      <w:lvlJc w:val="left"/>
      <w:pPr>
        <w:ind w:left="6283" w:hanging="276"/>
      </w:pPr>
      <w:rPr>
        <w:rFonts w:hint="default"/>
        <w:lang w:val="ru-RU" w:eastAsia="en-US" w:bidi="ar-SA"/>
      </w:rPr>
    </w:lvl>
    <w:lvl w:ilvl="6">
      <w:start w:val="1"/>
      <w:numFmt w:val="bullet"/>
      <w:isLgl w:val="false"/>
      <w:suff w:val="tab"/>
      <w:lvlText w:val="•"/>
      <w:lvlJc w:val="left"/>
      <w:pPr>
        <w:ind w:left="7307" w:hanging="276"/>
      </w:pPr>
      <w:rPr>
        <w:rFonts w:hint="default"/>
        <w:lang w:val="ru-RU" w:eastAsia="en-US" w:bidi="ar-SA"/>
      </w:rPr>
    </w:lvl>
    <w:lvl w:ilvl="7">
      <w:start w:val="1"/>
      <w:numFmt w:val="bullet"/>
      <w:isLgl w:val="false"/>
      <w:suff w:val="tab"/>
      <w:lvlText w:val="•"/>
      <w:lvlJc w:val="left"/>
      <w:pPr>
        <w:ind w:left="8332" w:hanging="276"/>
      </w:pPr>
      <w:rPr>
        <w:rFonts w:hint="default"/>
        <w:lang w:val="ru-RU" w:eastAsia="en-US" w:bidi="ar-SA"/>
      </w:rPr>
    </w:lvl>
    <w:lvl w:ilvl="8">
      <w:start w:val="1"/>
      <w:numFmt w:val="bullet"/>
      <w:isLgl w:val="false"/>
      <w:suff w:val="tab"/>
      <w:lvlText w:val="•"/>
      <w:lvlJc w:val="left"/>
      <w:pPr>
        <w:ind w:left="9357" w:hanging="276"/>
      </w:pPr>
      <w:rPr>
        <w:rFonts w:hint="default"/>
        <w:lang w:val="ru-RU" w:eastAsia="en-US" w:bidi="ar-SA"/>
      </w:rPr>
    </w:lvl>
  </w:abstractNum>
  <w:abstractNum w:abstractNumId="33">
    <w:multiLevelType w:val="hybridMultilevel"/>
    <w:lvl w:ilvl="0">
      <w:start w:val="1"/>
      <w:numFmt w:val="decimal"/>
      <w:isLgl w:val="false"/>
      <w:suff w:val="tab"/>
      <w:lvlText w:val="%1."/>
      <w:lvlJc w:val="left"/>
      <w:pPr>
        <w:ind w:left="747" w:hanging="360"/>
      </w:pPr>
      <w:rPr>
        <w:rFonts w:hint="default"/>
      </w:rPr>
    </w:lvl>
    <w:lvl w:ilvl="1">
      <w:start w:val="1"/>
      <w:numFmt w:val="lowerLetter"/>
      <w:isLgl w:val="false"/>
      <w:suff w:val="tab"/>
      <w:lvlText w:val="%2."/>
      <w:lvlJc w:val="left"/>
      <w:pPr>
        <w:ind w:left="1440" w:hanging="360"/>
      </w:pPr>
    </w:lvl>
    <w:lvl w:ilvl="2">
      <w:start w:val="1"/>
      <w:numFmt w:val="lowerRoman"/>
      <w:isLgl w:val="false"/>
      <w:suff w:val="tab"/>
      <w:lvlText w:val="%3."/>
      <w:lvlJc w:val="right"/>
      <w:pPr>
        <w:ind w:left="2160" w:hanging="180"/>
      </w:pPr>
    </w:lvl>
    <w:lvl w:ilvl="3">
      <w:start w:val="1"/>
      <w:numFmt w:val="decimal"/>
      <w:isLgl w:val="false"/>
      <w:suff w:val="tab"/>
      <w:lvlText w:val="%4."/>
      <w:lvlJc w:val="left"/>
      <w:pPr>
        <w:ind w:left="2880" w:hanging="360"/>
      </w:pPr>
    </w:lvl>
    <w:lvl w:ilvl="4">
      <w:start w:val="1"/>
      <w:numFmt w:val="lowerLetter"/>
      <w:isLgl w:val="false"/>
      <w:suff w:val="tab"/>
      <w:lvlText w:val="%5."/>
      <w:lvlJc w:val="left"/>
      <w:pPr>
        <w:ind w:left="3600" w:hanging="360"/>
      </w:pPr>
    </w:lvl>
    <w:lvl w:ilvl="5">
      <w:start w:val="1"/>
      <w:numFmt w:val="lowerRoman"/>
      <w:isLgl w:val="false"/>
      <w:suff w:val="tab"/>
      <w:lvlText w:val="%6."/>
      <w:lvlJc w:val="right"/>
      <w:pPr>
        <w:ind w:left="4320" w:hanging="180"/>
      </w:pPr>
    </w:lvl>
    <w:lvl w:ilvl="6">
      <w:start w:val="1"/>
      <w:numFmt w:val="decimal"/>
      <w:isLgl w:val="false"/>
      <w:suff w:val="tab"/>
      <w:lvlText w:val="%7."/>
      <w:lvlJc w:val="left"/>
      <w:pPr>
        <w:ind w:left="5040" w:hanging="360"/>
      </w:pPr>
    </w:lvl>
    <w:lvl w:ilvl="7">
      <w:start w:val="1"/>
      <w:numFmt w:val="lowerLetter"/>
      <w:isLgl w:val="false"/>
      <w:suff w:val="tab"/>
      <w:lvlText w:val="%8."/>
      <w:lvlJc w:val="left"/>
      <w:pPr>
        <w:ind w:left="5760" w:hanging="360"/>
      </w:pPr>
    </w:lvl>
    <w:lvl w:ilvl="8">
      <w:start w:val="1"/>
      <w:numFmt w:val="lowerRoman"/>
      <w:isLgl w:val="false"/>
      <w:suff w:val="tab"/>
      <w:lvlText w:val="%9."/>
      <w:lvlJc w:val="right"/>
      <w:pPr>
        <w:ind w:left="6480" w:hanging="180"/>
      </w:pPr>
    </w:lvl>
  </w:abstractNum>
  <w:abstractNum w:abstractNumId="34">
    <w:multiLevelType w:val="hybridMultilevel"/>
    <w:lvl w:ilvl="0">
      <w:start w:val="1"/>
      <w:numFmt w:val="bullet"/>
      <w:isLgl w:val="false"/>
      <w:suff w:val="tab"/>
      <w:lvlText w:val=""/>
      <w:lvlJc w:val="left"/>
      <w:pPr>
        <w:ind w:left="1571" w:hanging="360"/>
      </w:pPr>
      <w:rPr>
        <w:rFonts w:hint="default" w:ascii="Symbol" w:hAnsi="Symbol"/>
      </w:rPr>
    </w:lvl>
    <w:lvl w:ilvl="1">
      <w:start w:val="1"/>
      <w:numFmt w:val="bullet"/>
      <w:isLgl w:val="false"/>
      <w:suff w:val="tab"/>
      <w:lvlText w:val="o"/>
      <w:lvlJc w:val="left"/>
      <w:pPr>
        <w:ind w:left="2291" w:hanging="360"/>
      </w:pPr>
      <w:rPr>
        <w:rFonts w:hint="default" w:ascii="Courier New" w:hAnsi="Courier New" w:cs="Courier New"/>
      </w:rPr>
    </w:lvl>
    <w:lvl w:ilvl="2">
      <w:start w:val="1"/>
      <w:numFmt w:val="bullet"/>
      <w:isLgl w:val="false"/>
      <w:suff w:val="tab"/>
      <w:lvlText w:val=""/>
      <w:lvlJc w:val="left"/>
      <w:pPr>
        <w:ind w:left="3011" w:hanging="360"/>
      </w:pPr>
      <w:rPr>
        <w:rFonts w:hint="default" w:ascii="Wingdings" w:hAnsi="Wingdings"/>
      </w:rPr>
    </w:lvl>
    <w:lvl w:ilvl="3">
      <w:start w:val="1"/>
      <w:numFmt w:val="bullet"/>
      <w:isLgl w:val="false"/>
      <w:suff w:val="tab"/>
      <w:lvlText w:val=""/>
      <w:lvlJc w:val="left"/>
      <w:pPr>
        <w:ind w:left="3731" w:hanging="360"/>
      </w:pPr>
      <w:rPr>
        <w:rFonts w:hint="default" w:ascii="Symbol" w:hAnsi="Symbol"/>
      </w:rPr>
    </w:lvl>
    <w:lvl w:ilvl="4">
      <w:start w:val="1"/>
      <w:numFmt w:val="bullet"/>
      <w:isLgl w:val="false"/>
      <w:suff w:val="tab"/>
      <w:lvlText w:val="o"/>
      <w:lvlJc w:val="left"/>
      <w:pPr>
        <w:ind w:left="4451" w:hanging="360"/>
      </w:pPr>
      <w:rPr>
        <w:rFonts w:hint="default" w:ascii="Courier New" w:hAnsi="Courier New" w:cs="Courier New"/>
      </w:rPr>
    </w:lvl>
    <w:lvl w:ilvl="5">
      <w:start w:val="1"/>
      <w:numFmt w:val="bullet"/>
      <w:isLgl w:val="false"/>
      <w:suff w:val="tab"/>
      <w:lvlText w:val=""/>
      <w:lvlJc w:val="left"/>
      <w:pPr>
        <w:ind w:left="5171" w:hanging="360"/>
      </w:pPr>
      <w:rPr>
        <w:rFonts w:hint="default" w:ascii="Wingdings" w:hAnsi="Wingdings"/>
      </w:rPr>
    </w:lvl>
    <w:lvl w:ilvl="6">
      <w:start w:val="1"/>
      <w:numFmt w:val="bullet"/>
      <w:isLgl w:val="false"/>
      <w:suff w:val="tab"/>
      <w:lvlText w:val=""/>
      <w:lvlJc w:val="left"/>
      <w:pPr>
        <w:ind w:left="5891" w:hanging="360"/>
      </w:pPr>
      <w:rPr>
        <w:rFonts w:hint="default" w:ascii="Symbol" w:hAnsi="Symbol"/>
      </w:rPr>
    </w:lvl>
    <w:lvl w:ilvl="7">
      <w:start w:val="1"/>
      <w:numFmt w:val="bullet"/>
      <w:isLgl w:val="false"/>
      <w:suff w:val="tab"/>
      <w:lvlText w:val="o"/>
      <w:lvlJc w:val="left"/>
      <w:pPr>
        <w:ind w:left="6611" w:hanging="360"/>
      </w:pPr>
      <w:rPr>
        <w:rFonts w:hint="default" w:ascii="Courier New" w:hAnsi="Courier New" w:cs="Courier New"/>
      </w:rPr>
    </w:lvl>
    <w:lvl w:ilvl="8">
      <w:start w:val="1"/>
      <w:numFmt w:val="bullet"/>
      <w:isLgl w:val="false"/>
      <w:suff w:val="tab"/>
      <w:lvlText w:val=""/>
      <w:lvlJc w:val="left"/>
      <w:pPr>
        <w:ind w:left="7331" w:hanging="360"/>
      </w:pPr>
      <w:rPr>
        <w:rFonts w:hint="default" w:ascii="Wingdings" w:hAnsi="Wingdings"/>
      </w:rPr>
    </w:lvl>
  </w:abstractNum>
  <w:abstractNum w:abstractNumId="35">
    <w:multiLevelType w:val="hybridMultilevel"/>
    <w:lvl w:ilvl="0">
      <w:start w:val="1"/>
      <w:numFmt w:val="bullet"/>
      <w:isLgl w:val="false"/>
      <w:suff w:val="tab"/>
      <w:lvlText w:val="-"/>
      <w:lvlJc w:val="left"/>
      <w:pPr>
        <w:ind w:left="966" w:hanging="140"/>
      </w:pPr>
      <w:rPr>
        <w:rFonts w:hint="default" w:ascii="Times New Roman" w:hAnsi="Times New Roman" w:eastAsia="Times New Roman" w:cs="Times New Roman"/>
        <w:b w:val="0"/>
        <w:bCs w:val="0"/>
        <w:i w:val="0"/>
        <w:iCs w:val="0"/>
        <w:sz w:val="24"/>
        <w:szCs w:val="24"/>
        <w:lang w:val="ru-RU" w:eastAsia="en-US" w:bidi="ar-SA"/>
      </w:rPr>
    </w:lvl>
    <w:lvl w:ilvl="1">
      <w:start w:val="1"/>
      <w:numFmt w:val="bullet"/>
      <w:isLgl w:val="false"/>
      <w:suff w:val="tab"/>
      <w:lvlText w:val="•"/>
      <w:lvlJc w:val="left"/>
      <w:pPr>
        <w:ind w:left="1850" w:hanging="140"/>
      </w:pPr>
      <w:rPr>
        <w:rFonts w:hint="default"/>
        <w:lang w:val="ru-RU" w:eastAsia="en-US" w:bidi="ar-SA"/>
      </w:rPr>
    </w:lvl>
    <w:lvl w:ilvl="2">
      <w:start w:val="1"/>
      <w:numFmt w:val="bullet"/>
      <w:isLgl w:val="false"/>
      <w:suff w:val="tab"/>
      <w:lvlText w:val="•"/>
      <w:lvlJc w:val="left"/>
      <w:pPr>
        <w:ind w:left="2741" w:hanging="140"/>
      </w:pPr>
      <w:rPr>
        <w:rFonts w:hint="default"/>
        <w:lang w:val="ru-RU" w:eastAsia="en-US" w:bidi="ar-SA"/>
      </w:rPr>
    </w:lvl>
    <w:lvl w:ilvl="3">
      <w:start w:val="1"/>
      <w:numFmt w:val="bullet"/>
      <w:isLgl w:val="false"/>
      <w:suff w:val="tab"/>
      <w:lvlText w:val="•"/>
      <w:lvlJc w:val="left"/>
      <w:pPr>
        <w:ind w:left="3631" w:hanging="140"/>
      </w:pPr>
      <w:rPr>
        <w:rFonts w:hint="default"/>
        <w:lang w:val="ru-RU" w:eastAsia="en-US" w:bidi="ar-SA"/>
      </w:rPr>
    </w:lvl>
    <w:lvl w:ilvl="4">
      <w:start w:val="1"/>
      <w:numFmt w:val="bullet"/>
      <w:isLgl w:val="false"/>
      <w:suff w:val="tab"/>
      <w:lvlText w:val="•"/>
      <w:lvlJc w:val="left"/>
      <w:pPr>
        <w:ind w:left="4522" w:hanging="140"/>
      </w:pPr>
      <w:rPr>
        <w:rFonts w:hint="default"/>
        <w:lang w:val="ru-RU" w:eastAsia="en-US" w:bidi="ar-SA"/>
      </w:rPr>
    </w:lvl>
    <w:lvl w:ilvl="5">
      <w:start w:val="1"/>
      <w:numFmt w:val="bullet"/>
      <w:isLgl w:val="false"/>
      <w:suff w:val="tab"/>
      <w:lvlText w:val="•"/>
      <w:lvlJc w:val="left"/>
      <w:pPr>
        <w:ind w:left="5413" w:hanging="140"/>
      </w:pPr>
      <w:rPr>
        <w:rFonts w:hint="default"/>
        <w:lang w:val="ru-RU" w:eastAsia="en-US" w:bidi="ar-SA"/>
      </w:rPr>
    </w:lvl>
    <w:lvl w:ilvl="6">
      <w:start w:val="1"/>
      <w:numFmt w:val="bullet"/>
      <w:isLgl w:val="false"/>
      <w:suff w:val="tab"/>
      <w:lvlText w:val="•"/>
      <w:lvlJc w:val="left"/>
      <w:pPr>
        <w:ind w:left="6303" w:hanging="140"/>
      </w:pPr>
      <w:rPr>
        <w:rFonts w:hint="default"/>
        <w:lang w:val="ru-RU" w:eastAsia="en-US" w:bidi="ar-SA"/>
      </w:rPr>
    </w:lvl>
    <w:lvl w:ilvl="7">
      <w:start w:val="1"/>
      <w:numFmt w:val="bullet"/>
      <w:isLgl w:val="false"/>
      <w:suff w:val="tab"/>
      <w:lvlText w:val="•"/>
      <w:lvlJc w:val="left"/>
      <w:pPr>
        <w:ind w:left="7194" w:hanging="140"/>
      </w:pPr>
      <w:rPr>
        <w:rFonts w:hint="default"/>
        <w:lang w:val="ru-RU" w:eastAsia="en-US" w:bidi="ar-SA"/>
      </w:rPr>
    </w:lvl>
    <w:lvl w:ilvl="8">
      <w:start w:val="1"/>
      <w:numFmt w:val="bullet"/>
      <w:isLgl w:val="false"/>
      <w:suff w:val="tab"/>
      <w:lvlText w:val="•"/>
      <w:lvlJc w:val="left"/>
      <w:pPr>
        <w:ind w:left="8085" w:hanging="140"/>
      </w:pPr>
      <w:rPr>
        <w:rFonts w:hint="default"/>
        <w:lang w:val="ru-RU" w:eastAsia="en-US" w:bidi="ar-SA"/>
      </w:rPr>
    </w:lvl>
  </w:abstractNum>
  <w:abstractNum w:abstractNumId="36">
    <w:multiLevelType w:val="hybridMultilevel"/>
    <w:lvl w:ilvl="0">
      <w:start w:val="1"/>
      <w:numFmt w:val="decimal"/>
      <w:isLgl w:val="false"/>
      <w:suff w:val="tab"/>
      <w:lvlText w:val="%1."/>
      <w:lvlJc w:val="left"/>
      <w:pPr>
        <w:ind w:left="720" w:hanging="360"/>
      </w:pPr>
    </w:lvl>
    <w:lvl w:ilvl="1">
      <w:start w:val="1"/>
      <w:numFmt w:val="lowerLetter"/>
      <w:isLgl w:val="false"/>
      <w:suff w:val="tab"/>
      <w:lvlText w:val="%2."/>
      <w:lvlJc w:val="left"/>
      <w:pPr>
        <w:ind w:left="1440" w:hanging="360"/>
      </w:pPr>
    </w:lvl>
    <w:lvl w:ilvl="2">
      <w:start w:val="1"/>
      <w:numFmt w:val="lowerRoman"/>
      <w:isLgl w:val="false"/>
      <w:suff w:val="tab"/>
      <w:lvlText w:val="%3."/>
      <w:lvlJc w:val="right"/>
      <w:pPr>
        <w:ind w:left="2160" w:hanging="180"/>
      </w:pPr>
    </w:lvl>
    <w:lvl w:ilvl="3">
      <w:start w:val="1"/>
      <w:numFmt w:val="decimal"/>
      <w:isLgl w:val="false"/>
      <w:suff w:val="tab"/>
      <w:lvlText w:val="%4."/>
      <w:lvlJc w:val="left"/>
      <w:pPr>
        <w:ind w:left="2880" w:hanging="360"/>
      </w:pPr>
    </w:lvl>
    <w:lvl w:ilvl="4">
      <w:start w:val="1"/>
      <w:numFmt w:val="lowerLetter"/>
      <w:isLgl w:val="false"/>
      <w:suff w:val="tab"/>
      <w:lvlText w:val="%5."/>
      <w:lvlJc w:val="left"/>
      <w:pPr>
        <w:ind w:left="3600" w:hanging="360"/>
      </w:pPr>
    </w:lvl>
    <w:lvl w:ilvl="5">
      <w:start w:val="1"/>
      <w:numFmt w:val="lowerRoman"/>
      <w:isLgl w:val="false"/>
      <w:suff w:val="tab"/>
      <w:lvlText w:val="%6."/>
      <w:lvlJc w:val="right"/>
      <w:pPr>
        <w:ind w:left="4320" w:hanging="180"/>
      </w:pPr>
    </w:lvl>
    <w:lvl w:ilvl="6">
      <w:start w:val="1"/>
      <w:numFmt w:val="decimal"/>
      <w:isLgl w:val="false"/>
      <w:suff w:val="tab"/>
      <w:lvlText w:val="%7."/>
      <w:lvlJc w:val="left"/>
      <w:pPr>
        <w:ind w:left="5040" w:hanging="360"/>
      </w:pPr>
    </w:lvl>
    <w:lvl w:ilvl="7">
      <w:start w:val="1"/>
      <w:numFmt w:val="lowerLetter"/>
      <w:isLgl w:val="false"/>
      <w:suff w:val="tab"/>
      <w:lvlText w:val="%8."/>
      <w:lvlJc w:val="left"/>
      <w:pPr>
        <w:ind w:left="5760" w:hanging="360"/>
      </w:pPr>
    </w:lvl>
    <w:lvl w:ilvl="8">
      <w:start w:val="1"/>
      <w:numFmt w:val="lowerRoman"/>
      <w:isLgl w:val="false"/>
      <w:suff w:val="tab"/>
      <w:lvlText w:val="%9."/>
      <w:lvlJc w:val="right"/>
      <w:pPr>
        <w:ind w:left="6480" w:hanging="180"/>
      </w:pPr>
    </w:lvl>
  </w:abstractNum>
  <w:abstractNum w:abstractNumId="37">
    <w:multiLevelType w:val="hybridMultilevel"/>
    <w:lvl w:ilvl="0">
      <w:start w:val="1"/>
      <w:numFmt w:val="decimal"/>
      <w:isLgl w:val="false"/>
      <w:suff w:val="tab"/>
      <w:lvlText w:val="%1."/>
      <w:lvlJc w:val="left"/>
      <w:pPr>
        <w:ind w:left="360" w:hanging="360"/>
        <w:tabs>
          <w:tab w:val="num" w:pos="360" w:leader="none"/>
        </w:tabs>
      </w:pPr>
      <w:rPr>
        <w:rFonts w:hint="default"/>
      </w:rPr>
    </w:lvl>
    <w:lvl w:ilvl="1">
      <w:start w:val="1"/>
      <w:numFmt w:val="bullet"/>
      <w:isLgl w:val="false"/>
      <w:suff w:val="tab"/>
      <w:lvlText w:val="o"/>
      <w:lvlJc w:val="left"/>
      <w:pPr>
        <w:ind w:left="1440" w:hanging="360"/>
      </w:pPr>
      <w:rPr>
        <w:rFonts w:hint="default" w:ascii="Courier New" w:hAnsi="Courier New" w:eastAsia="Courier New" w:cs="Courier New"/>
      </w:rPr>
    </w:lvl>
    <w:lvl w:ilvl="2">
      <w:start w:val="1"/>
      <w:numFmt w:val="bullet"/>
      <w:isLgl w:val="false"/>
      <w:suff w:val="tab"/>
      <w:lvlText w:val="§"/>
      <w:lvlJc w:val="left"/>
      <w:pPr>
        <w:ind w:left="2160" w:hanging="360"/>
      </w:pPr>
      <w:rPr>
        <w:rFonts w:hint="default" w:ascii="Wingdings" w:hAnsi="Wingdings" w:eastAsia="Wingdings" w:cs="Wingdings"/>
      </w:rPr>
    </w:lvl>
    <w:lvl w:ilvl="3">
      <w:start w:val="1"/>
      <w:numFmt w:val="bullet"/>
      <w:isLgl w:val="false"/>
      <w:suff w:val="tab"/>
      <w:lvlText w:val="·"/>
      <w:lvlJc w:val="left"/>
      <w:pPr>
        <w:ind w:left="2880" w:hanging="360"/>
      </w:pPr>
      <w:rPr>
        <w:rFonts w:hint="default" w:ascii="Symbol" w:hAnsi="Symbol" w:eastAsia="Symbol" w:cs="Symbol"/>
      </w:rPr>
    </w:lvl>
    <w:lvl w:ilvl="4">
      <w:start w:val="1"/>
      <w:numFmt w:val="bullet"/>
      <w:isLgl w:val="false"/>
      <w:suff w:val="tab"/>
      <w:lvlText w:val="o"/>
      <w:lvlJc w:val="left"/>
      <w:pPr>
        <w:ind w:left="3600" w:hanging="360"/>
      </w:pPr>
      <w:rPr>
        <w:rFonts w:hint="default" w:ascii="Courier New" w:hAnsi="Courier New" w:eastAsia="Courier New" w:cs="Courier New"/>
      </w:rPr>
    </w:lvl>
    <w:lvl w:ilvl="5">
      <w:start w:val="1"/>
      <w:numFmt w:val="bullet"/>
      <w:isLgl w:val="false"/>
      <w:suff w:val="tab"/>
      <w:lvlText w:val="§"/>
      <w:lvlJc w:val="left"/>
      <w:pPr>
        <w:ind w:left="4320" w:hanging="360"/>
      </w:pPr>
      <w:rPr>
        <w:rFonts w:hint="default" w:ascii="Wingdings" w:hAnsi="Wingdings" w:eastAsia="Wingdings" w:cs="Wingdings"/>
      </w:rPr>
    </w:lvl>
    <w:lvl w:ilvl="6">
      <w:start w:val="1"/>
      <w:numFmt w:val="bullet"/>
      <w:isLgl w:val="false"/>
      <w:suff w:val="tab"/>
      <w:lvlText w:val="·"/>
      <w:lvlJc w:val="left"/>
      <w:pPr>
        <w:ind w:left="5040" w:hanging="360"/>
      </w:pPr>
      <w:rPr>
        <w:rFonts w:hint="default" w:ascii="Symbol" w:hAnsi="Symbol" w:eastAsia="Symbol" w:cs="Symbol"/>
      </w:rPr>
    </w:lvl>
    <w:lvl w:ilvl="7">
      <w:start w:val="1"/>
      <w:numFmt w:val="bullet"/>
      <w:isLgl w:val="false"/>
      <w:suff w:val="tab"/>
      <w:lvlText w:val="o"/>
      <w:lvlJc w:val="left"/>
      <w:pPr>
        <w:ind w:left="5760" w:hanging="360"/>
      </w:pPr>
      <w:rPr>
        <w:rFonts w:hint="default" w:ascii="Courier New" w:hAnsi="Courier New" w:eastAsia="Courier New" w:cs="Courier New"/>
      </w:rPr>
    </w:lvl>
    <w:lvl w:ilvl="8">
      <w:start w:val="1"/>
      <w:numFmt w:val="bullet"/>
      <w:isLgl w:val="false"/>
      <w:suff w:val="tab"/>
      <w:lvlText w:val="§"/>
      <w:lvlJc w:val="left"/>
      <w:pPr>
        <w:ind w:left="6480" w:hanging="360"/>
      </w:pPr>
      <w:rPr>
        <w:rFonts w:hint="default" w:ascii="Wingdings" w:hAnsi="Wingdings" w:eastAsia="Wingdings" w:cs="Wingdings"/>
      </w:rPr>
    </w:lvl>
  </w:abstractNum>
  <w:abstractNum w:abstractNumId="38">
    <w:multiLevelType w:val="hybridMultilevel"/>
    <w:lvl w:ilvl="0">
      <w:start w:val="1"/>
      <w:numFmt w:val="bullet"/>
      <w:isLgl w:val="false"/>
      <w:suff w:val="tab"/>
      <w:lvlText w:val="-"/>
      <w:lvlJc w:val="left"/>
      <w:pPr/>
    </w:lvl>
    <w:lvl w:ilvl="1">
      <w:start w:val="1"/>
      <w:numFmt w:val="bullet"/>
      <w:isLgl w:val="false"/>
      <w:suff w:val="tab"/>
      <w:lvlText w:val="o"/>
      <w:lvlJc w:val="left"/>
      <w:pPr>
        <w:ind w:left="1440" w:hanging="360"/>
      </w:pPr>
      <w:rPr>
        <w:rFonts w:hint="default" w:ascii="Courier New" w:hAnsi="Courier New" w:eastAsia="Courier New" w:cs="Courier New"/>
      </w:rPr>
    </w:lvl>
    <w:lvl w:ilvl="2">
      <w:start w:val="1"/>
      <w:numFmt w:val="bullet"/>
      <w:isLgl w:val="false"/>
      <w:suff w:val="tab"/>
      <w:lvlText w:val="§"/>
      <w:lvlJc w:val="left"/>
      <w:pPr>
        <w:ind w:left="2160" w:hanging="360"/>
      </w:pPr>
      <w:rPr>
        <w:rFonts w:hint="default" w:ascii="Wingdings" w:hAnsi="Wingdings" w:eastAsia="Wingdings" w:cs="Wingdings"/>
      </w:rPr>
    </w:lvl>
    <w:lvl w:ilvl="3">
      <w:start w:val="1"/>
      <w:numFmt w:val="bullet"/>
      <w:isLgl w:val="false"/>
      <w:suff w:val="tab"/>
      <w:lvlText w:val="·"/>
      <w:lvlJc w:val="left"/>
      <w:pPr>
        <w:ind w:left="2880" w:hanging="360"/>
      </w:pPr>
      <w:rPr>
        <w:rFonts w:hint="default" w:ascii="Symbol" w:hAnsi="Symbol" w:eastAsia="Symbol" w:cs="Symbol"/>
      </w:rPr>
    </w:lvl>
    <w:lvl w:ilvl="4">
      <w:start w:val="1"/>
      <w:numFmt w:val="bullet"/>
      <w:isLgl w:val="false"/>
      <w:suff w:val="tab"/>
      <w:lvlText w:val="o"/>
      <w:lvlJc w:val="left"/>
      <w:pPr>
        <w:ind w:left="3600" w:hanging="360"/>
      </w:pPr>
      <w:rPr>
        <w:rFonts w:hint="default" w:ascii="Courier New" w:hAnsi="Courier New" w:eastAsia="Courier New" w:cs="Courier New"/>
      </w:rPr>
    </w:lvl>
    <w:lvl w:ilvl="5">
      <w:start w:val="1"/>
      <w:numFmt w:val="bullet"/>
      <w:isLgl w:val="false"/>
      <w:suff w:val="tab"/>
      <w:lvlText w:val="§"/>
      <w:lvlJc w:val="left"/>
      <w:pPr>
        <w:ind w:left="4320" w:hanging="360"/>
      </w:pPr>
      <w:rPr>
        <w:rFonts w:hint="default" w:ascii="Wingdings" w:hAnsi="Wingdings" w:eastAsia="Wingdings" w:cs="Wingdings"/>
      </w:rPr>
    </w:lvl>
    <w:lvl w:ilvl="6">
      <w:start w:val="1"/>
      <w:numFmt w:val="bullet"/>
      <w:isLgl w:val="false"/>
      <w:suff w:val="tab"/>
      <w:lvlText w:val="·"/>
      <w:lvlJc w:val="left"/>
      <w:pPr>
        <w:ind w:left="5040" w:hanging="360"/>
      </w:pPr>
      <w:rPr>
        <w:rFonts w:hint="default" w:ascii="Symbol" w:hAnsi="Symbol" w:eastAsia="Symbol" w:cs="Symbol"/>
      </w:rPr>
    </w:lvl>
    <w:lvl w:ilvl="7">
      <w:start w:val="1"/>
      <w:numFmt w:val="bullet"/>
      <w:isLgl w:val="false"/>
      <w:suff w:val="tab"/>
      <w:lvlText w:val="o"/>
      <w:lvlJc w:val="left"/>
      <w:pPr>
        <w:ind w:left="5760" w:hanging="360"/>
      </w:pPr>
      <w:rPr>
        <w:rFonts w:hint="default" w:ascii="Courier New" w:hAnsi="Courier New" w:eastAsia="Courier New" w:cs="Courier New"/>
      </w:rPr>
    </w:lvl>
    <w:lvl w:ilvl="8">
      <w:start w:val="1"/>
      <w:numFmt w:val="bullet"/>
      <w:isLgl w:val="false"/>
      <w:suff w:val="tab"/>
      <w:lvlText w:val="§"/>
      <w:lvlJc w:val="left"/>
      <w:pPr>
        <w:ind w:left="6480" w:hanging="360"/>
      </w:pPr>
      <w:rPr>
        <w:rFonts w:hint="default" w:ascii="Wingdings" w:hAnsi="Wingdings" w:eastAsia="Wingdings" w:cs="Wingdings"/>
      </w:rPr>
    </w:lvl>
  </w:abstractNum>
  <w:abstractNum w:abstractNumId="39">
    <w:multiLevelType w:val="hybridMultilevel"/>
    <w:lvl w:ilvl="0">
      <w:start w:val="1"/>
      <w:numFmt w:val="bullet"/>
      <w:isLgl w:val="false"/>
      <w:suff w:val="tab"/>
      <w:lvlText w:val=""/>
      <w:lvlJc w:val="left"/>
      <w:pPr>
        <w:ind w:left="1548" w:hanging="360"/>
      </w:pPr>
      <w:rPr>
        <w:rFonts w:hint="default" w:ascii="Symbol" w:hAnsi="Symbol"/>
      </w:rPr>
    </w:lvl>
    <w:lvl w:ilvl="1">
      <w:start w:val="1"/>
      <w:numFmt w:val="bullet"/>
      <w:isLgl w:val="false"/>
      <w:suff w:val="tab"/>
      <w:lvlText w:val="o"/>
      <w:lvlJc w:val="left"/>
      <w:pPr>
        <w:ind w:left="2268" w:hanging="360"/>
      </w:pPr>
      <w:rPr>
        <w:rFonts w:hint="default" w:ascii="Courier New" w:hAnsi="Courier New" w:cs="Courier New"/>
      </w:rPr>
    </w:lvl>
    <w:lvl w:ilvl="2">
      <w:start w:val="1"/>
      <w:numFmt w:val="bullet"/>
      <w:isLgl w:val="false"/>
      <w:suff w:val="tab"/>
      <w:lvlText w:val=""/>
      <w:lvlJc w:val="left"/>
      <w:pPr>
        <w:ind w:left="2988" w:hanging="360"/>
      </w:pPr>
      <w:rPr>
        <w:rFonts w:hint="default" w:ascii="Wingdings" w:hAnsi="Wingdings"/>
      </w:rPr>
    </w:lvl>
    <w:lvl w:ilvl="3">
      <w:start w:val="1"/>
      <w:numFmt w:val="bullet"/>
      <w:isLgl w:val="false"/>
      <w:suff w:val="tab"/>
      <w:lvlText w:val=""/>
      <w:lvlJc w:val="left"/>
      <w:pPr>
        <w:ind w:left="3708" w:hanging="360"/>
      </w:pPr>
      <w:rPr>
        <w:rFonts w:hint="default" w:ascii="Symbol" w:hAnsi="Symbol"/>
      </w:rPr>
    </w:lvl>
    <w:lvl w:ilvl="4">
      <w:start w:val="1"/>
      <w:numFmt w:val="bullet"/>
      <w:isLgl w:val="false"/>
      <w:suff w:val="tab"/>
      <w:lvlText w:val="o"/>
      <w:lvlJc w:val="left"/>
      <w:pPr>
        <w:ind w:left="4428" w:hanging="360"/>
      </w:pPr>
      <w:rPr>
        <w:rFonts w:hint="default" w:ascii="Courier New" w:hAnsi="Courier New" w:cs="Courier New"/>
      </w:rPr>
    </w:lvl>
    <w:lvl w:ilvl="5">
      <w:start w:val="1"/>
      <w:numFmt w:val="bullet"/>
      <w:isLgl w:val="false"/>
      <w:suff w:val="tab"/>
      <w:lvlText w:val=""/>
      <w:lvlJc w:val="left"/>
      <w:pPr>
        <w:ind w:left="5148" w:hanging="360"/>
      </w:pPr>
      <w:rPr>
        <w:rFonts w:hint="default" w:ascii="Wingdings" w:hAnsi="Wingdings"/>
      </w:rPr>
    </w:lvl>
    <w:lvl w:ilvl="6">
      <w:start w:val="1"/>
      <w:numFmt w:val="bullet"/>
      <w:isLgl w:val="false"/>
      <w:suff w:val="tab"/>
      <w:lvlText w:val=""/>
      <w:lvlJc w:val="left"/>
      <w:pPr>
        <w:ind w:left="5868" w:hanging="360"/>
      </w:pPr>
      <w:rPr>
        <w:rFonts w:hint="default" w:ascii="Symbol" w:hAnsi="Symbol"/>
      </w:rPr>
    </w:lvl>
    <w:lvl w:ilvl="7">
      <w:start w:val="1"/>
      <w:numFmt w:val="bullet"/>
      <w:isLgl w:val="false"/>
      <w:suff w:val="tab"/>
      <w:lvlText w:val="o"/>
      <w:lvlJc w:val="left"/>
      <w:pPr>
        <w:ind w:left="6588" w:hanging="360"/>
      </w:pPr>
      <w:rPr>
        <w:rFonts w:hint="default" w:ascii="Courier New" w:hAnsi="Courier New" w:cs="Courier New"/>
      </w:rPr>
    </w:lvl>
    <w:lvl w:ilvl="8">
      <w:start w:val="1"/>
      <w:numFmt w:val="bullet"/>
      <w:isLgl w:val="false"/>
      <w:suff w:val="tab"/>
      <w:lvlText w:val=""/>
      <w:lvlJc w:val="left"/>
      <w:pPr>
        <w:ind w:left="7308" w:hanging="360"/>
      </w:pPr>
      <w:rPr>
        <w:rFonts w:hint="default" w:ascii="Wingdings" w:hAnsi="Wingdings"/>
      </w:rPr>
    </w:lvl>
  </w:abstractNum>
  <w:abstractNum w:abstractNumId="40">
    <w:multiLevelType w:val="hybridMultilevel"/>
    <w:lvl w:ilvl="0">
      <w:start w:val="8"/>
      <w:numFmt w:val="bullet"/>
      <w:isLgl w:val="false"/>
      <w:suff w:val="tab"/>
      <w:lvlText w:val="-"/>
      <w:lvlJc w:val="left"/>
      <w:pPr>
        <w:ind w:left="720" w:hanging="360"/>
      </w:pPr>
      <w:rPr>
        <w:rFonts w:hint="default" w:ascii="Times New Roman" w:hAnsi="Times New Roman" w:eastAsia="Times New Roman" w:cs="Times New Roman"/>
      </w:rPr>
    </w:lvl>
    <w:lvl w:ilvl="1">
      <w:start w:val="1"/>
      <w:numFmt w:val="bullet"/>
      <w:isLgl w:val="false"/>
      <w:suff w:val="tab"/>
      <w:lvlText w:val="o"/>
      <w:lvlJc w:val="left"/>
      <w:pPr>
        <w:ind w:left="1440" w:hanging="360"/>
      </w:pPr>
      <w:rPr>
        <w:rFonts w:hint="default" w:ascii="Courier New" w:hAnsi="Courier New" w:cs="Courier New"/>
      </w:rPr>
    </w:lvl>
    <w:lvl w:ilvl="2">
      <w:start w:val="1"/>
      <w:numFmt w:val="bullet"/>
      <w:isLgl w:val="false"/>
      <w:suff w:val="tab"/>
      <w:lvlText w:val=""/>
      <w:lvlJc w:val="left"/>
      <w:pPr>
        <w:ind w:left="2160" w:hanging="360"/>
      </w:pPr>
      <w:rPr>
        <w:rFonts w:hint="default" w:ascii="Wingdings" w:hAnsi="Wingdings"/>
      </w:rPr>
    </w:lvl>
    <w:lvl w:ilvl="3">
      <w:start w:val="1"/>
      <w:numFmt w:val="bullet"/>
      <w:isLgl w:val="false"/>
      <w:suff w:val="tab"/>
      <w:lvlText w:val=""/>
      <w:lvlJc w:val="left"/>
      <w:pPr>
        <w:ind w:left="2880" w:hanging="360"/>
      </w:pPr>
      <w:rPr>
        <w:rFonts w:hint="default" w:ascii="Symbol" w:hAnsi="Symbol"/>
      </w:rPr>
    </w:lvl>
    <w:lvl w:ilvl="4">
      <w:start w:val="1"/>
      <w:numFmt w:val="bullet"/>
      <w:isLgl w:val="false"/>
      <w:suff w:val="tab"/>
      <w:lvlText w:val="o"/>
      <w:lvlJc w:val="left"/>
      <w:pPr>
        <w:ind w:left="3600" w:hanging="360"/>
      </w:pPr>
      <w:rPr>
        <w:rFonts w:hint="default" w:ascii="Courier New" w:hAnsi="Courier New" w:cs="Courier New"/>
      </w:rPr>
    </w:lvl>
    <w:lvl w:ilvl="5">
      <w:start w:val="1"/>
      <w:numFmt w:val="bullet"/>
      <w:isLgl w:val="false"/>
      <w:suff w:val="tab"/>
      <w:lvlText w:val=""/>
      <w:lvlJc w:val="left"/>
      <w:pPr>
        <w:ind w:left="4320" w:hanging="360"/>
      </w:pPr>
      <w:rPr>
        <w:rFonts w:hint="default" w:ascii="Wingdings" w:hAnsi="Wingdings"/>
      </w:rPr>
    </w:lvl>
    <w:lvl w:ilvl="6">
      <w:start w:val="1"/>
      <w:numFmt w:val="bullet"/>
      <w:isLgl w:val="false"/>
      <w:suff w:val="tab"/>
      <w:lvlText w:val=""/>
      <w:lvlJc w:val="left"/>
      <w:pPr>
        <w:ind w:left="5040" w:hanging="360"/>
      </w:pPr>
      <w:rPr>
        <w:rFonts w:hint="default" w:ascii="Symbol" w:hAnsi="Symbol"/>
      </w:rPr>
    </w:lvl>
    <w:lvl w:ilvl="7">
      <w:start w:val="1"/>
      <w:numFmt w:val="bullet"/>
      <w:isLgl w:val="false"/>
      <w:suff w:val="tab"/>
      <w:lvlText w:val="o"/>
      <w:lvlJc w:val="left"/>
      <w:pPr>
        <w:ind w:left="5760" w:hanging="360"/>
      </w:pPr>
      <w:rPr>
        <w:rFonts w:hint="default" w:ascii="Courier New" w:hAnsi="Courier New" w:cs="Courier New"/>
      </w:rPr>
    </w:lvl>
    <w:lvl w:ilvl="8">
      <w:start w:val="1"/>
      <w:numFmt w:val="bullet"/>
      <w:isLgl w:val="false"/>
      <w:suff w:val="tab"/>
      <w:lvlText w:val=""/>
      <w:lvlJc w:val="left"/>
      <w:pPr>
        <w:ind w:left="6480" w:hanging="360"/>
      </w:pPr>
      <w:rPr>
        <w:rFonts w:hint="default" w:ascii="Wingdings" w:hAnsi="Wingdings"/>
      </w:rPr>
    </w:lvl>
  </w:abstractNum>
  <w:abstractNum w:abstractNumId="41">
    <w:multiLevelType w:val="hybridMultilevel"/>
    <w:lvl w:ilvl="0">
      <w:start w:val="1"/>
      <w:numFmt w:val="decimal"/>
      <w:isLgl w:val="false"/>
      <w:suff w:val="tab"/>
      <w:lvlText w:val="%1)"/>
      <w:lvlJc w:val="left"/>
      <w:pPr>
        <w:ind w:left="1143" w:hanging="317"/>
        <w:jc w:val="right"/>
      </w:pPr>
      <w:rPr>
        <w:rFonts w:hint="default" w:ascii="Times New Roman" w:hAnsi="Times New Roman" w:eastAsia="Times New Roman" w:cs="Times New Roman"/>
        <w:b w:val="0"/>
        <w:bCs w:val="0"/>
        <w:i w:val="0"/>
        <w:iCs w:val="0"/>
        <w:sz w:val="24"/>
        <w:szCs w:val="24"/>
        <w:lang w:val="ru-RU" w:eastAsia="en-US" w:bidi="ar-SA"/>
      </w:rPr>
    </w:lvl>
    <w:lvl w:ilvl="1">
      <w:start w:val="1"/>
      <w:numFmt w:val="bullet"/>
      <w:isLgl w:val="false"/>
      <w:suff w:val="tab"/>
      <w:lvlText w:val="•"/>
      <w:lvlJc w:val="left"/>
      <w:pPr>
        <w:ind w:left="2016" w:hanging="317"/>
      </w:pPr>
      <w:rPr>
        <w:rFonts w:hint="default"/>
        <w:lang w:val="ru-RU" w:eastAsia="en-US" w:bidi="ar-SA"/>
      </w:rPr>
    </w:lvl>
    <w:lvl w:ilvl="2">
      <w:start w:val="1"/>
      <w:numFmt w:val="bullet"/>
      <w:isLgl w:val="false"/>
      <w:suff w:val="tab"/>
      <w:lvlText w:val="•"/>
      <w:lvlJc w:val="left"/>
      <w:pPr>
        <w:ind w:left="2893" w:hanging="317"/>
      </w:pPr>
      <w:rPr>
        <w:rFonts w:hint="default"/>
        <w:lang w:val="ru-RU" w:eastAsia="en-US" w:bidi="ar-SA"/>
      </w:rPr>
    </w:lvl>
    <w:lvl w:ilvl="3">
      <w:start w:val="1"/>
      <w:numFmt w:val="bullet"/>
      <w:isLgl w:val="false"/>
      <w:suff w:val="tab"/>
      <w:lvlText w:val="•"/>
      <w:lvlJc w:val="left"/>
      <w:pPr>
        <w:ind w:left="3769" w:hanging="317"/>
      </w:pPr>
      <w:rPr>
        <w:rFonts w:hint="default"/>
        <w:lang w:val="ru-RU" w:eastAsia="en-US" w:bidi="ar-SA"/>
      </w:rPr>
    </w:lvl>
    <w:lvl w:ilvl="4">
      <w:start w:val="1"/>
      <w:numFmt w:val="bullet"/>
      <w:isLgl w:val="false"/>
      <w:suff w:val="tab"/>
      <w:lvlText w:val="•"/>
      <w:lvlJc w:val="left"/>
      <w:pPr>
        <w:ind w:left="4646" w:hanging="317"/>
      </w:pPr>
      <w:rPr>
        <w:rFonts w:hint="default"/>
        <w:lang w:val="ru-RU" w:eastAsia="en-US" w:bidi="ar-SA"/>
      </w:rPr>
    </w:lvl>
    <w:lvl w:ilvl="5">
      <w:start w:val="1"/>
      <w:numFmt w:val="bullet"/>
      <w:isLgl w:val="false"/>
      <w:suff w:val="tab"/>
      <w:lvlText w:val="•"/>
      <w:lvlJc w:val="left"/>
      <w:pPr>
        <w:ind w:left="5523" w:hanging="317"/>
      </w:pPr>
      <w:rPr>
        <w:rFonts w:hint="default"/>
        <w:lang w:val="ru-RU" w:eastAsia="en-US" w:bidi="ar-SA"/>
      </w:rPr>
    </w:lvl>
    <w:lvl w:ilvl="6">
      <w:start w:val="1"/>
      <w:numFmt w:val="bullet"/>
      <w:isLgl w:val="false"/>
      <w:suff w:val="tab"/>
      <w:lvlText w:val="•"/>
      <w:lvlJc w:val="left"/>
      <w:pPr>
        <w:ind w:left="6399" w:hanging="317"/>
      </w:pPr>
      <w:rPr>
        <w:rFonts w:hint="default"/>
        <w:lang w:val="ru-RU" w:eastAsia="en-US" w:bidi="ar-SA"/>
      </w:rPr>
    </w:lvl>
    <w:lvl w:ilvl="7">
      <w:start w:val="1"/>
      <w:numFmt w:val="bullet"/>
      <w:isLgl w:val="false"/>
      <w:suff w:val="tab"/>
      <w:lvlText w:val="•"/>
      <w:lvlJc w:val="left"/>
      <w:pPr>
        <w:ind w:left="7276" w:hanging="317"/>
      </w:pPr>
      <w:rPr>
        <w:rFonts w:hint="default"/>
        <w:lang w:val="ru-RU" w:eastAsia="en-US" w:bidi="ar-SA"/>
      </w:rPr>
    </w:lvl>
    <w:lvl w:ilvl="8">
      <w:start w:val="1"/>
      <w:numFmt w:val="bullet"/>
      <w:isLgl w:val="false"/>
      <w:suff w:val="tab"/>
      <w:lvlText w:val="•"/>
      <w:lvlJc w:val="left"/>
      <w:pPr>
        <w:ind w:left="8153" w:hanging="317"/>
      </w:pPr>
      <w:rPr>
        <w:rFonts w:hint="default"/>
        <w:lang w:val="ru-RU" w:eastAsia="en-US" w:bidi="ar-SA"/>
      </w:rPr>
    </w:lvl>
  </w:abstractNum>
  <w:abstractNum w:abstractNumId="42">
    <w:multiLevelType w:val="hybridMultilevel"/>
    <w:lvl w:ilvl="0">
      <w:start w:val="1"/>
      <w:numFmt w:val="bullet"/>
      <w:isLgl w:val="false"/>
      <w:suff w:val="tab"/>
      <w:lvlText w:val="-"/>
      <w:lvlJc w:val="left"/>
      <w:pPr>
        <w:ind w:left="118" w:hanging="140"/>
      </w:pPr>
      <w:rPr>
        <w:rFonts w:hint="default" w:ascii="Times New Roman" w:hAnsi="Times New Roman" w:eastAsia="Times New Roman" w:cs="Times New Roman"/>
        <w:b w:val="0"/>
        <w:bCs w:val="0"/>
        <w:i w:val="0"/>
        <w:iCs w:val="0"/>
        <w:position w:val="2"/>
        <w:sz w:val="24"/>
        <w:szCs w:val="24"/>
        <w:lang w:val="ru-RU" w:eastAsia="en-US" w:bidi="ar-SA"/>
      </w:rPr>
    </w:lvl>
    <w:lvl w:ilvl="1">
      <w:start w:val="1"/>
      <w:numFmt w:val="bullet"/>
      <w:isLgl w:val="false"/>
      <w:suff w:val="tab"/>
      <w:lvlText w:val="•"/>
      <w:lvlJc w:val="left"/>
      <w:pPr>
        <w:ind w:left="1094" w:hanging="140"/>
      </w:pPr>
      <w:rPr>
        <w:rFonts w:hint="default"/>
        <w:lang w:val="ru-RU" w:eastAsia="en-US" w:bidi="ar-SA"/>
      </w:rPr>
    </w:lvl>
    <w:lvl w:ilvl="2">
      <w:start w:val="1"/>
      <w:numFmt w:val="bullet"/>
      <w:isLgl w:val="false"/>
      <w:suff w:val="tab"/>
      <w:lvlText w:val="•"/>
      <w:lvlJc w:val="left"/>
      <w:pPr>
        <w:ind w:left="2069" w:hanging="140"/>
      </w:pPr>
      <w:rPr>
        <w:rFonts w:hint="default"/>
        <w:lang w:val="ru-RU" w:eastAsia="en-US" w:bidi="ar-SA"/>
      </w:rPr>
    </w:lvl>
    <w:lvl w:ilvl="3">
      <w:start w:val="1"/>
      <w:numFmt w:val="bullet"/>
      <w:isLgl w:val="false"/>
      <w:suff w:val="tab"/>
      <w:lvlText w:val="•"/>
      <w:lvlJc w:val="left"/>
      <w:pPr>
        <w:ind w:left="3043" w:hanging="140"/>
      </w:pPr>
      <w:rPr>
        <w:rFonts w:hint="default"/>
        <w:lang w:val="ru-RU" w:eastAsia="en-US" w:bidi="ar-SA"/>
      </w:rPr>
    </w:lvl>
    <w:lvl w:ilvl="4">
      <w:start w:val="1"/>
      <w:numFmt w:val="bullet"/>
      <w:isLgl w:val="false"/>
      <w:suff w:val="tab"/>
      <w:lvlText w:val="•"/>
      <w:lvlJc w:val="left"/>
      <w:pPr>
        <w:ind w:left="4018" w:hanging="140"/>
      </w:pPr>
      <w:rPr>
        <w:rFonts w:hint="default"/>
        <w:lang w:val="ru-RU" w:eastAsia="en-US" w:bidi="ar-SA"/>
      </w:rPr>
    </w:lvl>
    <w:lvl w:ilvl="5">
      <w:start w:val="1"/>
      <w:numFmt w:val="bullet"/>
      <w:isLgl w:val="false"/>
      <w:suff w:val="tab"/>
      <w:lvlText w:val="•"/>
      <w:lvlJc w:val="left"/>
      <w:pPr>
        <w:ind w:left="4993" w:hanging="140"/>
      </w:pPr>
      <w:rPr>
        <w:rFonts w:hint="default"/>
        <w:lang w:val="ru-RU" w:eastAsia="en-US" w:bidi="ar-SA"/>
      </w:rPr>
    </w:lvl>
    <w:lvl w:ilvl="6">
      <w:start w:val="1"/>
      <w:numFmt w:val="bullet"/>
      <w:isLgl w:val="false"/>
      <w:suff w:val="tab"/>
      <w:lvlText w:val="•"/>
      <w:lvlJc w:val="left"/>
      <w:pPr>
        <w:ind w:left="5967" w:hanging="140"/>
      </w:pPr>
      <w:rPr>
        <w:rFonts w:hint="default"/>
        <w:lang w:val="ru-RU" w:eastAsia="en-US" w:bidi="ar-SA"/>
      </w:rPr>
    </w:lvl>
    <w:lvl w:ilvl="7">
      <w:start w:val="1"/>
      <w:numFmt w:val="bullet"/>
      <w:isLgl w:val="false"/>
      <w:suff w:val="tab"/>
      <w:lvlText w:val="•"/>
      <w:lvlJc w:val="left"/>
      <w:pPr>
        <w:ind w:left="6942" w:hanging="140"/>
      </w:pPr>
      <w:rPr>
        <w:rFonts w:hint="default"/>
        <w:lang w:val="ru-RU" w:eastAsia="en-US" w:bidi="ar-SA"/>
      </w:rPr>
    </w:lvl>
    <w:lvl w:ilvl="8">
      <w:start w:val="1"/>
      <w:numFmt w:val="bullet"/>
      <w:isLgl w:val="false"/>
      <w:suff w:val="tab"/>
      <w:lvlText w:val="•"/>
      <w:lvlJc w:val="left"/>
      <w:pPr>
        <w:ind w:left="7917" w:hanging="140"/>
      </w:pPr>
      <w:rPr>
        <w:rFonts w:hint="default"/>
        <w:lang w:val="ru-RU" w:eastAsia="en-US" w:bidi="ar-SA"/>
      </w:rPr>
    </w:lvl>
  </w:abstractNum>
  <w:abstractNum w:abstractNumId="43">
    <w:multiLevelType w:val="hybridMultilevel"/>
    <w:lvl w:ilvl="0">
      <w:start w:val="1"/>
      <w:numFmt w:val="bullet"/>
      <w:isLgl w:val="false"/>
      <w:suff w:val="tab"/>
      <w:lvlText w:val="-"/>
      <w:lvlJc w:val="left"/>
      <w:pPr/>
    </w:lvl>
    <w:lvl w:ilvl="1">
      <w:start w:val="1"/>
      <w:numFmt w:val="bullet"/>
      <w:isLgl w:val="false"/>
      <w:suff w:val="tab"/>
      <w:lvlText w:val="o"/>
      <w:lvlJc w:val="left"/>
      <w:pPr>
        <w:ind w:left="1440" w:hanging="360"/>
      </w:pPr>
      <w:rPr>
        <w:rFonts w:hint="default" w:ascii="Courier New" w:hAnsi="Courier New" w:eastAsia="Courier New" w:cs="Courier New"/>
      </w:rPr>
    </w:lvl>
    <w:lvl w:ilvl="2">
      <w:start w:val="1"/>
      <w:numFmt w:val="bullet"/>
      <w:isLgl w:val="false"/>
      <w:suff w:val="tab"/>
      <w:lvlText w:val="§"/>
      <w:lvlJc w:val="left"/>
      <w:pPr>
        <w:ind w:left="2160" w:hanging="360"/>
      </w:pPr>
      <w:rPr>
        <w:rFonts w:hint="default" w:ascii="Wingdings" w:hAnsi="Wingdings" w:eastAsia="Wingdings" w:cs="Wingdings"/>
      </w:rPr>
    </w:lvl>
    <w:lvl w:ilvl="3">
      <w:start w:val="1"/>
      <w:numFmt w:val="bullet"/>
      <w:isLgl w:val="false"/>
      <w:suff w:val="tab"/>
      <w:lvlText w:val="·"/>
      <w:lvlJc w:val="left"/>
      <w:pPr>
        <w:ind w:left="2880" w:hanging="360"/>
      </w:pPr>
      <w:rPr>
        <w:rFonts w:hint="default" w:ascii="Symbol" w:hAnsi="Symbol" w:eastAsia="Symbol" w:cs="Symbol"/>
      </w:rPr>
    </w:lvl>
    <w:lvl w:ilvl="4">
      <w:start w:val="1"/>
      <w:numFmt w:val="bullet"/>
      <w:isLgl w:val="false"/>
      <w:suff w:val="tab"/>
      <w:lvlText w:val="o"/>
      <w:lvlJc w:val="left"/>
      <w:pPr>
        <w:ind w:left="3600" w:hanging="360"/>
      </w:pPr>
      <w:rPr>
        <w:rFonts w:hint="default" w:ascii="Courier New" w:hAnsi="Courier New" w:eastAsia="Courier New" w:cs="Courier New"/>
      </w:rPr>
    </w:lvl>
    <w:lvl w:ilvl="5">
      <w:start w:val="1"/>
      <w:numFmt w:val="bullet"/>
      <w:isLgl w:val="false"/>
      <w:suff w:val="tab"/>
      <w:lvlText w:val="§"/>
      <w:lvlJc w:val="left"/>
      <w:pPr>
        <w:ind w:left="4320" w:hanging="360"/>
      </w:pPr>
      <w:rPr>
        <w:rFonts w:hint="default" w:ascii="Wingdings" w:hAnsi="Wingdings" w:eastAsia="Wingdings" w:cs="Wingdings"/>
      </w:rPr>
    </w:lvl>
    <w:lvl w:ilvl="6">
      <w:start w:val="1"/>
      <w:numFmt w:val="bullet"/>
      <w:isLgl w:val="false"/>
      <w:suff w:val="tab"/>
      <w:lvlText w:val="·"/>
      <w:lvlJc w:val="left"/>
      <w:pPr>
        <w:ind w:left="5040" w:hanging="360"/>
      </w:pPr>
      <w:rPr>
        <w:rFonts w:hint="default" w:ascii="Symbol" w:hAnsi="Symbol" w:eastAsia="Symbol" w:cs="Symbol"/>
      </w:rPr>
    </w:lvl>
    <w:lvl w:ilvl="7">
      <w:start w:val="1"/>
      <w:numFmt w:val="bullet"/>
      <w:isLgl w:val="false"/>
      <w:suff w:val="tab"/>
      <w:lvlText w:val="o"/>
      <w:lvlJc w:val="left"/>
      <w:pPr>
        <w:ind w:left="5760" w:hanging="360"/>
      </w:pPr>
      <w:rPr>
        <w:rFonts w:hint="default" w:ascii="Courier New" w:hAnsi="Courier New" w:eastAsia="Courier New" w:cs="Courier New"/>
      </w:rPr>
    </w:lvl>
    <w:lvl w:ilvl="8">
      <w:start w:val="1"/>
      <w:numFmt w:val="bullet"/>
      <w:isLgl w:val="false"/>
      <w:suff w:val="tab"/>
      <w:lvlText w:val="§"/>
      <w:lvlJc w:val="left"/>
      <w:pPr>
        <w:ind w:left="6480" w:hanging="360"/>
      </w:pPr>
      <w:rPr>
        <w:rFonts w:hint="default" w:ascii="Wingdings" w:hAnsi="Wingdings" w:eastAsia="Wingdings" w:cs="Wingdings"/>
      </w:rPr>
    </w:lvl>
  </w:abstractNum>
  <w:abstractNum w:abstractNumId="44">
    <w:multiLevelType w:val="hybridMultilevel"/>
    <w:lvl w:ilvl="0">
      <w:start w:val="1"/>
      <w:numFmt w:val="decimal"/>
      <w:isLgl w:val="false"/>
      <w:suff w:val="tab"/>
      <w:lvlText w:val="%1."/>
      <w:lvlJc w:val="left"/>
      <w:pPr/>
    </w:lvl>
    <w:lvl w:ilvl="1">
      <w:start w:val="1"/>
      <w:numFmt w:val="bullet"/>
      <w:isLgl w:val="false"/>
      <w:suff w:val="tab"/>
      <w:lvlText w:val="o"/>
      <w:lvlJc w:val="left"/>
      <w:pPr>
        <w:ind w:left="1440" w:hanging="360"/>
      </w:pPr>
      <w:rPr>
        <w:rFonts w:hint="default" w:ascii="Courier New" w:hAnsi="Courier New" w:eastAsia="Courier New" w:cs="Courier New"/>
      </w:rPr>
    </w:lvl>
    <w:lvl w:ilvl="2">
      <w:start w:val="1"/>
      <w:numFmt w:val="bullet"/>
      <w:isLgl w:val="false"/>
      <w:suff w:val="tab"/>
      <w:lvlText w:val="§"/>
      <w:lvlJc w:val="left"/>
      <w:pPr>
        <w:ind w:left="2160" w:hanging="360"/>
      </w:pPr>
      <w:rPr>
        <w:rFonts w:hint="default" w:ascii="Wingdings" w:hAnsi="Wingdings" w:eastAsia="Wingdings" w:cs="Wingdings"/>
      </w:rPr>
    </w:lvl>
    <w:lvl w:ilvl="3">
      <w:start w:val="1"/>
      <w:numFmt w:val="bullet"/>
      <w:isLgl w:val="false"/>
      <w:suff w:val="tab"/>
      <w:lvlText w:val="·"/>
      <w:lvlJc w:val="left"/>
      <w:pPr>
        <w:ind w:left="2880" w:hanging="360"/>
      </w:pPr>
      <w:rPr>
        <w:rFonts w:hint="default" w:ascii="Symbol" w:hAnsi="Symbol" w:eastAsia="Symbol" w:cs="Symbol"/>
      </w:rPr>
    </w:lvl>
    <w:lvl w:ilvl="4">
      <w:start w:val="1"/>
      <w:numFmt w:val="bullet"/>
      <w:isLgl w:val="false"/>
      <w:suff w:val="tab"/>
      <w:lvlText w:val="o"/>
      <w:lvlJc w:val="left"/>
      <w:pPr>
        <w:ind w:left="3600" w:hanging="360"/>
      </w:pPr>
      <w:rPr>
        <w:rFonts w:hint="default" w:ascii="Courier New" w:hAnsi="Courier New" w:eastAsia="Courier New" w:cs="Courier New"/>
      </w:rPr>
    </w:lvl>
    <w:lvl w:ilvl="5">
      <w:start w:val="1"/>
      <w:numFmt w:val="bullet"/>
      <w:isLgl w:val="false"/>
      <w:suff w:val="tab"/>
      <w:lvlText w:val="§"/>
      <w:lvlJc w:val="left"/>
      <w:pPr>
        <w:ind w:left="4320" w:hanging="360"/>
      </w:pPr>
      <w:rPr>
        <w:rFonts w:hint="default" w:ascii="Wingdings" w:hAnsi="Wingdings" w:eastAsia="Wingdings" w:cs="Wingdings"/>
      </w:rPr>
    </w:lvl>
    <w:lvl w:ilvl="6">
      <w:start w:val="1"/>
      <w:numFmt w:val="bullet"/>
      <w:isLgl w:val="false"/>
      <w:suff w:val="tab"/>
      <w:lvlText w:val="·"/>
      <w:lvlJc w:val="left"/>
      <w:pPr>
        <w:ind w:left="5040" w:hanging="360"/>
      </w:pPr>
      <w:rPr>
        <w:rFonts w:hint="default" w:ascii="Symbol" w:hAnsi="Symbol" w:eastAsia="Symbol" w:cs="Symbol"/>
      </w:rPr>
    </w:lvl>
    <w:lvl w:ilvl="7">
      <w:start w:val="1"/>
      <w:numFmt w:val="bullet"/>
      <w:isLgl w:val="false"/>
      <w:suff w:val="tab"/>
      <w:lvlText w:val="o"/>
      <w:lvlJc w:val="left"/>
      <w:pPr>
        <w:ind w:left="5760" w:hanging="360"/>
      </w:pPr>
      <w:rPr>
        <w:rFonts w:hint="default" w:ascii="Courier New" w:hAnsi="Courier New" w:eastAsia="Courier New" w:cs="Courier New"/>
      </w:rPr>
    </w:lvl>
    <w:lvl w:ilvl="8">
      <w:start w:val="1"/>
      <w:numFmt w:val="bullet"/>
      <w:isLgl w:val="false"/>
      <w:suff w:val="tab"/>
      <w:lvlText w:val="§"/>
      <w:lvlJc w:val="left"/>
      <w:pPr>
        <w:ind w:left="6480" w:hanging="360"/>
      </w:pPr>
      <w:rPr>
        <w:rFonts w:hint="default" w:ascii="Wingdings" w:hAnsi="Wingdings" w:eastAsia="Wingdings" w:cs="Wingdings"/>
      </w:rPr>
    </w:lvl>
  </w:abstractNum>
  <w:num w:numId="1">
    <w:abstractNumId w:val="35"/>
  </w:num>
  <w:num w:numId="2">
    <w:abstractNumId w:val="32"/>
  </w:num>
  <w:num w:numId="3">
    <w:abstractNumId w:val="4"/>
  </w:num>
  <w:num w:numId="4">
    <w:abstractNumId w:val="7"/>
  </w:num>
  <w:num w:numId="5">
    <w:abstractNumId w:val="42"/>
  </w:num>
  <w:num w:numId="6">
    <w:abstractNumId w:val="27"/>
  </w:num>
  <w:num w:numId="7">
    <w:abstractNumId w:val="6"/>
  </w:num>
  <w:num w:numId="8">
    <w:abstractNumId w:val="30"/>
  </w:num>
  <w:num w:numId="9">
    <w:abstractNumId w:val="3"/>
  </w:num>
  <w:num w:numId="10">
    <w:abstractNumId w:val="41"/>
  </w:num>
  <w:num w:numId="11">
    <w:abstractNumId w:val="5"/>
  </w:num>
  <w:num w:numId="12">
    <w:abstractNumId w:val="19"/>
  </w:num>
  <w:num w:numId="13">
    <w:abstractNumId w:val="15"/>
  </w:num>
  <w:num w:numId="14">
    <w:abstractNumId w:val="11"/>
  </w:num>
  <w:num w:numId="15">
    <w:abstractNumId w:val="10"/>
  </w:num>
  <w:num w:numId="16">
    <w:abstractNumId w:val="14"/>
  </w:num>
  <w:num w:numId="1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4"/>
    <w:lvlOverride w:ilvl="0">
      <w:lvl w:ilvl="0">
        <w:start w:val="1"/>
        <w:numFmt w:val="decimal"/>
        <w:pStyle w:val="1227"/>
        <w:isLgl w:val="false"/>
        <w:suff w:val="tab"/>
        <w:lvlText w:val="Глава %1"/>
        <w:lvlJc w:val="left"/>
        <w:pPr>
          <w:ind w:left="0" w:firstLine="0"/>
        </w:pPr>
        <w:rPr>
          <w:rFonts w:hint="default"/>
        </w:rPr>
      </w:lvl>
    </w:lvlOverride>
    <w:lvlOverride w:ilvl="1">
      <w:lvl w:ilvl="1">
        <w:start w:val="1"/>
        <w:numFmt w:val="decimal"/>
        <w:pStyle w:val="1228"/>
        <w:isLgl w:val="false"/>
        <w:suff w:val="tab"/>
        <w:lvlText w:val="%1.%2"/>
        <w:lvlJc w:val="left"/>
        <w:pPr>
          <w:ind w:left="0" w:firstLine="284"/>
          <w:tabs>
            <w:tab w:val="num" w:pos="567" w:leader="none"/>
          </w:tabs>
        </w:pPr>
        <w:rPr>
          <w:rFonts w:hint="default"/>
        </w:rPr>
      </w:lvl>
    </w:lvlOverride>
    <w:lvlOverride w:ilvl="2">
      <w:lvl w:ilvl="2">
        <w:start w:val="1"/>
        <w:numFmt w:val="decimal"/>
        <w:pStyle w:val="1229"/>
        <w:isLgl w:val="false"/>
        <w:suff w:val="tab"/>
        <w:lvlText w:val="%1.%2.%3"/>
        <w:lvlJc w:val="left"/>
        <w:pPr>
          <w:ind w:left="0" w:firstLine="567"/>
        </w:pPr>
        <w:rPr>
          <w:rFonts w:hint="default" w:ascii="Times New Roman" w:hAnsi="Times New Roman"/>
          <w:i w:val="0"/>
          <w:iCs w:val="0"/>
          <w:caps w:val="0"/>
          <w:smallCaps w:val="0"/>
          <w:strike w:val="0"/>
          <w:vanish w:val="0"/>
          <w:spacing w:val="0"/>
          <w:position w:val="0"/>
          <w:u w:val="none"/>
          <w:vertAlign w:val="baseline"/>
          <w14:ligatures w14:val="none"/>
        </w:rPr>
      </w:lvl>
    </w:lvlOverride>
    <w:lvlOverride w:ilvl="3">
      <w:lvl w:ilvl="3">
        <w:start w:val="1"/>
        <w:numFmt w:val="decimal"/>
        <w:isLgl w:val="false"/>
        <w:suff w:val="tab"/>
        <w:lvlText w:val="%1.%2.%3.%4"/>
        <w:lvlJc w:val="left"/>
        <w:pPr>
          <w:ind w:left="0" w:firstLine="0"/>
        </w:pPr>
        <w:rPr>
          <w:rFonts w:hint="default"/>
        </w:rPr>
      </w:lvl>
    </w:lvlOverride>
    <w:lvlOverride w:ilvl="4">
      <w:lvl w:ilvl="4">
        <w:start w:val="1"/>
        <w:numFmt w:val="decimal"/>
        <w:isLgl w:val="false"/>
        <w:suff w:val="tab"/>
        <w:lvlText w:val="%1.%2.%3.%4.%5"/>
        <w:lvlJc w:val="left"/>
        <w:pPr>
          <w:ind w:left="0" w:firstLine="0"/>
        </w:pPr>
        <w:rPr>
          <w:rFonts w:hint="default"/>
        </w:rPr>
      </w:lvl>
    </w:lvlOverride>
    <w:lvlOverride w:ilvl="5">
      <w:lvl w:ilvl="5">
        <w:start w:val="1"/>
        <w:numFmt w:val="decimal"/>
        <w:isLgl w:val="false"/>
        <w:suff w:val="tab"/>
        <w:lvlText w:val="%1.%2.%3.%4.%5.%6"/>
        <w:lvlJc w:val="left"/>
        <w:pPr>
          <w:ind w:left="0" w:firstLine="0"/>
        </w:pPr>
        <w:rPr>
          <w:rFonts w:hint="default"/>
        </w:rPr>
      </w:lvl>
    </w:lvlOverride>
    <w:lvlOverride w:ilvl="6">
      <w:lvl w:ilvl="6">
        <w:start w:val="1"/>
        <w:numFmt w:val="decimal"/>
        <w:isLgl w:val="false"/>
        <w:suff w:val="tab"/>
        <w:lvlText w:val="%1.%2.%3.%4.%5.%6.%7"/>
        <w:lvlJc w:val="left"/>
        <w:pPr>
          <w:ind w:left="0" w:firstLine="0"/>
        </w:pPr>
        <w:rPr>
          <w:rFonts w:hint="default"/>
        </w:rPr>
      </w:lvl>
    </w:lvlOverride>
    <w:lvlOverride w:ilvl="7">
      <w:lvl w:ilvl="7">
        <w:start w:val="1"/>
        <w:numFmt w:val="decimal"/>
        <w:isLgl w:val="false"/>
        <w:suff w:val="tab"/>
        <w:lvlText w:val="%1.%2.%3.%4.%5.%6.%7.%8"/>
        <w:lvlJc w:val="left"/>
        <w:pPr>
          <w:ind w:left="0" w:firstLine="0"/>
        </w:pPr>
        <w:rPr>
          <w:rFonts w:hint="default"/>
        </w:rPr>
      </w:lvl>
    </w:lvlOverride>
    <w:lvlOverride w:ilvl="8">
      <w:lvl w:ilvl="8">
        <w:start w:val="1"/>
        <w:numFmt w:val="decimal"/>
        <w:isLgl w:val="false"/>
        <w:suff w:val="tab"/>
        <w:lvlText w:val="%1.%2.%3.%4.%5.%6.%7.%8.%9"/>
        <w:lvlJc w:val="left"/>
        <w:pPr>
          <w:ind w:left="0" w:firstLine="0"/>
        </w:pPr>
        <w:rPr>
          <w:rFonts w:hint="default"/>
        </w:rPr>
      </w:lvl>
    </w:lvlOverride>
  </w:num>
  <w:num w:numId="19">
    <w:abstractNumId w:val="9"/>
  </w:num>
  <w:num w:numId="20">
    <w:abstractNumId w:val="18"/>
  </w:num>
  <w:num w:numId="21">
    <w:abstractNumId w:val="8"/>
  </w:num>
  <w:num w:numId="22">
    <w:abstractNumId w:val="20"/>
  </w:num>
  <w:num w:numId="23">
    <w:abstractNumId w:val="29"/>
  </w:num>
  <w:num w:numId="24">
    <w:abstractNumId w:val="44"/>
  </w:num>
  <w:num w:numId="25">
    <w:abstractNumId w:val="43"/>
  </w:num>
  <w:num w:numId="26">
    <w:abstractNumId w:val="12"/>
  </w:num>
  <w:num w:numId="27">
    <w:abstractNumId w:val="38"/>
  </w:num>
  <w:num w:numId="28">
    <w:abstractNumId w:val="2"/>
  </w:num>
  <w:num w:numId="29">
    <w:abstractNumId w:val="1"/>
  </w:num>
  <w:num w:numId="30">
    <w:abstractNumId w:val="21"/>
  </w:num>
  <w:num w:numId="31">
    <w:abstractNumId w:val="0"/>
  </w:num>
  <w:num w:numId="32">
    <w:abstractNumId w:val="23"/>
  </w:num>
  <w:num w:numId="33">
    <w:abstractNumId w:val="28"/>
  </w:num>
  <w:num w:numId="34">
    <w:abstractNumId w:val="40"/>
  </w:num>
  <w:num w:numId="35">
    <w:abstractNumId w:val="26"/>
  </w:num>
  <w:num w:numId="36">
    <w:abstractNumId w:val="37"/>
  </w:num>
  <w:num w:numId="37">
    <w:abstractNumId w:val="13"/>
  </w:num>
  <w:num w:numId="38">
    <w:abstractNumId w:val="16"/>
  </w:num>
  <w:num w:numId="39">
    <w:abstractNumId w:val="34"/>
  </w:num>
  <w:num w:numId="40">
    <w:abstractNumId w:val="39"/>
  </w:num>
  <w:num w:numId="41">
    <w:abstractNumId w:val="22"/>
  </w:num>
  <w:num w:numId="42">
    <w:abstractNumId w:val="25"/>
  </w:num>
  <w:num w:numId="43">
    <w:abstractNumId w:val="24"/>
  </w:num>
  <w:num w:numId="44">
    <w:abstractNumId w:val="33"/>
  </w:num>
  <w:num w:numId="45">
    <w:abstractNumId w:val="17"/>
  </w:num>
  <w:num w:numId="46">
    <w:abstractNumId w:val="36"/>
  </w:num>
  <w:num w:numId="47">
    <w:abstractNumId w:val="3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trackRevisions w:val="false"/>
  <w:documentProtection/>
  <w:defaultTabStop w:val="720"/>
  <w:characterSpacingControl w:val="doNotCompress"/>
  <w:footnotePr>
    <w:pos w:val="pageBottom"/>
    <w:numFmt w:val="decimal"/>
    <w:numStart w:val="1"/>
    <w:numRestart w:val="continuous"/>
    <w:footnote w:id="-1"/>
    <w:footnote w:id="0"/>
  </w:footnotePr>
  <w:endnotePr>
    <w:pos w:val="docEnd"/>
    <w:numFmt w:val="lowerRoman"/>
    <w:numStart w:val="1"/>
    <w:numRestart w:val="continuous"/>
    <w:endnote w:id="-1"/>
    <w:endnote w:id="0"/>
  </w:endnotePr>
  <w:compat>
    <w:ulTrailSpace w:val="tru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m:mathPr>
    <m:mathFont m:val="Cambria Math"/>
    <m:brkBin m:val="before"/>
    <m:brkBinSub m:val="--"/>
    <m:smallFrac m:val="false"/>
    <m:dispDef m:val="true"/>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strokecolor="00000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hint="default" w:asciiTheme="minorHAnsi" w:hAnsiTheme="minorHAnsi" w:eastAsiaTheme="minorHAnsi" w:cstheme="minorBidi"/>
        <w:sz w:val="22"/>
        <w:szCs w:val="22"/>
        <w:lang w:val="en-US" w:eastAsia="en-US" w:bidi="ar-SA"/>
      </w:rPr>
    </w:rPrDefault>
    <w:pPrDefault>
      <w:pPr>
        <w:widowControl w:val="off"/>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character" w:styleId="1076">
    <w:name w:val="Heading 1 Char"/>
    <w:basedOn w:val="1234"/>
    <w:link w:val="1227"/>
    <w:uiPriority w:val="9"/>
    <w:rPr>
      <w:rFonts w:ascii="Arial" w:hAnsi="Arial" w:eastAsia="Arial" w:cs="Arial"/>
      <w:sz w:val="40"/>
      <w:szCs w:val="40"/>
    </w:rPr>
  </w:style>
  <w:style w:type="character" w:styleId="1077">
    <w:name w:val="Heading 2 Char"/>
    <w:basedOn w:val="1234"/>
    <w:link w:val="1228"/>
    <w:uiPriority w:val="9"/>
    <w:rPr>
      <w:rFonts w:ascii="Arial" w:hAnsi="Arial" w:eastAsia="Arial" w:cs="Arial"/>
      <w:sz w:val="34"/>
    </w:rPr>
  </w:style>
  <w:style w:type="character" w:styleId="1078">
    <w:name w:val="Heading 3 Char"/>
    <w:basedOn w:val="1234"/>
    <w:link w:val="1229"/>
    <w:uiPriority w:val="9"/>
    <w:rPr>
      <w:rFonts w:ascii="Arial" w:hAnsi="Arial" w:eastAsia="Arial" w:cs="Arial"/>
      <w:sz w:val="30"/>
      <w:szCs w:val="30"/>
    </w:rPr>
  </w:style>
  <w:style w:type="character" w:styleId="1079">
    <w:name w:val="Heading 4 Char"/>
    <w:basedOn w:val="1234"/>
    <w:link w:val="1230"/>
    <w:uiPriority w:val="9"/>
    <w:rPr>
      <w:rFonts w:ascii="Arial" w:hAnsi="Arial" w:eastAsia="Arial" w:cs="Arial"/>
      <w:b/>
      <w:bCs/>
      <w:sz w:val="26"/>
      <w:szCs w:val="26"/>
    </w:rPr>
  </w:style>
  <w:style w:type="character" w:styleId="1080">
    <w:name w:val="Heading 5 Char"/>
    <w:basedOn w:val="1234"/>
    <w:link w:val="1231"/>
    <w:uiPriority w:val="9"/>
    <w:rPr>
      <w:rFonts w:ascii="Arial" w:hAnsi="Arial" w:eastAsia="Arial" w:cs="Arial"/>
      <w:b/>
      <w:bCs/>
      <w:sz w:val="24"/>
      <w:szCs w:val="24"/>
    </w:rPr>
  </w:style>
  <w:style w:type="character" w:styleId="1081">
    <w:name w:val="Heading 6 Char"/>
    <w:basedOn w:val="1234"/>
    <w:link w:val="1232"/>
    <w:uiPriority w:val="9"/>
    <w:rPr>
      <w:rFonts w:ascii="Arial" w:hAnsi="Arial" w:eastAsia="Arial" w:cs="Arial"/>
      <w:b/>
      <w:bCs/>
      <w:sz w:val="22"/>
      <w:szCs w:val="22"/>
    </w:rPr>
  </w:style>
  <w:style w:type="paragraph" w:styleId="1082">
    <w:name w:val="Heading 7"/>
    <w:basedOn w:val="1226"/>
    <w:next w:val="1226"/>
    <w:link w:val="1083"/>
    <w:uiPriority w:val="9"/>
    <w:unhideWhenUsed/>
    <w:qFormat/>
    <w:pPr>
      <w:keepLines/>
      <w:keepNext/>
      <w:spacing w:before="320" w:after="200"/>
      <w:outlineLvl w:val="6"/>
    </w:pPr>
    <w:rPr>
      <w:rFonts w:ascii="Arial" w:hAnsi="Arial" w:eastAsia="Arial" w:cs="Arial"/>
      <w:b/>
      <w:bCs/>
      <w:i/>
      <w:iCs/>
      <w:sz w:val="22"/>
      <w:szCs w:val="22"/>
    </w:rPr>
  </w:style>
  <w:style w:type="character" w:styleId="1083">
    <w:name w:val="Heading 7 Char"/>
    <w:basedOn w:val="1234"/>
    <w:link w:val="1082"/>
    <w:uiPriority w:val="9"/>
    <w:rPr>
      <w:rFonts w:ascii="Arial" w:hAnsi="Arial" w:eastAsia="Arial" w:cs="Arial"/>
      <w:b/>
      <w:bCs/>
      <w:i/>
      <w:iCs/>
      <w:sz w:val="22"/>
      <w:szCs w:val="22"/>
    </w:rPr>
  </w:style>
  <w:style w:type="paragraph" w:styleId="1084">
    <w:name w:val="Heading 8"/>
    <w:basedOn w:val="1226"/>
    <w:next w:val="1226"/>
    <w:link w:val="1085"/>
    <w:uiPriority w:val="9"/>
    <w:unhideWhenUsed/>
    <w:qFormat/>
    <w:pPr>
      <w:keepLines/>
      <w:keepNext/>
      <w:spacing w:before="320" w:after="200"/>
      <w:outlineLvl w:val="7"/>
    </w:pPr>
    <w:rPr>
      <w:rFonts w:ascii="Arial" w:hAnsi="Arial" w:eastAsia="Arial" w:cs="Arial"/>
      <w:i/>
      <w:iCs/>
      <w:sz w:val="22"/>
      <w:szCs w:val="22"/>
    </w:rPr>
  </w:style>
  <w:style w:type="character" w:styleId="1085">
    <w:name w:val="Heading 8 Char"/>
    <w:basedOn w:val="1234"/>
    <w:link w:val="1084"/>
    <w:uiPriority w:val="9"/>
    <w:rPr>
      <w:rFonts w:ascii="Arial" w:hAnsi="Arial" w:eastAsia="Arial" w:cs="Arial"/>
      <w:i/>
      <w:iCs/>
      <w:sz w:val="22"/>
      <w:szCs w:val="22"/>
    </w:rPr>
  </w:style>
  <w:style w:type="character" w:styleId="1086">
    <w:name w:val="Heading 9 Char"/>
    <w:basedOn w:val="1234"/>
    <w:link w:val="1233"/>
    <w:uiPriority w:val="9"/>
    <w:rPr>
      <w:rFonts w:ascii="Arial" w:hAnsi="Arial" w:eastAsia="Arial" w:cs="Arial"/>
      <w:i/>
      <w:iCs/>
      <w:sz w:val="21"/>
      <w:szCs w:val="21"/>
    </w:rPr>
  </w:style>
  <w:style w:type="character" w:styleId="1087">
    <w:name w:val="Title Char"/>
    <w:basedOn w:val="1234"/>
    <w:link w:val="1249"/>
    <w:uiPriority w:val="10"/>
    <w:rPr>
      <w:sz w:val="48"/>
      <w:szCs w:val="48"/>
    </w:rPr>
  </w:style>
  <w:style w:type="paragraph" w:styleId="1088">
    <w:name w:val="Subtitle"/>
    <w:basedOn w:val="1226"/>
    <w:next w:val="1226"/>
    <w:link w:val="1089"/>
    <w:uiPriority w:val="11"/>
    <w:qFormat/>
    <w:pPr>
      <w:spacing w:before="200" w:after="200"/>
    </w:pPr>
    <w:rPr>
      <w:sz w:val="24"/>
      <w:szCs w:val="24"/>
    </w:rPr>
  </w:style>
  <w:style w:type="character" w:styleId="1089">
    <w:name w:val="Subtitle Char"/>
    <w:basedOn w:val="1234"/>
    <w:link w:val="1088"/>
    <w:uiPriority w:val="11"/>
    <w:rPr>
      <w:sz w:val="24"/>
      <w:szCs w:val="24"/>
    </w:rPr>
  </w:style>
  <w:style w:type="paragraph" w:styleId="1090">
    <w:name w:val="Quote"/>
    <w:basedOn w:val="1226"/>
    <w:next w:val="1226"/>
    <w:link w:val="1091"/>
    <w:uiPriority w:val="29"/>
    <w:qFormat/>
    <w:pPr>
      <w:ind w:left="720" w:right="720"/>
    </w:pPr>
    <w:rPr>
      <w:i/>
    </w:rPr>
  </w:style>
  <w:style w:type="character" w:styleId="1091">
    <w:name w:val="Quote Char"/>
    <w:link w:val="1090"/>
    <w:uiPriority w:val="29"/>
    <w:rPr>
      <w:i/>
    </w:rPr>
  </w:style>
  <w:style w:type="paragraph" w:styleId="1092">
    <w:name w:val="Intense Quote"/>
    <w:basedOn w:val="1226"/>
    <w:next w:val="1226"/>
    <w:link w:val="1093"/>
    <w:uiPriority w:val="30"/>
    <w:qFormat/>
    <w:pPr>
      <w:contextualSpacing w:val="0"/>
      <w:ind w:left="720" w:right="720"/>
      <w:shd w:val="clear" w:color="auto" w:fill="f2f2f2"/>
      <w:pBdr>
        <w:top w:val="single" w:color="FFFFFF" w:sz="4" w:space="5"/>
        <w:left w:val="single" w:color="FFFFFF" w:sz="4" w:space="10"/>
        <w:bottom w:val="single" w:color="FFFFFF" w:sz="4" w:space="5"/>
        <w:right w:val="single" w:color="FFFFFF" w:sz="4" w:space="10"/>
      </w:pBdr>
    </w:pPr>
    <w:rPr>
      <w:i/>
    </w:rPr>
  </w:style>
  <w:style w:type="character" w:styleId="1093">
    <w:name w:val="Intense Quote Char"/>
    <w:link w:val="1092"/>
    <w:uiPriority w:val="30"/>
    <w:rPr>
      <w:i/>
    </w:rPr>
  </w:style>
  <w:style w:type="character" w:styleId="1094">
    <w:name w:val="Header Char"/>
    <w:basedOn w:val="1234"/>
    <w:link w:val="1259"/>
    <w:uiPriority w:val="99"/>
  </w:style>
  <w:style w:type="character" w:styleId="1095">
    <w:name w:val="Footer Char"/>
    <w:basedOn w:val="1234"/>
    <w:link w:val="1261"/>
    <w:uiPriority w:val="99"/>
  </w:style>
  <w:style w:type="character" w:styleId="1096">
    <w:name w:val="Caption Char"/>
    <w:basedOn w:val="1234"/>
    <w:link w:val="1274"/>
    <w:uiPriority w:val="35"/>
    <w:rPr>
      <w:b/>
      <w:bCs/>
      <w:color w:val="4f81bd" w:themeColor="accent1"/>
      <w:sz w:val="18"/>
      <w:szCs w:val="18"/>
    </w:rPr>
  </w:style>
  <w:style w:type="table" w:styleId="1097">
    <w:name w:val="Table Grid Light"/>
    <w:basedOn w:val="1235"/>
    <w:uiPriority w:val="59"/>
    <w:pPr>
      <w:spacing w:after="0" w:line="240" w:lineRule="auto"/>
    </w:pPr>
    <w:tblPr>
      <w:tblInd w:w="0" w:type="dxa"/>
      <w:tblBorders>
        <w:top w:val="single" w:color="000000" w:themeColor="text1" w:themeTint="50" w:sz="4" w:space="0"/>
        <w:left w:val="single" w:color="000000" w:themeColor="text1" w:themeTint="50" w:sz="4" w:space="0"/>
        <w:bottom w:val="single" w:color="000000" w:themeColor="text1" w:themeTint="50" w:sz="4" w:space="0"/>
        <w:right w:val="single" w:color="000000" w:themeColor="text1" w:themeTint="50" w:sz="4" w:space="0"/>
        <w:insideH w:val="single" w:color="000000" w:themeColor="text1" w:themeTint="50" w:sz="4" w:space="0"/>
        <w:insideV w:val="single" w:color="000000" w:themeColor="text1" w:themeTint="50" w:sz="4" w:space="0"/>
      </w:tblBorders>
      <w:tblCellMar>
        <w:left w:w="108" w:type="dxa"/>
        <w:top w:w="0" w:type="dxa"/>
        <w:right w:w="108" w:type="dxa"/>
        <w:bottom w:w="0" w:type="dxa"/>
      </w:tblCellMar>
    </w:tblPr>
  </w:style>
  <w:style w:type="table" w:styleId="1098">
    <w:name w:val="Plain Table 1"/>
    <w:basedOn w:val="1235"/>
    <w:uiPriority w:val="59"/>
    <w:pPr>
      <w:spacing w:after="0" w:line="240" w:lineRule="auto"/>
    </w:pPr>
    <w:tblPr>
      <w:tblInd w:w="0" w:type="dxa"/>
      <w:tblBorders>
        <w:top w:val="single" w:color="000000" w:themeColor="text1" w:themeTint="50" w:sz="4" w:space="0"/>
        <w:left w:val="single" w:color="000000" w:themeColor="text1" w:themeTint="50" w:sz="4" w:space="0"/>
        <w:bottom w:val="single" w:color="000000" w:themeColor="text1" w:themeTint="50" w:sz="4" w:space="0"/>
        <w:right w:val="single" w:color="000000" w:themeColor="text1" w:themeTint="50" w:sz="4" w:space="0"/>
        <w:insideH w:val="single" w:color="000000" w:themeColor="text1" w:themeTint="50" w:sz="4" w:space="0"/>
        <w:insideV w:val="single" w:color="000000" w:themeColor="text1" w:themeTint="50" w:sz="4" w:space="0"/>
      </w:tblBorders>
      <w:tblCellMar>
        <w:left w:w="108" w:type="dxa"/>
        <w:top w:w="0" w:type="dxa"/>
        <w:right w:w="108" w:type="dxa"/>
        <w:bottom w:w="0" w:type="dxa"/>
      </w:tblCellMar>
    </w:tblPr>
    <w:tblStylePr w:type="band1Horz">
      <w:tcPr>
        <w:shd w:val="clear" w:color="ffffff" w:themeColor="text1" w:themeTint="0D" w:fill="f2f2f2" w:themeFill="text1" w:themeFillTint="0D"/>
      </w:tcPr>
    </w:tblStylePr>
    <w:tblStylePr w:type="band1Vert">
      <w:tcPr>
        <w:shd w:val="clear" w:color="ffffff" w:themeColor="text1" w:themeTint="0D" w:fill="f2f2f2" w:themeFill="text1" w:themeFillTint="0D"/>
      </w:tcPr>
    </w:tblStylePr>
    <w:tblStylePr w:type="firstCol">
      <w:rPr>
        <w:rFonts w:ascii="Arial" w:hAnsi="Arial"/>
        <w:b/>
        <w:color w:val="404040"/>
        <w:sz w:val="22"/>
      </w:rPr>
    </w:tblStylePr>
    <w:tblStylePr w:type="firstRow">
      <w:rPr>
        <w:rFonts w:ascii="Arial" w:hAnsi="Arial"/>
        <w:b/>
        <w:color w:val="404040"/>
        <w:sz w:val="22"/>
      </w:rPr>
    </w:tblStylePr>
    <w:tblStylePr w:type="lastCol">
      <w:rPr>
        <w:rFonts w:ascii="Arial" w:hAnsi="Arial"/>
        <w:b/>
        <w:color w:val="404040"/>
        <w:sz w:val="22"/>
      </w:rPr>
    </w:tblStylePr>
    <w:tblStylePr w:type="lastRow">
      <w:rPr>
        <w:rFonts w:ascii="Arial" w:hAnsi="Arial"/>
        <w:b/>
        <w:color w:val="404040"/>
        <w:sz w:val="22"/>
      </w:rPr>
    </w:tblStylePr>
  </w:style>
  <w:style w:type="table" w:styleId="1099">
    <w:name w:val="Plain Table 2"/>
    <w:basedOn w:val="1235"/>
    <w:uiPriority w:val="59"/>
    <w:pPr>
      <w:spacing w:after="0" w:line="240" w:lineRule="auto"/>
    </w:pPr>
    <w:tblPr>
      <w:tblInd w:w="0" w:type="dxa"/>
      <w:tblBorders>
        <w:top w:val="single" w:color="000000" w:themeColor="text1" w:sz="4" w:space="0"/>
        <w:left w:val="none" w:color="000000" w:themeColor="text1" w:sz="4" w:space="0"/>
        <w:bottom w:val="single" w:color="000000" w:themeColor="text1" w:sz="4" w:space="0"/>
        <w:right w:val="none" w:color="000000" w:themeColor="text1" w:sz="4" w:space="0"/>
      </w:tblBorders>
      <w:tblCellMar>
        <w:left w:w="108" w:type="dxa"/>
        <w:top w:w="0" w:type="dxa"/>
        <w:right w:w="108" w:type="dxa"/>
        <w:bottom w:w="0" w:type="dxa"/>
      </w:tblCellMar>
    </w:tblPr>
    <w:tblStylePr w:type="band1Horz">
      <w:tcPr>
        <w:tcBorders>
          <w:top w:val="single" w:color="000000" w:themeColor="text1" w:sz="4" w:space="0"/>
          <w:bottom w:val="single" w:color="000000" w:themeColor="text1" w:sz="4" w:space="0"/>
        </w:tcBorders>
      </w:tcPr>
    </w:tblStylePr>
    <w:tblStylePr w:type="band1Vert">
      <w:tcPr>
        <w:tcBorders>
          <w:left w:val="single" w:color="000000" w:themeColor="text1" w:sz="4" w:space="0"/>
          <w:right w:val="single" w:color="000000" w:themeColor="text1" w:sz="4" w:space="0"/>
        </w:tcBorders>
      </w:tcPr>
    </w:tblStylePr>
    <w:tblStylePr w:type="band2Vert">
      <w:tcPr>
        <w:tcBorders>
          <w:left w:val="single" w:color="000000" w:themeColor="text1" w:sz="4" w:space="0"/>
          <w:right w:val="single" w:color="000000" w:themeColor="text1" w:sz="4" w:space="0"/>
        </w:tcBorders>
      </w:tcPr>
    </w:tblStylePr>
    <w:tblStylePr w:type="firstCol">
      <w:rPr>
        <w:rFonts w:ascii="Arial" w:hAnsi="Arial"/>
        <w:b/>
        <w:color w:val="404040"/>
        <w:sz w:val="22"/>
      </w:rPr>
    </w:tblStylePr>
    <w:tblStylePr w:type="firstRow">
      <w:rPr>
        <w:rFonts w:ascii="Arial" w:hAnsi="Arial"/>
        <w:b/>
        <w:color w:val="404040"/>
        <w:sz w:val="22"/>
      </w:rPr>
      <w:tcPr>
        <w:tcBorders>
          <w:top w:val="single" w:color="000000" w:themeColor="text1" w:sz="4" w:space="0"/>
          <w:bottom w:val="single" w:color="000000" w:themeColor="text1" w:sz="4" w:space="0"/>
        </w:tcBorders>
      </w:tcPr>
    </w:tblStylePr>
    <w:tblStylePr w:type="lastCol">
      <w:rPr>
        <w:rFonts w:ascii="Arial" w:hAnsi="Arial"/>
        <w:b/>
        <w:color w:val="404040"/>
        <w:sz w:val="22"/>
      </w:rPr>
    </w:tblStylePr>
    <w:tblStylePr w:type="lastRow">
      <w:rPr>
        <w:rFonts w:ascii="Arial" w:hAnsi="Arial"/>
        <w:b/>
        <w:color w:val="404040"/>
        <w:sz w:val="22"/>
      </w:rPr>
    </w:tblStylePr>
  </w:style>
  <w:style w:type="table" w:styleId="1100">
    <w:name w:val="Plain Table 3"/>
    <w:basedOn w:val="1235"/>
    <w:uiPriority w:val="99"/>
    <w:pPr>
      <w:spacing w:after="0" w:line="240" w:lineRule="auto"/>
    </w:pPr>
    <w:tblPr>
      <w:tblStyleRowBandSize w:val="1"/>
      <w:tblStyleColBandSize w:val="1"/>
      <w:tblInd w:w="0" w:type="dxa"/>
    </w:tblPr>
    <w:tblStylePr w:type="band1Horz">
      <w:rPr>
        <w:rFonts w:ascii="Arial" w:hAnsi="Arial"/>
        <w:color w:val="404040"/>
        <w:sz w:val="22"/>
      </w:rPr>
      <w:tcPr>
        <w:shd w:val="clear" w:color="ffffff" w:themeColor="text1" w:themeTint="0D" w:fill="f2f2f2" w:themeFill="text1" w:themeFillTint="0D"/>
      </w:tcPr>
    </w:tblStylePr>
    <w:tblStylePr w:type="band1Vert">
      <w:rPr>
        <w:rFonts w:ascii="Arial" w:hAnsi="Arial"/>
        <w:color w:val="404040"/>
        <w:sz w:val="22"/>
      </w:rPr>
      <w:tcPr>
        <w:shd w:val="clear" w:color="ffffff" w:themeColor="text1" w:themeTint="0D" w:fill="f2f2f2" w:themeFill="text1" w:themeFillTint="0D"/>
      </w:tcPr>
    </w:tblStylePr>
    <w:tblStylePr w:type="firstCol">
      <w:rPr>
        <w:b/>
        <w:caps/>
        <w:color w:val="404040"/>
      </w:rPr>
      <w:tcPr>
        <w:tcBorders>
          <w:top w:val="none" w:color="000000" w:sz="4" w:space="0"/>
          <w:left w:val="none" w:color="000000" w:sz="4" w:space="0"/>
          <w:bottom w:val="none" w:color="000000" w:sz="4" w:space="0"/>
          <w:right w:val="single" w:color="404040" w:sz="4" w:space="0"/>
        </w:tcBorders>
      </w:tcPr>
    </w:tblStylePr>
    <w:tblStylePr w:type="firstRow">
      <w:rPr>
        <w:b/>
        <w:caps/>
        <w:color w:val="404040"/>
      </w:rPr>
      <w:tcPr>
        <w:tcBorders>
          <w:top w:val="none" w:color="000000" w:sz="4" w:space="0"/>
          <w:left w:val="none" w:color="000000" w:sz="4" w:space="0"/>
          <w:bottom w:val="single" w:color="404040" w:sz="4" w:space="0"/>
          <w:right w:val="none" w:color="000000" w:sz="4" w:space="0"/>
        </w:tcBorders>
      </w:tcPr>
    </w:tblStylePr>
    <w:tblStylePr w:type="lastCol">
      <w:rPr>
        <w:b/>
        <w:caps/>
        <w:color w:val="404040"/>
      </w:rPr>
    </w:tblStylePr>
    <w:tblStylePr w:type="lastRow">
      <w:rPr>
        <w:b/>
        <w:caps/>
        <w:color w:val="404040"/>
      </w:rPr>
    </w:tblStylePr>
  </w:style>
  <w:style w:type="table" w:styleId="1101">
    <w:name w:val="Plain Table 4"/>
    <w:basedOn w:val="1235"/>
    <w:uiPriority w:val="99"/>
    <w:pPr>
      <w:spacing w:after="0" w:line="240" w:lineRule="auto"/>
    </w:pPr>
    <w:tblPr>
      <w:tblStyleRowBandSize w:val="1"/>
      <w:tblStyleColBandSize w:val="1"/>
      <w:tblInd w:w="0" w:type="dxa"/>
    </w:tblPr>
    <w:tblStylePr w:type="band1Horz">
      <w:rPr>
        <w:rFonts w:ascii="Arial" w:hAnsi="Arial"/>
        <w:color w:val="404040"/>
        <w:sz w:val="22"/>
      </w:rPr>
      <w:tcPr>
        <w:shd w:val="clear" w:color="ffffff" w:themeColor="text1" w:themeTint="0D" w:fill="f2f2f2" w:themeFill="text1" w:themeFillTint="0D"/>
      </w:tcPr>
    </w:tblStylePr>
    <w:tblStylePr w:type="band1Vert">
      <w:rPr>
        <w:rFonts w:ascii="Arial" w:hAnsi="Arial"/>
        <w:color w:val="404040"/>
        <w:sz w:val="22"/>
      </w:rPr>
      <w:tcPr>
        <w:shd w:val="clear" w:color="ffffff" w:themeColor="text1" w:themeTint="0D" w:fill="f2f2f2" w:themeFill="text1" w:themeFillTint="0D"/>
      </w:tcPr>
    </w:tblStylePr>
    <w:tblStylePr w:type="firstCol">
      <w:rPr>
        <w:b/>
        <w:color w:val="404040"/>
      </w:rPr>
    </w:tblStylePr>
    <w:tblStylePr w:type="firstRow">
      <w:rPr>
        <w:b/>
        <w:color w:val="404040"/>
      </w:rPr>
    </w:tblStylePr>
    <w:tblStylePr w:type="lastCol">
      <w:rPr>
        <w:b/>
        <w:color w:val="404040"/>
      </w:rPr>
    </w:tblStylePr>
    <w:tblStylePr w:type="lastRow">
      <w:rPr>
        <w:b/>
        <w:color w:val="404040"/>
      </w:rPr>
    </w:tblStylePr>
  </w:style>
  <w:style w:type="table" w:styleId="1102">
    <w:name w:val="Plain Table 5"/>
    <w:basedOn w:val="1235"/>
    <w:uiPriority w:val="99"/>
    <w:pPr>
      <w:spacing w:after="0" w:line="240" w:lineRule="auto"/>
    </w:pPr>
    <w:tblPr>
      <w:tblStyleRowBandSize w:val="1"/>
      <w:tblStyleColBandSize w:val="1"/>
      <w:tblInd w:w="0" w:type="dxa"/>
    </w:tblPr>
    <w:tblStylePr w:type="band1Horz">
      <w:rPr>
        <w:rFonts w:ascii="Arial" w:hAnsi="Arial"/>
        <w:color w:val="404040"/>
        <w:sz w:val="22"/>
      </w:rPr>
      <w:tcPr>
        <w:shd w:val="clear" w:color="ffffff" w:themeColor="text1" w:themeTint="0D" w:fill="f2f2f2" w:themeFill="text1" w:themeFillTint="0D"/>
      </w:tcPr>
    </w:tblStylePr>
    <w:tblStylePr w:type="band1Vert">
      <w:rPr>
        <w:rFonts w:ascii="Arial" w:hAnsi="Arial"/>
        <w:color w:val="404040"/>
        <w:sz w:val="22"/>
      </w:rPr>
      <w:tcPr>
        <w:shd w:val="clear" w:color="ffffff" w:themeColor="text1" w:themeTint="0D" w:fill="f2f2f2" w:themeFill="text1" w:themeFillTint="0D"/>
      </w:tcPr>
    </w:tblStylePr>
    <w:tblStylePr w:type="firstCol">
      <w:rPr>
        <w:i/>
        <w:color w:val="404040"/>
      </w:rPr>
      <w:pPr>
        <w:jc w:val="right"/>
      </w:pPr>
      <w:tcPr>
        <w:shd w:val="clear" w:color="ffffff"/>
        <w:tcBorders>
          <w:right w:val="single" w:color="404040" w:sz="4" w:space="0"/>
        </w:tcBorders>
      </w:tcPr>
    </w:tblStylePr>
    <w:tblStylePr w:type="firstRow">
      <w:rPr>
        <w:i/>
        <w:color w:val="404040"/>
      </w:rPr>
      <w:tcPr>
        <w:shd w:val="clear" w:color="ffffff"/>
        <w:tcBorders>
          <w:left w:val="none" w:color="000000" w:sz="4" w:space="0"/>
          <w:bottom w:val="single" w:color="404040" w:sz="4" w:space="0"/>
          <w:right w:val="none" w:color="000000" w:sz="4" w:space="0"/>
        </w:tcBorders>
      </w:tcPr>
    </w:tblStylePr>
    <w:tblStylePr w:type="lastCol">
      <w:rPr>
        <w:i/>
        <w:color w:val="404040"/>
      </w:rPr>
      <w:tcPr>
        <w:shd w:val="clear" w:color="ffffff"/>
        <w:tcBorders>
          <w:left w:val="single" w:color="404040" w:sz="4" w:space="0"/>
        </w:tcBorders>
      </w:tcPr>
    </w:tblStylePr>
    <w:tblStylePr w:type="lastRow">
      <w:rPr>
        <w:i/>
        <w:color w:val="404040"/>
      </w:rPr>
      <w:tcPr>
        <w:shd w:val="clear" w:color="ffffff"/>
        <w:tcBorders>
          <w:top w:val="single" w:color="404040" w:sz="4" w:space="0"/>
          <w:left w:val="none" w:color="000000" w:sz="4" w:space="0"/>
          <w:right w:val="none" w:color="000000" w:sz="4" w:space="0"/>
        </w:tcBorders>
      </w:tcPr>
    </w:tblStylePr>
  </w:style>
  <w:style w:type="table" w:styleId="1103">
    <w:name w:val="Grid Table 1 Light"/>
    <w:basedOn w:val="1235"/>
    <w:uiPriority w:val="99"/>
    <w:pPr>
      <w:spacing w:after="0" w:line="240" w:lineRule="auto"/>
    </w:pPr>
    <w:tblPr>
      <w:tblStyleRowBandSize w:val="1"/>
      <w:tblStyleColBandSize w:val="1"/>
      <w:tblInd w:w="0" w:type="dxa"/>
      <w:tblBorders>
        <w:top w:val="single" w:color="000000" w:themeColor="text1" w:themeTint="67" w:sz="4" w:space="0"/>
        <w:left w:val="single" w:color="000000" w:themeColor="text1" w:themeTint="67" w:sz="4" w:space="0"/>
        <w:bottom w:val="single" w:color="000000" w:themeColor="text1" w:themeTint="67" w:sz="4" w:space="0"/>
        <w:right w:val="single" w:color="000000" w:themeColor="text1" w:themeTint="67" w:sz="4" w:space="0"/>
        <w:insideH w:val="single" w:color="000000" w:themeColor="text1" w:themeTint="67" w:sz="4" w:space="0"/>
        <w:insideV w:val="single" w:color="000000" w:themeColor="text1" w:themeTint="67" w:sz="4" w:space="0"/>
      </w:tblBorders>
    </w:tblPr>
    <w:tblStylePr w:type="band1Horz">
      <w:rPr>
        <w:rFonts w:ascii="Arial" w:hAnsi="Arial"/>
        <w:color w:val="404040"/>
        <w:sz w:val="22"/>
      </w:rPr>
      <w:tcPr>
        <w:tcBorders>
          <w:top w:val="single" w:color="000000" w:themeColor="text1" w:themeTint="67" w:sz="4" w:space="0"/>
          <w:left w:val="single" w:color="000000" w:themeColor="text1" w:themeTint="67" w:sz="4" w:space="0"/>
          <w:bottom w:val="single" w:color="000000" w:themeColor="text1" w:themeTint="67" w:sz="4" w:space="0"/>
          <w:right w:val="single" w:color="000000" w:themeColor="text1" w:themeTint="67" w:sz="4" w:space="0"/>
        </w:tcBorders>
      </w:tcPr>
    </w:tblStylePr>
    <w:tblStylePr w:type="firstCol">
      <w:rPr>
        <w:b/>
        <w:color w:val="404040"/>
      </w:rPr>
    </w:tblStylePr>
    <w:tblStylePr w:type="firstRow">
      <w:rPr>
        <w:b/>
        <w:color w:val="404040"/>
      </w:rPr>
      <w:tcPr>
        <w:tcBorders>
          <w:bottom w:val="single" w:color="000000" w:themeColor="text1" w:themeTint="95" w:sz="12" w:space="0"/>
        </w:tcBorders>
      </w:tcPr>
    </w:tblStylePr>
    <w:tblStylePr w:type="lastCol">
      <w:rPr>
        <w:b/>
        <w:color w:val="404040"/>
      </w:rPr>
    </w:tblStylePr>
    <w:tblStylePr w:type="lastRow">
      <w:rPr>
        <w:b/>
        <w:color w:val="404040"/>
      </w:rPr>
    </w:tblStylePr>
  </w:style>
  <w:style w:type="table" w:styleId="1104">
    <w:name w:val="Grid Table 1 Light - Accent 1"/>
    <w:basedOn w:val="1235"/>
    <w:uiPriority w:val="99"/>
    <w:pPr>
      <w:spacing w:after="0" w:line="240" w:lineRule="auto"/>
    </w:pPr>
    <w:tblPr>
      <w:tblStyleRowBandSize w:val="1"/>
      <w:tblStyleColBandSize w:val="1"/>
      <w:tblInd w:w="0" w:type="dxa"/>
      <w:tblBorders>
        <w:top w:val="single" w:color="000000" w:themeColor="accent1" w:themeTint="67" w:sz="4" w:space="0"/>
        <w:left w:val="single" w:color="000000" w:themeColor="accent1" w:themeTint="67" w:sz="4" w:space="0"/>
        <w:bottom w:val="single" w:color="000000" w:themeColor="accent1" w:themeTint="67" w:sz="4" w:space="0"/>
        <w:right w:val="single" w:color="000000" w:themeColor="accent1" w:themeTint="67" w:sz="4" w:space="0"/>
        <w:insideH w:val="single" w:color="000000" w:themeColor="accent1" w:themeTint="67" w:sz="4" w:space="0"/>
        <w:insideV w:val="single" w:color="000000" w:themeColor="accent1" w:themeTint="67" w:sz="4" w:space="0"/>
      </w:tblBorders>
    </w:tblPr>
    <w:tblStylePr w:type="band1Horz">
      <w:rPr>
        <w:rFonts w:ascii="Arial" w:hAnsi="Arial"/>
        <w:color w:val="404040"/>
        <w:sz w:val="22"/>
      </w:rPr>
      <w:tcPr>
        <w:tcBorders>
          <w:top w:val="single" w:color="000000" w:themeColor="accent1" w:themeTint="67" w:sz="4" w:space="0"/>
          <w:left w:val="single" w:color="000000" w:themeColor="accent1" w:themeTint="67" w:sz="4" w:space="0"/>
          <w:bottom w:val="single" w:color="000000" w:themeColor="accent1" w:themeTint="67" w:sz="4" w:space="0"/>
          <w:right w:val="single" w:color="000000" w:themeColor="accent1" w:themeTint="67" w:sz="4" w:space="0"/>
        </w:tcBorders>
      </w:tcPr>
    </w:tblStylePr>
    <w:tblStylePr w:type="firstCol">
      <w:rPr>
        <w:b/>
        <w:color w:val="404040"/>
      </w:rPr>
    </w:tblStylePr>
    <w:tblStylePr w:type="firstRow">
      <w:rPr>
        <w:b/>
        <w:color w:val="404040"/>
      </w:rPr>
      <w:tcPr>
        <w:tcBorders>
          <w:bottom w:val="single" w:color="000000" w:themeColor="accent1" w:themeTint="95" w:sz="12" w:space="0"/>
        </w:tcBorders>
      </w:tcPr>
    </w:tblStylePr>
    <w:tblStylePr w:type="lastCol">
      <w:rPr>
        <w:b/>
        <w:color w:val="404040"/>
      </w:rPr>
    </w:tblStylePr>
    <w:tblStylePr w:type="lastRow">
      <w:rPr>
        <w:b/>
        <w:color w:val="404040"/>
      </w:rPr>
    </w:tblStylePr>
  </w:style>
  <w:style w:type="table" w:styleId="1105">
    <w:name w:val="Grid Table 1 Light - Accent 2"/>
    <w:basedOn w:val="1235"/>
    <w:uiPriority w:val="99"/>
    <w:pPr>
      <w:spacing w:after="0" w:line="240" w:lineRule="auto"/>
    </w:pPr>
    <w:tblPr>
      <w:tblStyleRowBandSize w:val="1"/>
      <w:tblStyleColBandSize w:val="1"/>
      <w:tblInd w:w="0" w:type="dxa"/>
      <w:tblBorders>
        <w:top w:val="single" w:color="000000" w:themeColor="accent2" w:themeTint="67" w:sz="4" w:space="0"/>
        <w:left w:val="single" w:color="000000" w:themeColor="accent2" w:themeTint="67" w:sz="4" w:space="0"/>
        <w:bottom w:val="single" w:color="000000" w:themeColor="accent2" w:themeTint="67" w:sz="4" w:space="0"/>
        <w:right w:val="single" w:color="000000" w:themeColor="accent2" w:themeTint="67" w:sz="4" w:space="0"/>
        <w:insideH w:val="single" w:color="000000" w:themeColor="accent2" w:themeTint="67" w:sz="4" w:space="0"/>
        <w:insideV w:val="single" w:color="000000" w:themeColor="accent2" w:themeTint="67" w:sz="4" w:space="0"/>
      </w:tblBorders>
    </w:tblPr>
    <w:tblStylePr w:type="band1Horz">
      <w:rPr>
        <w:rFonts w:ascii="Arial" w:hAnsi="Arial"/>
        <w:color w:val="404040"/>
        <w:sz w:val="22"/>
      </w:rPr>
      <w:tcPr>
        <w:tcBorders>
          <w:top w:val="single" w:color="000000" w:themeColor="accent2" w:themeTint="67" w:sz="4" w:space="0"/>
          <w:left w:val="single" w:color="000000" w:themeColor="accent2" w:themeTint="67" w:sz="4" w:space="0"/>
          <w:bottom w:val="single" w:color="000000" w:themeColor="accent2" w:themeTint="67" w:sz="4" w:space="0"/>
          <w:right w:val="single" w:color="000000" w:themeColor="accent2" w:themeTint="67" w:sz="4" w:space="0"/>
        </w:tcBorders>
      </w:tcPr>
    </w:tblStylePr>
    <w:tblStylePr w:type="firstCol">
      <w:rPr>
        <w:b/>
        <w:color w:val="404040"/>
      </w:rPr>
    </w:tblStylePr>
    <w:tblStylePr w:type="firstRow">
      <w:rPr>
        <w:b/>
        <w:color w:val="404040"/>
      </w:rPr>
      <w:tcPr>
        <w:tcBorders>
          <w:bottom w:val="single" w:color="000000" w:themeColor="accent2" w:themeTint="95" w:sz="12" w:space="0"/>
        </w:tcBorders>
      </w:tcPr>
    </w:tblStylePr>
    <w:tblStylePr w:type="lastCol">
      <w:rPr>
        <w:b/>
        <w:color w:val="404040"/>
      </w:rPr>
    </w:tblStylePr>
    <w:tblStylePr w:type="lastRow">
      <w:rPr>
        <w:b/>
        <w:color w:val="404040"/>
      </w:rPr>
    </w:tblStylePr>
  </w:style>
  <w:style w:type="table" w:styleId="1106">
    <w:name w:val="Grid Table 1 Light - Accent 3"/>
    <w:basedOn w:val="1235"/>
    <w:uiPriority w:val="99"/>
    <w:pPr>
      <w:spacing w:after="0" w:line="240" w:lineRule="auto"/>
    </w:pPr>
    <w:tblPr>
      <w:tblStyleRowBandSize w:val="1"/>
      <w:tblStyleColBandSize w:val="1"/>
      <w:tblInd w:w="0" w:type="dxa"/>
      <w:tblBorders>
        <w:top w:val="single" w:color="000000" w:themeColor="accent3" w:themeTint="67" w:sz="4" w:space="0"/>
        <w:left w:val="single" w:color="000000" w:themeColor="accent3" w:themeTint="67" w:sz="4" w:space="0"/>
        <w:bottom w:val="single" w:color="000000" w:themeColor="accent3" w:themeTint="67" w:sz="4" w:space="0"/>
        <w:right w:val="single" w:color="000000" w:themeColor="accent3" w:themeTint="67" w:sz="4" w:space="0"/>
        <w:insideH w:val="single" w:color="000000" w:themeColor="accent3" w:themeTint="67" w:sz="4" w:space="0"/>
        <w:insideV w:val="single" w:color="000000" w:themeColor="accent3" w:themeTint="67" w:sz="4" w:space="0"/>
      </w:tblBorders>
    </w:tblPr>
    <w:tblStylePr w:type="band1Horz">
      <w:rPr>
        <w:rFonts w:ascii="Arial" w:hAnsi="Arial"/>
        <w:color w:val="404040"/>
        <w:sz w:val="22"/>
      </w:rPr>
      <w:tcPr>
        <w:tcBorders>
          <w:top w:val="single" w:color="000000" w:themeColor="accent3" w:themeTint="67" w:sz="4" w:space="0"/>
          <w:left w:val="single" w:color="000000" w:themeColor="accent3" w:themeTint="67" w:sz="4" w:space="0"/>
          <w:bottom w:val="single" w:color="000000" w:themeColor="accent3" w:themeTint="67" w:sz="4" w:space="0"/>
          <w:right w:val="single" w:color="000000" w:themeColor="accent3" w:themeTint="67" w:sz="4" w:space="0"/>
        </w:tcBorders>
      </w:tcPr>
    </w:tblStylePr>
    <w:tblStylePr w:type="firstCol">
      <w:rPr>
        <w:b/>
        <w:color w:val="404040"/>
      </w:rPr>
    </w:tblStylePr>
    <w:tblStylePr w:type="firstRow">
      <w:rPr>
        <w:b/>
        <w:color w:val="404040"/>
      </w:rPr>
      <w:tcPr>
        <w:tcBorders>
          <w:bottom w:val="single" w:color="000000" w:themeColor="accent3" w:themeTint="95" w:sz="12" w:space="0"/>
        </w:tcBorders>
      </w:tcPr>
    </w:tblStylePr>
    <w:tblStylePr w:type="lastCol">
      <w:rPr>
        <w:b/>
        <w:color w:val="404040"/>
      </w:rPr>
    </w:tblStylePr>
    <w:tblStylePr w:type="lastRow">
      <w:rPr>
        <w:b/>
        <w:color w:val="404040"/>
      </w:rPr>
    </w:tblStylePr>
  </w:style>
  <w:style w:type="table" w:styleId="1107">
    <w:name w:val="Grid Table 1 Light - Accent 4"/>
    <w:basedOn w:val="1235"/>
    <w:uiPriority w:val="99"/>
    <w:pPr>
      <w:spacing w:after="0" w:line="240" w:lineRule="auto"/>
    </w:pPr>
    <w:tblPr>
      <w:tblStyleRowBandSize w:val="1"/>
      <w:tblStyleColBandSize w:val="1"/>
      <w:tblInd w:w="0" w:type="dxa"/>
      <w:tblBorders>
        <w:top w:val="single" w:color="000000" w:themeColor="accent4" w:themeTint="67" w:sz="4" w:space="0"/>
        <w:left w:val="single" w:color="000000" w:themeColor="accent4" w:themeTint="67" w:sz="4" w:space="0"/>
        <w:bottom w:val="single" w:color="000000" w:themeColor="accent4" w:themeTint="67" w:sz="4" w:space="0"/>
        <w:right w:val="single" w:color="000000" w:themeColor="accent4" w:themeTint="67" w:sz="4" w:space="0"/>
        <w:insideH w:val="single" w:color="000000" w:themeColor="accent4" w:themeTint="67" w:sz="4" w:space="0"/>
        <w:insideV w:val="single" w:color="000000" w:themeColor="accent4" w:themeTint="67" w:sz="4" w:space="0"/>
      </w:tblBorders>
    </w:tblPr>
    <w:tblStylePr w:type="band1Horz">
      <w:rPr>
        <w:rFonts w:ascii="Arial" w:hAnsi="Arial"/>
        <w:color w:val="404040"/>
        <w:sz w:val="22"/>
      </w:rPr>
      <w:tcPr>
        <w:tcBorders>
          <w:top w:val="single" w:color="000000" w:themeColor="accent4" w:themeTint="67" w:sz="4" w:space="0"/>
          <w:left w:val="single" w:color="000000" w:themeColor="accent4" w:themeTint="67" w:sz="4" w:space="0"/>
          <w:bottom w:val="single" w:color="000000" w:themeColor="accent4" w:themeTint="67" w:sz="4" w:space="0"/>
          <w:right w:val="single" w:color="000000" w:themeColor="accent4" w:themeTint="67" w:sz="4" w:space="0"/>
        </w:tcBorders>
      </w:tcPr>
    </w:tblStylePr>
    <w:tblStylePr w:type="firstCol">
      <w:rPr>
        <w:b/>
        <w:color w:val="404040"/>
      </w:rPr>
    </w:tblStylePr>
    <w:tblStylePr w:type="firstRow">
      <w:rPr>
        <w:b/>
        <w:color w:val="404040"/>
      </w:rPr>
      <w:tcPr>
        <w:tcBorders>
          <w:bottom w:val="single" w:color="000000" w:themeColor="accent4" w:themeTint="95" w:sz="12" w:space="0"/>
        </w:tcBorders>
      </w:tcPr>
    </w:tblStylePr>
    <w:tblStylePr w:type="lastCol">
      <w:rPr>
        <w:b/>
        <w:color w:val="404040"/>
      </w:rPr>
    </w:tblStylePr>
    <w:tblStylePr w:type="lastRow">
      <w:rPr>
        <w:b/>
        <w:color w:val="404040"/>
      </w:rPr>
    </w:tblStylePr>
  </w:style>
  <w:style w:type="table" w:styleId="1108">
    <w:name w:val="Grid Table 1 Light - Accent 5"/>
    <w:basedOn w:val="1235"/>
    <w:uiPriority w:val="99"/>
    <w:pPr>
      <w:spacing w:after="0" w:line="240" w:lineRule="auto"/>
    </w:pPr>
    <w:tblPr>
      <w:tblStyleRowBandSize w:val="1"/>
      <w:tblStyleColBandSize w:val="1"/>
      <w:tblInd w:w="0" w:type="dxa"/>
      <w:tblBorders>
        <w:top w:val="single" w:color="000000" w:themeColor="accent5" w:themeTint="67" w:sz="4" w:space="0"/>
        <w:left w:val="single" w:color="000000" w:themeColor="accent5" w:themeTint="67" w:sz="4" w:space="0"/>
        <w:bottom w:val="single" w:color="000000" w:themeColor="accent5" w:themeTint="67" w:sz="4" w:space="0"/>
        <w:right w:val="single" w:color="000000" w:themeColor="accent5" w:themeTint="67" w:sz="4" w:space="0"/>
        <w:insideH w:val="single" w:color="000000" w:themeColor="accent5" w:themeTint="67" w:sz="4" w:space="0"/>
        <w:insideV w:val="single" w:color="000000" w:themeColor="accent5" w:themeTint="67" w:sz="4" w:space="0"/>
      </w:tblBorders>
    </w:tblPr>
    <w:tblStylePr w:type="band1Horz">
      <w:rPr>
        <w:rFonts w:ascii="Arial" w:hAnsi="Arial"/>
        <w:color w:val="404040"/>
        <w:sz w:val="22"/>
      </w:rPr>
      <w:tcPr>
        <w:tcBorders>
          <w:top w:val="single" w:color="000000" w:themeColor="accent5" w:themeTint="67" w:sz="4" w:space="0"/>
          <w:left w:val="single" w:color="000000" w:themeColor="accent5" w:themeTint="67" w:sz="4" w:space="0"/>
          <w:bottom w:val="single" w:color="000000" w:themeColor="accent5" w:themeTint="67" w:sz="4" w:space="0"/>
          <w:right w:val="single" w:color="000000" w:themeColor="accent5" w:themeTint="67" w:sz="4" w:space="0"/>
        </w:tcBorders>
      </w:tcPr>
    </w:tblStylePr>
    <w:tblStylePr w:type="firstCol">
      <w:rPr>
        <w:b/>
        <w:color w:val="404040"/>
      </w:rPr>
    </w:tblStylePr>
    <w:tblStylePr w:type="firstRow">
      <w:rPr>
        <w:b/>
        <w:color w:val="404040"/>
      </w:rPr>
      <w:tcPr>
        <w:tcBorders>
          <w:bottom w:val="single" w:color="000000" w:themeColor="accent5" w:themeTint="95" w:sz="12" w:space="0"/>
        </w:tcBorders>
      </w:tcPr>
    </w:tblStylePr>
    <w:tblStylePr w:type="lastCol">
      <w:rPr>
        <w:b/>
        <w:color w:val="404040"/>
      </w:rPr>
    </w:tblStylePr>
    <w:tblStylePr w:type="lastRow">
      <w:rPr>
        <w:b/>
        <w:color w:val="404040"/>
      </w:rPr>
    </w:tblStylePr>
  </w:style>
  <w:style w:type="table" w:styleId="1109">
    <w:name w:val="Grid Table 1 Light - Accent 6"/>
    <w:basedOn w:val="1235"/>
    <w:uiPriority w:val="99"/>
    <w:pPr>
      <w:spacing w:after="0" w:line="240" w:lineRule="auto"/>
    </w:pPr>
    <w:tblPr>
      <w:tblStyleRowBandSize w:val="1"/>
      <w:tblStyleColBandSize w:val="1"/>
      <w:tblInd w:w="0" w:type="dxa"/>
      <w:tblBorders>
        <w:top w:val="single" w:color="000000" w:themeColor="accent6" w:themeTint="67" w:sz="4" w:space="0"/>
        <w:left w:val="single" w:color="000000" w:themeColor="accent6" w:themeTint="67" w:sz="4" w:space="0"/>
        <w:bottom w:val="single" w:color="000000" w:themeColor="accent6" w:themeTint="67" w:sz="4" w:space="0"/>
        <w:right w:val="single" w:color="000000" w:themeColor="accent6" w:themeTint="67" w:sz="4" w:space="0"/>
        <w:insideH w:val="single" w:color="000000" w:themeColor="accent6" w:themeTint="67" w:sz="4" w:space="0"/>
        <w:insideV w:val="single" w:color="000000" w:themeColor="accent6" w:themeTint="67" w:sz="4" w:space="0"/>
      </w:tblBorders>
    </w:tblPr>
    <w:tblStylePr w:type="band1Horz">
      <w:rPr>
        <w:rFonts w:ascii="Arial" w:hAnsi="Arial"/>
        <w:color w:val="404040"/>
        <w:sz w:val="22"/>
      </w:rPr>
      <w:tcPr>
        <w:tcBorders>
          <w:top w:val="single" w:color="000000" w:themeColor="accent6" w:themeTint="67" w:sz="4" w:space="0"/>
          <w:left w:val="single" w:color="000000" w:themeColor="accent6" w:themeTint="67" w:sz="4" w:space="0"/>
          <w:bottom w:val="single" w:color="000000" w:themeColor="accent6" w:themeTint="67" w:sz="4" w:space="0"/>
          <w:right w:val="single" w:color="000000" w:themeColor="accent6" w:themeTint="67" w:sz="4" w:space="0"/>
        </w:tcBorders>
      </w:tcPr>
    </w:tblStylePr>
    <w:tblStylePr w:type="firstCol">
      <w:rPr>
        <w:b/>
        <w:color w:val="404040"/>
      </w:rPr>
    </w:tblStylePr>
    <w:tblStylePr w:type="firstRow">
      <w:rPr>
        <w:b/>
        <w:color w:val="404040"/>
      </w:rPr>
      <w:tcPr>
        <w:tcBorders>
          <w:bottom w:val="single" w:color="000000" w:themeColor="accent6" w:themeTint="95" w:sz="12" w:space="0"/>
        </w:tcBorders>
      </w:tcPr>
    </w:tblStylePr>
    <w:tblStylePr w:type="lastCol">
      <w:rPr>
        <w:b/>
        <w:color w:val="404040"/>
      </w:rPr>
    </w:tblStylePr>
    <w:tblStylePr w:type="lastRow">
      <w:rPr>
        <w:b/>
        <w:color w:val="404040"/>
      </w:rPr>
    </w:tblStylePr>
  </w:style>
  <w:style w:type="table" w:styleId="1110">
    <w:name w:val="Grid Table 2"/>
    <w:basedOn w:val="1235"/>
    <w:uiPriority w:val="99"/>
    <w:pPr>
      <w:spacing w:after="0" w:line="240" w:lineRule="auto"/>
    </w:pPr>
    <w:tblPr>
      <w:tblStyleRowBandSize w:val="1"/>
      <w:tblStyleColBandSize w:val="1"/>
      <w:tblInd w:w="0" w:type="dxa"/>
      <w:tblBorders>
        <w:bottom w:val="single" w:color="000000" w:themeColor="text1" w:themeTint="95" w:sz="4" w:space="0"/>
        <w:insideH w:val="single" w:color="000000" w:themeColor="text1" w:themeTint="95" w:sz="4" w:space="0"/>
        <w:insideV w:val="single" w:color="000000" w:themeColor="text1" w:themeTint="95" w:sz="4" w:space="0"/>
      </w:tblBorders>
    </w:tblPr>
    <w:tblStylePr w:type="band1Horz">
      <w:rPr>
        <w:rFonts w:ascii="Arial" w:hAnsi="Arial"/>
        <w:color w:val="404040"/>
        <w:sz w:val="22"/>
      </w:rPr>
      <w:tcPr>
        <w:shd w:val="clear" w:color="ffffff" w:themeColor="text1" w:themeTint="34" w:fill="cbcbcb" w:themeFill="text1" w:themeFillTint="34"/>
      </w:tcPr>
    </w:tblStylePr>
    <w:tblStylePr w:type="band1Vert">
      <w:rPr>
        <w:rFonts w:ascii="Arial" w:hAnsi="Arial"/>
        <w:color w:val="404040"/>
        <w:sz w:val="22"/>
      </w:rPr>
      <w:tcPr>
        <w:shd w:val="clear" w:color="ffffff" w:themeColor="text1" w:themeTint="34" w:fill="cbcbcb" w:themeFill="text1" w:themeFillTint="34"/>
      </w:tcPr>
    </w:tblStylePr>
    <w:tblStylePr w:type="firstCol">
      <w:rPr>
        <w:b/>
        <w:color w:val="404040"/>
      </w:rPr>
    </w:tblStylePr>
    <w:tblStylePr w:type="firstRow">
      <w:rPr>
        <w:b/>
        <w:color w:val="404040"/>
      </w:rPr>
      <w:tcPr>
        <w:shd w:val="clear" w:color="ffffff"/>
        <w:tcBorders>
          <w:top w:val="none" w:color="000000" w:sz="4" w:space="0"/>
          <w:left w:val="none" w:color="000000" w:sz="4" w:space="0"/>
          <w:bottom w:val="single" w:color="000000" w:themeColor="text1" w:themeTint="95" w:sz="12" w:space="0"/>
          <w:right w:val="none" w:color="000000" w:sz="4" w:space="0"/>
        </w:tcBorders>
      </w:tcPr>
    </w:tblStylePr>
    <w:tblStylePr w:type="lastCol">
      <w:rPr>
        <w:b/>
        <w:color w:val="404040"/>
      </w:rPr>
    </w:tblStylePr>
    <w:tblStylePr w:type="lastRow">
      <w:rPr>
        <w:b/>
        <w:color w:val="404040"/>
      </w:rPr>
      <w:tcPr>
        <w:shd w:val="clear" w:color="ffffff"/>
        <w:tcBorders>
          <w:top w:val="single" w:color="000000" w:themeColor="text1" w:themeTint="95" w:sz="4" w:space="0"/>
          <w:left w:val="none" w:color="000000" w:sz="4" w:space="0"/>
          <w:bottom w:val="none" w:color="000000" w:sz="4" w:space="0"/>
          <w:right w:val="none" w:color="000000" w:sz="4" w:space="0"/>
        </w:tcBorders>
      </w:tcPr>
    </w:tblStylePr>
  </w:style>
  <w:style w:type="table" w:styleId="1111">
    <w:name w:val="Grid Table 2 - Accent 1"/>
    <w:basedOn w:val="1235"/>
    <w:uiPriority w:val="99"/>
    <w:pPr>
      <w:spacing w:after="0" w:line="240" w:lineRule="auto"/>
    </w:pPr>
    <w:tblPr>
      <w:tblStyleRowBandSize w:val="1"/>
      <w:tblStyleColBandSize w:val="1"/>
      <w:tblInd w:w="0" w:type="dxa"/>
      <w:tblBorders>
        <w:bottom w:val="single" w:color="000000" w:themeColor="accent1" w:themeTint="EA" w:sz="4" w:space="0"/>
        <w:insideH w:val="single" w:color="000000" w:themeColor="accent1" w:themeTint="EA" w:sz="4" w:space="0"/>
        <w:insideV w:val="single" w:color="000000" w:themeColor="accent1" w:themeTint="EA" w:sz="4" w:space="0"/>
      </w:tblBorders>
    </w:tblPr>
    <w:tblStylePr w:type="band1Horz">
      <w:rPr>
        <w:rFonts w:ascii="Arial" w:hAnsi="Arial"/>
        <w:color w:val="404040"/>
        <w:sz w:val="22"/>
      </w:rPr>
      <w:tcPr>
        <w:shd w:val="clear" w:color="ffffff" w:themeColor="accent1" w:themeTint="34" w:fill="dae5f1" w:themeFill="accent1" w:themeFillTint="34"/>
      </w:tcPr>
    </w:tblStylePr>
    <w:tblStylePr w:type="band1Vert">
      <w:rPr>
        <w:rFonts w:ascii="Arial" w:hAnsi="Arial"/>
        <w:color w:val="404040"/>
        <w:sz w:val="22"/>
      </w:rPr>
      <w:tcPr>
        <w:shd w:val="clear" w:color="ffffff" w:themeColor="accent1" w:themeTint="34" w:fill="dae5f1" w:themeFill="accent1" w:themeFillTint="34"/>
      </w:tcPr>
    </w:tblStylePr>
    <w:tblStylePr w:type="firstCol">
      <w:rPr>
        <w:b/>
        <w:color w:val="404040"/>
      </w:rPr>
    </w:tblStylePr>
    <w:tblStylePr w:type="firstRow">
      <w:rPr>
        <w:b/>
        <w:color w:val="404040"/>
      </w:rPr>
      <w:tcPr>
        <w:shd w:val="clear" w:color="ffffff"/>
        <w:tcBorders>
          <w:top w:val="none" w:color="000000" w:sz="4" w:space="0"/>
          <w:left w:val="none" w:color="000000" w:sz="4" w:space="0"/>
          <w:bottom w:val="single" w:color="000000" w:themeColor="accent1" w:themeTint="EA" w:sz="12" w:space="0"/>
          <w:right w:val="none" w:color="000000" w:sz="4" w:space="0"/>
        </w:tcBorders>
      </w:tcPr>
    </w:tblStylePr>
    <w:tblStylePr w:type="lastCol">
      <w:rPr>
        <w:b/>
        <w:color w:val="404040"/>
      </w:rPr>
    </w:tblStylePr>
    <w:tblStylePr w:type="lastRow">
      <w:rPr>
        <w:b/>
        <w:color w:val="404040"/>
      </w:rPr>
      <w:tcPr>
        <w:shd w:val="clear" w:color="ffffff"/>
        <w:tcBorders>
          <w:top w:val="single" w:color="000000" w:themeColor="accent1" w:themeTint="EA" w:sz="4" w:space="0"/>
          <w:left w:val="none" w:color="000000" w:sz="4" w:space="0"/>
          <w:bottom w:val="none" w:color="000000" w:sz="4" w:space="0"/>
          <w:right w:val="none" w:color="000000" w:sz="4" w:space="0"/>
        </w:tcBorders>
      </w:tcPr>
    </w:tblStylePr>
  </w:style>
  <w:style w:type="table" w:styleId="1112">
    <w:name w:val="Grid Table 2 - Accent 2"/>
    <w:basedOn w:val="1235"/>
    <w:uiPriority w:val="99"/>
    <w:pPr>
      <w:spacing w:after="0" w:line="240" w:lineRule="auto"/>
    </w:pPr>
    <w:tblPr>
      <w:tblStyleRowBandSize w:val="1"/>
      <w:tblStyleColBandSize w:val="1"/>
      <w:tblInd w:w="0" w:type="dxa"/>
      <w:tblBorders>
        <w:bottom w:val="single" w:color="000000" w:themeColor="accent2" w:themeTint="97" w:sz="4" w:space="0"/>
        <w:insideH w:val="single" w:color="000000" w:themeColor="accent2" w:themeTint="97" w:sz="4" w:space="0"/>
        <w:insideV w:val="single" w:color="000000" w:themeColor="accent2" w:themeTint="97" w:sz="4" w:space="0"/>
      </w:tblBorders>
    </w:tblPr>
    <w:tblStylePr w:type="band1Horz">
      <w:rPr>
        <w:rFonts w:ascii="Arial" w:hAnsi="Arial"/>
        <w:color w:val="404040"/>
        <w:sz w:val="22"/>
      </w:rPr>
      <w:tcPr>
        <w:shd w:val="clear" w:color="ffffff" w:themeColor="accent2" w:themeTint="32" w:fill="f2dcdb" w:themeFill="accent2" w:themeFillTint="32"/>
      </w:tcPr>
    </w:tblStylePr>
    <w:tblStylePr w:type="band1Vert">
      <w:rPr>
        <w:rFonts w:ascii="Arial" w:hAnsi="Arial"/>
        <w:color w:val="404040"/>
        <w:sz w:val="22"/>
      </w:rPr>
      <w:tcPr>
        <w:shd w:val="clear" w:color="ffffff" w:themeColor="accent2" w:themeTint="32" w:fill="f2dcdb" w:themeFill="accent2" w:themeFillTint="32"/>
      </w:tcPr>
    </w:tblStylePr>
    <w:tblStylePr w:type="firstCol">
      <w:rPr>
        <w:b/>
        <w:color w:val="404040"/>
      </w:rPr>
    </w:tblStylePr>
    <w:tblStylePr w:type="firstRow">
      <w:rPr>
        <w:b/>
        <w:color w:val="404040"/>
      </w:rPr>
      <w:tcPr>
        <w:shd w:val="clear" w:color="ffffff"/>
        <w:tcBorders>
          <w:top w:val="none" w:color="000000" w:sz="4" w:space="0"/>
          <w:left w:val="none" w:color="000000" w:sz="4" w:space="0"/>
          <w:bottom w:val="single" w:color="000000" w:themeColor="accent2" w:themeTint="97" w:sz="12" w:space="0"/>
          <w:right w:val="none" w:color="000000" w:sz="4" w:space="0"/>
        </w:tcBorders>
      </w:tcPr>
    </w:tblStylePr>
    <w:tblStylePr w:type="lastCol">
      <w:rPr>
        <w:b/>
        <w:color w:val="404040"/>
      </w:rPr>
    </w:tblStylePr>
    <w:tblStylePr w:type="lastRow">
      <w:rPr>
        <w:b/>
        <w:color w:val="404040"/>
      </w:rPr>
      <w:tcPr>
        <w:shd w:val="clear" w:color="ffffff"/>
        <w:tcBorders>
          <w:top w:val="single" w:color="000000" w:themeColor="accent2" w:themeTint="97" w:sz="4" w:space="0"/>
          <w:left w:val="none" w:color="000000" w:sz="4" w:space="0"/>
          <w:bottom w:val="none" w:color="000000" w:sz="4" w:space="0"/>
          <w:right w:val="none" w:color="000000" w:sz="4" w:space="0"/>
        </w:tcBorders>
      </w:tcPr>
    </w:tblStylePr>
  </w:style>
  <w:style w:type="table" w:styleId="1113">
    <w:name w:val="Grid Table 2 - Accent 3"/>
    <w:basedOn w:val="1235"/>
    <w:uiPriority w:val="99"/>
    <w:pPr>
      <w:spacing w:after="0" w:line="240" w:lineRule="auto"/>
    </w:pPr>
    <w:tblPr>
      <w:tblStyleRowBandSize w:val="1"/>
      <w:tblStyleColBandSize w:val="1"/>
      <w:tblInd w:w="0" w:type="dxa"/>
      <w:tblBorders>
        <w:bottom w:val="single" w:color="000000" w:themeColor="accent3" w:themeTint="FE" w:sz="4" w:space="0"/>
        <w:insideH w:val="single" w:color="000000" w:themeColor="accent3" w:themeTint="FE" w:sz="4" w:space="0"/>
        <w:insideV w:val="single" w:color="000000" w:themeColor="accent3" w:themeTint="FE" w:sz="4" w:space="0"/>
      </w:tblBorders>
    </w:tblPr>
    <w:tblStylePr w:type="band1Horz">
      <w:rPr>
        <w:rFonts w:ascii="Arial" w:hAnsi="Arial"/>
        <w:color w:val="404040"/>
        <w:sz w:val="22"/>
      </w:rPr>
      <w:tcPr>
        <w:shd w:val="clear" w:color="ffffff" w:themeColor="accent3" w:themeTint="34" w:fill="eaf0dd" w:themeFill="accent3" w:themeFillTint="34"/>
      </w:tcPr>
    </w:tblStylePr>
    <w:tblStylePr w:type="band1Vert">
      <w:rPr>
        <w:rFonts w:ascii="Arial" w:hAnsi="Arial"/>
        <w:color w:val="404040"/>
        <w:sz w:val="22"/>
      </w:rPr>
      <w:tcPr>
        <w:shd w:val="clear" w:color="ffffff" w:themeColor="accent3" w:themeTint="34" w:fill="eaf0dd" w:themeFill="accent3" w:themeFillTint="34"/>
      </w:tcPr>
    </w:tblStylePr>
    <w:tblStylePr w:type="firstCol">
      <w:rPr>
        <w:b/>
        <w:color w:val="404040"/>
      </w:rPr>
    </w:tblStylePr>
    <w:tblStylePr w:type="firstRow">
      <w:rPr>
        <w:b/>
        <w:color w:val="404040"/>
      </w:rPr>
      <w:tcPr>
        <w:shd w:val="clear" w:color="ffffff"/>
        <w:tcBorders>
          <w:top w:val="none" w:color="000000" w:sz="4" w:space="0"/>
          <w:left w:val="none" w:color="000000" w:sz="4" w:space="0"/>
          <w:bottom w:val="single" w:color="000000" w:themeColor="accent3" w:themeTint="FE" w:sz="12" w:space="0"/>
          <w:right w:val="none" w:color="000000" w:sz="4" w:space="0"/>
        </w:tcBorders>
      </w:tcPr>
    </w:tblStylePr>
    <w:tblStylePr w:type="lastCol">
      <w:rPr>
        <w:b/>
        <w:color w:val="404040"/>
      </w:rPr>
    </w:tblStylePr>
    <w:tblStylePr w:type="lastRow">
      <w:rPr>
        <w:b/>
        <w:color w:val="404040"/>
      </w:rPr>
      <w:tcPr>
        <w:shd w:val="clear" w:color="ffffff"/>
        <w:tcBorders>
          <w:top w:val="single" w:color="000000" w:themeColor="accent3" w:themeTint="FE" w:sz="4" w:space="0"/>
          <w:left w:val="none" w:color="000000" w:sz="4" w:space="0"/>
          <w:bottom w:val="none" w:color="000000" w:sz="4" w:space="0"/>
          <w:right w:val="none" w:color="000000" w:sz="4" w:space="0"/>
        </w:tcBorders>
      </w:tcPr>
    </w:tblStylePr>
  </w:style>
  <w:style w:type="table" w:styleId="1114">
    <w:name w:val="Grid Table 2 - Accent 4"/>
    <w:basedOn w:val="1235"/>
    <w:uiPriority w:val="99"/>
    <w:pPr>
      <w:spacing w:after="0" w:line="240" w:lineRule="auto"/>
    </w:pPr>
    <w:tblPr>
      <w:tblStyleRowBandSize w:val="1"/>
      <w:tblStyleColBandSize w:val="1"/>
      <w:tblInd w:w="0" w:type="dxa"/>
      <w:tblBorders>
        <w:bottom w:val="single" w:color="000000" w:themeColor="accent4" w:themeTint="9A" w:sz="4" w:space="0"/>
        <w:insideH w:val="single" w:color="000000" w:themeColor="accent4" w:themeTint="9A" w:sz="4" w:space="0"/>
        <w:insideV w:val="single" w:color="000000" w:themeColor="accent4" w:themeTint="9A" w:sz="4" w:space="0"/>
      </w:tblBorders>
    </w:tblPr>
    <w:tblStylePr w:type="band1Horz">
      <w:rPr>
        <w:rFonts w:ascii="Arial" w:hAnsi="Arial"/>
        <w:color w:val="404040"/>
        <w:sz w:val="22"/>
      </w:rPr>
      <w:tcPr>
        <w:shd w:val="clear" w:color="ffffff" w:themeColor="accent4" w:themeTint="34" w:fill="e5dfec" w:themeFill="accent4" w:themeFillTint="34"/>
      </w:tcPr>
    </w:tblStylePr>
    <w:tblStylePr w:type="band1Vert">
      <w:rPr>
        <w:rFonts w:ascii="Arial" w:hAnsi="Arial"/>
        <w:color w:val="404040"/>
        <w:sz w:val="22"/>
      </w:rPr>
      <w:tcPr>
        <w:shd w:val="clear" w:color="ffffff" w:themeColor="accent4" w:themeTint="34" w:fill="e5dfec" w:themeFill="accent4" w:themeFillTint="34"/>
      </w:tcPr>
    </w:tblStylePr>
    <w:tblStylePr w:type="firstCol">
      <w:rPr>
        <w:b/>
        <w:color w:val="404040"/>
      </w:rPr>
    </w:tblStylePr>
    <w:tblStylePr w:type="firstRow">
      <w:rPr>
        <w:b/>
        <w:color w:val="404040"/>
      </w:rPr>
      <w:tcPr>
        <w:shd w:val="clear" w:color="ffffff"/>
        <w:tcBorders>
          <w:top w:val="none" w:color="000000" w:sz="4" w:space="0"/>
          <w:left w:val="none" w:color="000000" w:sz="4" w:space="0"/>
          <w:bottom w:val="single" w:color="000000" w:themeColor="accent4" w:themeTint="9A" w:sz="12" w:space="0"/>
          <w:right w:val="none" w:color="000000" w:sz="4" w:space="0"/>
        </w:tcBorders>
      </w:tcPr>
    </w:tblStylePr>
    <w:tblStylePr w:type="lastCol">
      <w:rPr>
        <w:b/>
        <w:color w:val="404040"/>
      </w:rPr>
    </w:tblStylePr>
    <w:tblStylePr w:type="lastRow">
      <w:rPr>
        <w:b/>
        <w:color w:val="404040"/>
      </w:rPr>
      <w:tcPr>
        <w:shd w:val="clear" w:color="ffffff"/>
        <w:tcBorders>
          <w:top w:val="single" w:color="000000" w:themeColor="accent4" w:themeTint="9A" w:sz="4" w:space="0"/>
          <w:left w:val="none" w:color="000000" w:sz="4" w:space="0"/>
          <w:bottom w:val="none" w:color="000000" w:sz="4" w:space="0"/>
          <w:right w:val="none" w:color="000000" w:sz="4" w:space="0"/>
        </w:tcBorders>
      </w:tcPr>
    </w:tblStylePr>
  </w:style>
  <w:style w:type="table" w:styleId="1115">
    <w:name w:val="Grid Table 2 - Accent 5"/>
    <w:basedOn w:val="1235"/>
    <w:uiPriority w:val="99"/>
    <w:pPr>
      <w:spacing w:after="0" w:line="240" w:lineRule="auto"/>
    </w:pPr>
    <w:tblPr>
      <w:tblStyleRowBandSize w:val="1"/>
      <w:tblStyleColBandSize w:val="1"/>
      <w:tblInd w:w="0" w:type="dxa"/>
      <w:tblBorders>
        <w:bottom w:val="single" w:color="000000" w:themeColor="accent5" w:sz="4" w:space="0"/>
        <w:insideH w:val="single" w:color="000000" w:themeColor="accent5" w:sz="4" w:space="0"/>
        <w:insideV w:val="single" w:color="000000" w:themeColor="accent5" w:sz="4" w:space="0"/>
      </w:tblBorders>
    </w:tblPr>
    <w:tblStylePr w:type="band1Horz">
      <w:rPr>
        <w:rFonts w:ascii="Arial" w:hAnsi="Arial"/>
        <w:color w:val="404040"/>
        <w:sz w:val="22"/>
      </w:rPr>
      <w:tcPr>
        <w:shd w:val="clear" w:color="ffffff" w:themeColor="accent5" w:themeTint="34" w:fill="daeef3" w:themeFill="accent5" w:themeFillTint="34"/>
      </w:tcPr>
    </w:tblStylePr>
    <w:tblStylePr w:type="band1Vert">
      <w:rPr>
        <w:rFonts w:ascii="Arial" w:hAnsi="Arial"/>
        <w:color w:val="404040"/>
        <w:sz w:val="22"/>
      </w:rPr>
      <w:tcPr>
        <w:shd w:val="clear" w:color="ffffff" w:themeColor="accent5" w:themeTint="34" w:fill="daeef3" w:themeFill="accent5" w:themeFillTint="34"/>
      </w:tcPr>
    </w:tblStylePr>
    <w:tblStylePr w:type="firstCol">
      <w:rPr>
        <w:b/>
        <w:color w:val="404040"/>
      </w:rPr>
    </w:tblStylePr>
    <w:tblStylePr w:type="firstRow">
      <w:rPr>
        <w:b/>
        <w:color w:val="404040"/>
      </w:rPr>
      <w:tcPr>
        <w:shd w:val="clear" w:color="ffffff"/>
        <w:tcBorders>
          <w:top w:val="none" w:color="000000" w:sz="4" w:space="0"/>
          <w:left w:val="none" w:color="000000" w:sz="4" w:space="0"/>
          <w:bottom w:val="single" w:color="000000" w:themeColor="accent5" w:sz="12" w:space="0"/>
          <w:right w:val="none" w:color="000000" w:sz="4" w:space="0"/>
        </w:tcBorders>
      </w:tcPr>
    </w:tblStylePr>
    <w:tblStylePr w:type="lastCol">
      <w:rPr>
        <w:b/>
        <w:color w:val="404040"/>
      </w:rPr>
    </w:tblStylePr>
    <w:tblStylePr w:type="lastRow">
      <w:rPr>
        <w:b/>
        <w:color w:val="404040"/>
      </w:rPr>
      <w:tcPr>
        <w:shd w:val="clear" w:color="ffffff"/>
        <w:tcBorders>
          <w:top w:val="single" w:color="000000" w:themeColor="accent5" w:sz="4" w:space="0"/>
          <w:left w:val="none" w:color="000000" w:sz="4" w:space="0"/>
          <w:bottom w:val="none" w:color="000000" w:sz="4" w:space="0"/>
          <w:right w:val="none" w:color="000000" w:sz="4" w:space="0"/>
        </w:tcBorders>
      </w:tcPr>
    </w:tblStylePr>
  </w:style>
  <w:style w:type="table" w:styleId="1116">
    <w:name w:val="Grid Table 2 - Accent 6"/>
    <w:basedOn w:val="1235"/>
    <w:uiPriority w:val="99"/>
    <w:pPr>
      <w:spacing w:after="0" w:line="240" w:lineRule="auto"/>
    </w:pPr>
    <w:tblPr>
      <w:tblStyleRowBandSize w:val="1"/>
      <w:tblStyleColBandSize w:val="1"/>
      <w:tblInd w:w="0" w:type="dxa"/>
      <w:tblBorders>
        <w:bottom w:val="single" w:color="000000" w:themeColor="accent6" w:sz="4" w:space="0"/>
        <w:insideH w:val="single" w:color="000000" w:themeColor="accent6" w:sz="4" w:space="0"/>
        <w:insideV w:val="single" w:color="000000" w:themeColor="accent6" w:sz="4" w:space="0"/>
      </w:tblBorders>
    </w:tblPr>
    <w:tblStylePr w:type="band1Horz">
      <w:rPr>
        <w:rFonts w:ascii="Arial" w:hAnsi="Arial"/>
        <w:color w:val="404040"/>
        <w:sz w:val="22"/>
      </w:rPr>
      <w:tcPr>
        <w:shd w:val="clear" w:color="ffffff" w:themeColor="accent6" w:themeTint="34" w:fill="fde9d8" w:themeFill="accent6" w:themeFillTint="34"/>
      </w:tcPr>
    </w:tblStylePr>
    <w:tblStylePr w:type="band1Vert">
      <w:rPr>
        <w:rFonts w:ascii="Arial" w:hAnsi="Arial"/>
        <w:color w:val="404040"/>
        <w:sz w:val="22"/>
      </w:rPr>
      <w:tcPr>
        <w:shd w:val="clear" w:color="ffffff" w:themeColor="accent6" w:themeTint="34" w:fill="fde9d8" w:themeFill="accent6" w:themeFillTint="34"/>
      </w:tcPr>
    </w:tblStylePr>
    <w:tblStylePr w:type="firstCol">
      <w:rPr>
        <w:b/>
        <w:color w:val="404040"/>
      </w:rPr>
    </w:tblStylePr>
    <w:tblStylePr w:type="firstRow">
      <w:rPr>
        <w:b/>
        <w:color w:val="404040"/>
      </w:rPr>
      <w:tcPr>
        <w:shd w:val="clear" w:color="ffffff"/>
        <w:tcBorders>
          <w:top w:val="none" w:color="000000" w:sz="4" w:space="0"/>
          <w:left w:val="none" w:color="000000" w:sz="4" w:space="0"/>
          <w:bottom w:val="single" w:color="000000" w:themeColor="accent6" w:sz="12" w:space="0"/>
          <w:right w:val="none" w:color="000000" w:sz="4" w:space="0"/>
        </w:tcBorders>
      </w:tcPr>
    </w:tblStylePr>
    <w:tblStylePr w:type="lastCol">
      <w:rPr>
        <w:b/>
        <w:color w:val="404040"/>
      </w:rPr>
    </w:tblStylePr>
    <w:tblStylePr w:type="lastRow">
      <w:rPr>
        <w:b/>
        <w:color w:val="404040"/>
      </w:rPr>
      <w:tcPr>
        <w:shd w:val="clear" w:color="ffffff"/>
        <w:tcBorders>
          <w:top w:val="single" w:color="000000" w:themeColor="accent6" w:sz="4" w:space="0"/>
          <w:left w:val="none" w:color="000000" w:sz="4" w:space="0"/>
          <w:bottom w:val="none" w:color="000000" w:sz="4" w:space="0"/>
          <w:right w:val="none" w:color="000000" w:sz="4" w:space="0"/>
        </w:tcBorders>
      </w:tcPr>
    </w:tblStylePr>
  </w:style>
  <w:style w:type="table" w:styleId="1117">
    <w:name w:val="Grid Table 3"/>
    <w:basedOn w:val="1235"/>
    <w:uiPriority w:val="99"/>
    <w:pPr>
      <w:spacing w:after="0" w:line="240" w:lineRule="auto"/>
    </w:pPr>
    <w:tblPr>
      <w:tblStyleRowBandSize w:val="1"/>
      <w:tblStyleColBandSize w:val="1"/>
      <w:tblInd w:w="0" w:type="dxa"/>
      <w:tblBorders>
        <w:bottom w:val="single" w:color="000000" w:themeColor="text1" w:themeTint="95" w:sz="4" w:space="0"/>
        <w:insideH w:val="single" w:color="000000" w:themeColor="text1" w:themeTint="95" w:sz="4" w:space="0"/>
        <w:insideV w:val="single" w:color="000000" w:themeColor="text1" w:themeTint="95" w:sz="4" w:space="0"/>
      </w:tblBorders>
    </w:tblPr>
    <w:tblStylePr w:type="band1Horz">
      <w:rPr>
        <w:rFonts w:ascii="Arial" w:hAnsi="Arial"/>
        <w:color w:val="404040"/>
        <w:sz w:val="22"/>
      </w:rPr>
      <w:tcPr>
        <w:shd w:val="clear" w:color="ffffff" w:themeColor="text1" w:themeTint="34" w:fill="cbcbcb" w:themeFill="text1" w:themeFillTint="34"/>
      </w:tcPr>
    </w:tblStylePr>
    <w:tblStylePr w:type="band1Vert">
      <w:rPr>
        <w:rFonts w:ascii="Arial" w:hAnsi="Arial"/>
        <w:color w:val="404040"/>
        <w:sz w:val="22"/>
      </w:rPr>
      <w:tcPr>
        <w:shd w:val="clear" w:color="ffffff" w:themeColor="text1" w:themeTint="34" w:fill="cbcbcb" w:themeFill="text1" w:themeFillTint="34"/>
      </w:tcPr>
    </w:tblStylePr>
    <w:tblStylePr w:type="firstCol">
      <w:rPr>
        <w:i/>
        <w:color w:val="404040"/>
      </w:rPr>
      <w:pPr>
        <w:jc w:val="right"/>
      </w:pPr>
      <w:tcPr>
        <w:shd w:val="clear" w:color="ffffff"/>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tcPr>
        <w:shd w:val="clear" w:color="ffffff"/>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tcBorders>
          <w:top w:val="none" w:color="000000" w:sz="4" w:space="0"/>
          <w:left w:val="none" w:color="000000" w:sz="4" w:space="0"/>
          <w:bottom w:val="none" w:color="000000" w:sz="4" w:space="0"/>
          <w:right w:val="none" w:color="000000" w:sz="4" w:space="0"/>
        </w:tcBorders>
      </w:tcPr>
    </w:tblStylePr>
  </w:style>
  <w:style w:type="table" w:styleId="1118">
    <w:name w:val="Grid Table 3 - Accent 1"/>
    <w:basedOn w:val="1235"/>
    <w:uiPriority w:val="99"/>
    <w:pPr>
      <w:spacing w:after="0" w:line="240" w:lineRule="auto"/>
    </w:pPr>
    <w:tblPr>
      <w:tblStyleRowBandSize w:val="1"/>
      <w:tblStyleColBandSize w:val="1"/>
      <w:tblInd w:w="0" w:type="dxa"/>
      <w:tblBorders>
        <w:bottom w:val="single" w:color="000000" w:themeColor="accent1" w:themeTint="EA" w:sz="4" w:space="0"/>
        <w:insideH w:val="single" w:color="000000" w:themeColor="accent1" w:themeTint="EA" w:sz="4" w:space="0"/>
        <w:insideV w:val="single" w:color="000000" w:themeColor="accent1" w:themeTint="EA" w:sz="4" w:space="0"/>
      </w:tblBorders>
    </w:tblPr>
    <w:tblStylePr w:type="band1Horz">
      <w:rPr>
        <w:rFonts w:ascii="Arial" w:hAnsi="Arial"/>
        <w:color w:val="404040"/>
        <w:sz w:val="22"/>
      </w:rPr>
      <w:tcPr>
        <w:shd w:val="clear" w:color="ffffff" w:themeColor="accent1" w:themeTint="34" w:fill="dae5f1" w:themeFill="accent1" w:themeFillTint="34"/>
      </w:tcPr>
    </w:tblStylePr>
    <w:tblStylePr w:type="band1Vert">
      <w:rPr>
        <w:rFonts w:ascii="Arial" w:hAnsi="Arial"/>
        <w:color w:val="404040"/>
        <w:sz w:val="22"/>
      </w:rPr>
      <w:tcPr>
        <w:shd w:val="clear" w:color="ffffff" w:themeColor="accent1" w:themeTint="34" w:fill="dae5f1" w:themeFill="accent1" w:themeFillTint="34"/>
      </w:tcPr>
    </w:tblStylePr>
    <w:tblStylePr w:type="firstCol">
      <w:rPr>
        <w:i/>
        <w:color w:val="404040"/>
      </w:rPr>
      <w:pPr>
        <w:jc w:val="right"/>
      </w:pPr>
      <w:tcPr>
        <w:shd w:val="clear" w:color="ffffff"/>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tcPr>
        <w:shd w:val="clear" w:color="ffffff"/>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tcBorders>
          <w:top w:val="none" w:color="000000" w:sz="4" w:space="0"/>
          <w:left w:val="none" w:color="000000" w:sz="4" w:space="0"/>
          <w:bottom w:val="none" w:color="000000" w:sz="4" w:space="0"/>
          <w:right w:val="none" w:color="000000" w:sz="4" w:space="0"/>
        </w:tcBorders>
      </w:tcPr>
    </w:tblStylePr>
  </w:style>
  <w:style w:type="table" w:styleId="1119">
    <w:name w:val="Grid Table 3 - Accent 2"/>
    <w:basedOn w:val="1235"/>
    <w:uiPriority w:val="99"/>
    <w:pPr>
      <w:spacing w:after="0" w:line="240" w:lineRule="auto"/>
    </w:pPr>
    <w:tblPr>
      <w:tblStyleRowBandSize w:val="1"/>
      <w:tblStyleColBandSize w:val="1"/>
      <w:tblInd w:w="0" w:type="dxa"/>
      <w:tblBorders>
        <w:bottom w:val="single" w:color="000000" w:themeColor="accent2" w:themeTint="97" w:sz="4" w:space="0"/>
        <w:insideH w:val="single" w:color="000000" w:themeColor="accent2" w:themeTint="97" w:sz="4" w:space="0"/>
        <w:insideV w:val="single" w:color="000000" w:themeColor="accent2" w:themeTint="97" w:sz="4" w:space="0"/>
      </w:tblBorders>
    </w:tblPr>
    <w:tblStylePr w:type="band1Horz">
      <w:rPr>
        <w:rFonts w:ascii="Arial" w:hAnsi="Arial"/>
        <w:color w:val="404040"/>
        <w:sz w:val="22"/>
      </w:rPr>
      <w:tcPr>
        <w:shd w:val="clear" w:color="ffffff" w:themeColor="accent2" w:themeTint="32" w:fill="f2dcdb" w:themeFill="accent2" w:themeFillTint="32"/>
      </w:tcPr>
    </w:tblStylePr>
    <w:tblStylePr w:type="band1Vert">
      <w:rPr>
        <w:rFonts w:ascii="Arial" w:hAnsi="Arial"/>
        <w:color w:val="404040"/>
        <w:sz w:val="22"/>
      </w:rPr>
      <w:tcPr>
        <w:shd w:val="clear" w:color="ffffff" w:themeColor="accent2" w:themeTint="32" w:fill="f2dcdb" w:themeFill="accent2" w:themeFillTint="32"/>
      </w:tcPr>
    </w:tblStylePr>
    <w:tblStylePr w:type="firstCol">
      <w:rPr>
        <w:i/>
        <w:color w:val="404040"/>
      </w:rPr>
      <w:pPr>
        <w:jc w:val="right"/>
      </w:pPr>
      <w:tcPr>
        <w:shd w:val="clear" w:color="ffffff"/>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tcPr>
        <w:shd w:val="clear" w:color="ffffff"/>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tcBorders>
          <w:top w:val="none" w:color="000000" w:sz="4" w:space="0"/>
          <w:left w:val="none" w:color="000000" w:sz="4" w:space="0"/>
          <w:bottom w:val="none" w:color="000000" w:sz="4" w:space="0"/>
          <w:right w:val="none" w:color="000000" w:sz="4" w:space="0"/>
        </w:tcBorders>
      </w:tcPr>
    </w:tblStylePr>
  </w:style>
  <w:style w:type="table" w:styleId="1120">
    <w:name w:val="Grid Table 3 - Accent 3"/>
    <w:basedOn w:val="1235"/>
    <w:uiPriority w:val="99"/>
    <w:pPr>
      <w:spacing w:after="0" w:line="240" w:lineRule="auto"/>
    </w:pPr>
    <w:tblPr>
      <w:tblStyleRowBandSize w:val="1"/>
      <w:tblStyleColBandSize w:val="1"/>
      <w:tblInd w:w="0" w:type="dxa"/>
      <w:tblBorders>
        <w:bottom w:val="single" w:color="000000" w:themeColor="accent3" w:themeTint="FE" w:sz="4" w:space="0"/>
        <w:insideH w:val="single" w:color="000000" w:themeColor="accent3" w:themeTint="FE" w:sz="4" w:space="0"/>
        <w:insideV w:val="single" w:color="000000" w:themeColor="accent3" w:themeTint="FE" w:sz="4" w:space="0"/>
      </w:tblBorders>
    </w:tblPr>
    <w:tblStylePr w:type="band1Horz">
      <w:rPr>
        <w:rFonts w:ascii="Arial" w:hAnsi="Arial"/>
        <w:color w:val="404040"/>
        <w:sz w:val="22"/>
      </w:rPr>
      <w:tcPr>
        <w:shd w:val="clear" w:color="ffffff" w:themeColor="accent3" w:themeTint="34" w:fill="eaf0dd" w:themeFill="accent3" w:themeFillTint="34"/>
      </w:tcPr>
    </w:tblStylePr>
    <w:tblStylePr w:type="band1Vert">
      <w:rPr>
        <w:rFonts w:ascii="Arial" w:hAnsi="Arial"/>
        <w:color w:val="404040"/>
        <w:sz w:val="22"/>
      </w:rPr>
      <w:tcPr>
        <w:shd w:val="clear" w:color="ffffff" w:themeColor="accent3" w:themeTint="34" w:fill="eaf0dd" w:themeFill="accent3" w:themeFillTint="34"/>
      </w:tcPr>
    </w:tblStylePr>
    <w:tblStylePr w:type="firstCol">
      <w:rPr>
        <w:i/>
        <w:color w:val="404040"/>
      </w:rPr>
      <w:pPr>
        <w:jc w:val="right"/>
      </w:pPr>
      <w:tcPr>
        <w:shd w:val="clear" w:color="ffffff"/>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tcPr>
        <w:shd w:val="clear" w:color="ffffff"/>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tcBorders>
          <w:top w:val="none" w:color="000000" w:sz="4" w:space="0"/>
          <w:left w:val="none" w:color="000000" w:sz="4" w:space="0"/>
          <w:bottom w:val="none" w:color="000000" w:sz="4" w:space="0"/>
          <w:right w:val="none" w:color="000000" w:sz="4" w:space="0"/>
        </w:tcBorders>
      </w:tcPr>
    </w:tblStylePr>
  </w:style>
  <w:style w:type="table" w:styleId="1121">
    <w:name w:val="Grid Table 3 - Accent 4"/>
    <w:basedOn w:val="1235"/>
    <w:uiPriority w:val="99"/>
    <w:pPr>
      <w:spacing w:after="0" w:line="240" w:lineRule="auto"/>
    </w:pPr>
    <w:tblPr>
      <w:tblStyleRowBandSize w:val="1"/>
      <w:tblStyleColBandSize w:val="1"/>
      <w:tblInd w:w="0" w:type="dxa"/>
      <w:tblBorders>
        <w:bottom w:val="single" w:color="000000" w:themeColor="accent4" w:themeTint="9A" w:sz="4" w:space="0"/>
        <w:insideH w:val="single" w:color="000000" w:themeColor="accent4" w:themeTint="9A" w:sz="4" w:space="0"/>
        <w:insideV w:val="single" w:color="000000" w:themeColor="accent4" w:themeTint="9A" w:sz="4" w:space="0"/>
      </w:tblBorders>
    </w:tblPr>
    <w:tblStylePr w:type="band1Horz">
      <w:rPr>
        <w:rFonts w:ascii="Arial" w:hAnsi="Arial"/>
        <w:color w:val="404040"/>
        <w:sz w:val="22"/>
      </w:rPr>
      <w:tcPr>
        <w:shd w:val="clear" w:color="ffffff" w:themeColor="accent4" w:themeTint="34" w:fill="e5dfec" w:themeFill="accent4" w:themeFillTint="34"/>
      </w:tcPr>
    </w:tblStylePr>
    <w:tblStylePr w:type="band1Vert">
      <w:rPr>
        <w:rFonts w:ascii="Arial" w:hAnsi="Arial"/>
        <w:color w:val="404040"/>
        <w:sz w:val="22"/>
      </w:rPr>
      <w:tcPr>
        <w:shd w:val="clear" w:color="ffffff" w:themeColor="accent4" w:themeTint="34" w:fill="e5dfec" w:themeFill="accent4" w:themeFillTint="34"/>
      </w:tcPr>
    </w:tblStylePr>
    <w:tblStylePr w:type="firstCol">
      <w:rPr>
        <w:i/>
        <w:color w:val="404040"/>
      </w:rPr>
      <w:pPr>
        <w:jc w:val="right"/>
      </w:pPr>
      <w:tcPr>
        <w:shd w:val="clear" w:color="ffffff"/>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tcPr>
        <w:shd w:val="clear" w:color="ffffff"/>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tcBorders>
          <w:top w:val="none" w:color="000000" w:sz="4" w:space="0"/>
          <w:left w:val="none" w:color="000000" w:sz="4" w:space="0"/>
          <w:bottom w:val="none" w:color="000000" w:sz="4" w:space="0"/>
          <w:right w:val="none" w:color="000000" w:sz="4" w:space="0"/>
        </w:tcBorders>
      </w:tcPr>
    </w:tblStylePr>
  </w:style>
  <w:style w:type="table" w:styleId="1122">
    <w:name w:val="Grid Table 3 - Accent 5"/>
    <w:basedOn w:val="1235"/>
    <w:uiPriority w:val="99"/>
    <w:pPr>
      <w:spacing w:after="0" w:line="240" w:lineRule="auto"/>
    </w:pPr>
    <w:tblPr>
      <w:tblStyleRowBandSize w:val="1"/>
      <w:tblStyleColBandSize w:val="1"/>
      <w:tblInd w:w="0" w:type="dxa"/>
      <w:tblBorders>
        <w:bottom w:val="single" w:color="000000" w:themeColor="accent5" w:sz="4" w:space="0"/>
        <w:insideH w:val="single" w:color="000000" w:themeColor="accent5" w:sz="4" w:space="0"/>
        <w:insideV w:val="single" w:color="000000" w:themeColor="accent5" w:sz="4" w:space="0"/>
      </w:tblBorders>
    </w:tblPr>
    <w:tblStylePr w:type="band1Horz">
      <w:rPr>
        <w:rFonts w:ascii="Arial" w:hAnsi="Arial"/>
        <w:color w:val="404040"/>
        <w:sz w:val="22"/>
      </w:rPr>
      <w:tcPr>
        <w:shd w:val="clear" w:color="ffffff" w:themeColor="accent5" w:themeTint="34" w:fill="daeef3" w:themeFill="accent5" w:themeFillTint="34"/>
      </w:tcPr>
    </w:tblStylePr>
    <w:tblStylePr w:type="band1Vert">
      <w:rPr>
        <w:rFonts w:ascii="Arial" w:hAnsi="Arial"/>
        <w:color w:val="404040"/>
        <w:sz w:val="22"/>
      </w:rPr>
      <w:tcPr>
        <w:shd w:val="clear" w:color="ffffff" w:themeColor="accent5" w:themeTint="34" w:fill="daeef3" w:themeFill="accent5" w:themeFillTint="34"/>
      </w:tcPr>
    </w:tblStylePr>
    <w:tblStylePr w:type="firstCol">
      <w:rPr>
        <w:i/>
        <w:color w:val="404040"/>
      </w:rPr>
      <w:pPr>
        <w:jc w:val="right"/>
      </w:pPr>
      <w:tcPr>
        <w:shd w:val="clear" w:color="ffffff"/>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tcPr>
        <w:shd w:val="clear" w:color="ffffff"/>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tcBorders>
          <w:top w:val="none" w:color="000000" w:sz="4" w:space="0"/>
          <w:left w:val="none" w:color="000000" w:sz="4" w:space="0"/>
          <w:bottom w:val="none" w:color="000000" w:sz="4" w:space="0"/>
          <w:right w:val="none" w:color="000000" w:sz="4" w:space="0"/>
        </w:tcBorders>
      </w:tcPr>
    </w:tblStylePr>
  </w:style>
  <w:style w:type="table" w:styleId="1123">
    <w:name w:val="Grid Table 3 - Accent 6"/>
    <w:basedOn w:val="1235"/>
    <w:uiPriority w:val="99"/>
    <w:pPr>
      <w:spacing w:after="0" w:line="240" w:lineRule="auto"/>
    </w:pPr>
    <w:tblPr>
      <w:tblStyleRowBandSize w:val="1"/>
      <w:tblStyleColBandSize w:val="1"/>
      <w:tblInd w:w="0" w:type="dxa"/>
      <w:tblBorders>
        <w:bottom w:val="single" w:color="000000" w:themeColor="accent6" w:sz="4" w:space="0"/>
        <w:insideH w:val="single" w:color="000000" w:themeColor="accent6" w:sz="4" w:space="0"/>
        <w:insideV w:val="single" w:color="000000" w:themeColor="accent6" w:sz="4" w:space="0"/>
      </w:tblBorders>
    </w:tblPr>
    <w:tblStylePr w:type="band1Horz">
      <w:rPr>
        <w:rFonts w:ascii="Arial" w:hAnsi="Arial"/>
        <w:color w:val="404040"/>
        <w:sz w:val="22"/>
      </w:rPr>
      <w:tcPr>
        <w:shd w:val="clear" w:color="ffffff" w:themeColor="accent6" w:themeTint="34" w:fill="fde9d8" w:themeFill="accent6" w:themeFillTint="34"/>
      </w:tcPr>
    </w:tblStylePr>
    <w:tblStylePr w:type="band1Vert">
      <w:rPr>
        <w:rFonts w:ascii="Arial" w:hAnsi="Arial"/>
        <w:color w:val="404040"/>
        <w:sz w:val="22"/>
      </w:rPr>
      <w:tcPr>
        <w:shd w:val="clear" w:color="ffffff" w:themeColor="accent6" w:themeTint="34" w:fill="fde9d8" w:themeFill="accent6" w:themeFillTint="34"/>
      </w:tcPr>
    </w:tblStylePr>
    <w:tblStylePr w:type="firstCol">
      <w:rPr>
        <w:i/>
        <w:color w:val="404040"/>
      </w:rPr>
      <w:pPr>
        <w:jc w:val="right"/>
      </w:pPr>
      <w:tcPr>
        <w:shd w:val="clear" w:color="ffffff"/>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tcPr>
        <w:shd w:val="clear" w:color="ffffff"/>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tcBorders>
          <w:top w:val="none" w:color="000000" w:sz="4" w:space="0"/>
          <w:left w:val="none" w:color="000000" w:sz="4" w:space="0"/>
          <w:bottom w:val="none" w:color="000000" w:sz="4" w:space="0"/>
          <w:right w:val="none" w:color="000000" w:sz="4" w:space="0"/>
        </w:tcBorders>
      </w:tcPr>
    </w:tblStylePr>
  </w:style>
  <w:style w:type="table" w:styleId="1124">
    <w:name w:val="Grid Table 4"/>
    <w:basedOn w:val="1235"/>
    <w:uiPriority w:val="59"/>
    <w:pPr>
      <w:spacing w:after="0" w:line="240" w:lineRule="auto"/>
    </w:pPr>
    <w:tblPr>
      <w:tblStyleRowBandSize w:val="1"/>
      <w:tblStyleColBandSize w:val="1"/>
      <w:tblInd w:w="0" w:type="dxa"/>
      <w:tblBorders>
        <w:top w:val="single" w:color="000000" w:themeColor="text1" w:themeTint="90" w:sz="4" w:space="0"/>
        <w:left w:val="single" w:color="000000" w:themeColor="text1" w:themeTint="90" w:sz="4" w:space="0"/>
        <w:bottom w:val="single" w:color="000000" w:themeColor="text1" w:themeTint="90" w:sz="4" w:space="0"/>
        <w:right w:val="single" w:color="000000" w:themeColor="text1" w:themeTint="90" w:sz="4" w:space="0"/>
        <w:insideH w:val="single" w:color="000000" w:themeColor="text1" w:themeTint="90" w:sz="4" w:space="0"/>
        <w:insideV w:val="single" w:color="000000" w:themeColor="text1" w:themeTint="90" w:sz="4" w:space="0"/>
      </w:tblBorders>
    </w:tblPr>
    <w:tblStylePr w:type="band1Horz">
      <w:rPr>
        <w:rFonts w:ascii="Arial" w:hAnsi="Arial"/>
        <w:color w:val="404040"/>
        <w:sz w:val="22"/>
      </w:rPr>
      <w:tcPr>
        <w:shd w:val="clear" w:color="ffffff" w:themeColor="text1" w:themeTint="34" w:fill="cbcbcb" w:themeFill="text1" w:themeFillTint="34"/>
      </w:tcPr>
    </w:tblStylePr>
    <w:tblStylePr w:type="band1Vert">
      <w:rPr>
        <w:rFonts w:ascii="Arial" w:hAnsi="Arial"/>
        <w:color w:val="404040"/>
        <w:sz w:val="22"/>
      </w:rPr>
      <w:tcPr>
        <w:shd w:val="clear" w:color="ffffff" w:themeColor="text1" w:themeTint="34" w:fill="cbcbcb" w:themeFill="text1" w:themeFillTint="34"/>
      </w:tcPr>
    </w:tblStylePr>
    <w:tblStylePr w:type="firstCol">
      <w:rPr>
        <w:b/>
        <w:color w:val="404040"/>
      </w:rPr>
    </w:tblStylePr>
    <w:tblStylePr w:type="firstRow">
      <w:rPr>
        <w:rFonts w:ascii="Arial" w:hAnsi="Arial"/>
        <w:b/>
        <w:color w:val="ffffff"/>
        <w:sz w:val="22"/>
      </w:rPr>
      <w:tcPr>
        <w:shd w:val="clear" w:color="ffffff" w:themeColor="text1" w:fill="000000" w:themeFill="text1"/>
        <w:tcBorders>
          <w:top w:val="single" w:color="000000" w:themeColor="text1" w:sz="4" w:space="0"/>
          <w:left w:val="single" w:color="000000" w:themeColor="text1" w:sz="4" w:space="0"/>
          <w:bottom w:val="single" w:color="000000" w:themeColor="text1" w:sz="4" w:space="0"/>
          <w:right w:val="single" w:color="000000" w:themeColor="text1" w:sz="4" w:space="0"/>
        </w:tcBorders>
      </w:tcPr>
    </w:tblStylePr>
    <w:tblStylePr w:type="lastCol">
      <w:rPr>
        <w:b/>
        <w:color w:val="404040"/>
      </w:rPr>
    </w:tblStylePr>
    <w:tblStylePr w:type="lastRow">
      <w:rPr>
        <w:b/>
        <w:color w:val="404040"/>
      </w:rPr>
      <w:tcPr>
        <w:tcBorders>
          <w:top w:val="single" w:color="000000" w:themeColor="text1" w:sz="4" w:space="0"/>
        </w:tcBorders>
      </w:tcPr>
    </w:tblStylePr>
  </w:style>
  <w:style w:type="table" w:styleId="1125">
    <w:name w:val="Grid Table 4 - Accent 1"/>
    <w:basedOn w:val="1235"/>
    <w:uiPriority w:val="59"/>
    <w:pPr>
      <w:spacing w:after="0" w:line="240" w:lineRule="auto"/>
    </w:pPr>
    <w:tblPr>
      <w:tblStyleRowBandSize w:val="1"/>
      <w:tblStyleColBandSize w:val="1"/>
      <w:tblInd w:w="0" w:type="dxa"/>
      <w:tblBorders>
        <w:top w:val="single" w:color="000000" w:themeColor="accent1" w:themeTint="90" w:sz="4" w:space="0"/>
        <w:left w:val="single" w:color="000000" w:themeColor="accent1" w:themeTint="90" w:sz="4" w:space="0"/>
        <w:bottom w:val="single" w:color="000000" w:themeColor="accent1" w:themeTint="90" w:sz="4" w:space="0"/>
        <w:right w:val="single" w:color="000000" w:themeColor="accent1" w:themeTint="90" w:sz="4" w:space="0"/>
        <w:insideH w:val="single" w:color="000000" w:themeColor="accent1" w:themeTint="90" w:sz="4" w:space="0"/>
        <w:insideV w:val="single" w:color="000000" w:themeColor="accent1" w:themeTint="90" w:sz="4" w:space="0"/>
      </w:tblBorders>
    </w:tblPr>
    <w:tblStylePr w:type="band1Horz">
      <w:rPr>
        <w:rFonts w:ascii="Arial" w:hAnsi="Arial"/>
        <w:color w:val="404040"/>
        <w:sz w:val="22"/>
      </w:rPr>
      <w:tcPr>
        <w:shd w:val="clear" w:color="ffffff" w:themeColor="accent1" w:themeTint="32" w:fill="dce6f1" w:themeFill="accent1" w:themeFillTint="32"/>
      </w:tcPr>
    </w:tblStylePr>
    <w:tblStylePr w:type="band1Vert">
      <w:rPr>
        <w:rFonts w:ascii="Arial" w:hAnsi="Arial"/>
        <w:color w:val="404040"/>
        <w:sz w:val="22"/>
      </w:rPr>
      <w:tcPr>
        <w:shd w:val="clear" w:color="ffffff" w:themeColor="accent1" w:themeTint="32" w:fill="dce6f1" w:themeFill="accent1" w:themeFillTint="32"/>
      </w:tcPr>
    </w:tblStylePr>
    <w:tblStylePr w:type="firstCol">
      <w:rPr>
        <w:b/>
        <w:color w:val="404040"/>
      </w:rPr>
    </w:tblStylePr>
    <w:tblStylePr w:type="firstRow">
      <w:rPr>
        <w:rFonts w:ascii="Arial" w:hAnsi="Arial"/>
        <w:b/>
        <w:color w:val="ffffff"/>
        <w:sz w:val="22"/>
      </w:rPr>
      <w:tcPr>
        <w:shd w:val="clear" w:color="ffffff" w:themeColor="accent1" w:themeTint="EA" w:fill="5d8dc2" w:themeFill="accent1" w:themeFillTint="EA"/>
        <w:tcBorders>
          <w:top w:val="single" w:color="000000" w:themeColor="accent1" w:themeTint="EA" w:sz="4" w:space="0"/>
          <w:left w:val="single" w:color="000000" w:themeColor="accent1" w:themeTint="EA" w:sz="4" w:space="0"/>
          <w:bottom w:val="single" w:color="000000" w:themeColor="accent1" w:themeTint="EA" w:sz="4" w:space="0"/>
          <w:right w:val="single" w:color="000000" w:themeColor="accent1" w:themeTint="EA" w:sz="4" w:space="0"/>
        </w:tcBorders>
      </w:tcPr>
    </w:tblStylePr>
    <w:tblStylePr w:type="lastCol">
      <w:rPr>
        <w:b/>
        <w:color w:val="404040"/>
      </w:rPr>
    </w:tblStylePr>
    <w:tblStylePr w:type="lastRow">
      <w:rPr>
        <w:b/>
        <w:color w:val="404040"/>
      </w:rPr>
      <w:tcPr>
        <w:tcBorders>
          <w:top w:val="single" w:color="000000" w:themeColor="accent1" w:themeTint="EA" w:sz="4" w:space="0"/>
        </w:tcBorders>
      </w:tcPr>
    </w:tblStylePr>
  </w:style>
  <w:style w:type="table" w:styleId="1126">
    <w:name w:val="Grid Table 4 - Accent 2"/>
    <w:basedOn w:val="1235"/>
    <w:uiPriority w:val="59"/>
    <w:pPr>
      <w:spacing w:after="0" w:line="240" w:lineRule="auto"/>
    </w:pPr>
    <w:tblPr>
      <w:tblStyleRowBandSize w:val="1"/>
      <w:tblStyleColBandSize w:val="1"/>
      <w:tblInd w:w="0" w:type="dxa"/>
      <w:tblBorders>
        <w:top w:val="single" w:color="000000" w:themeColor="accent2" w:themeTint="90" w:sz="4" w:space="0"/>
        <w:left w:val="single" w:color="000000" w:themeColor="accent2" w:themeTint="90" w:sz="4" w:space="0"/>
        <w:bottom w:val="single" w:color="000000" w:themeColor="accent2" w:themeTint="90" w:sz="4" w:space="0"/>
        <w:right w:val="single" w:color="000000" w:themeColor="accent2" w:themeTint="90" w:sz="4" w:space="0"/>
        <w:insideH w:val="single" w:color="000000" w:themeColor="accent2" w:themeTint="90" w:sz="4" w:space="0"/>
        <w:insideV w:val="single" w:color="000000" w:themeColor="accent2" w:themeTint="90" w:sz="4" w:space="0"/>
      </w:tblBorders>
    </w:tblPr>
    <w:tblStylePr w:type="band1Horz">
      <w:rPr>
        <w:rFonts w:ascii="Arial" w:hAnsi="Arial"/>
        <w:color w:val="404040"/>
        <w:sz w:val="22"/>
      </w:rPr>
      <w:tcPr>
        <w:shd w:val="clear" w:color="ffffff" w:themeColor="accent2" w:themeTint="32" w:fill="f2dcdb" w:themeFill="accent2" w:themeFillTint="32"/>
      </w:tcPr>
    </w:tblStylePr>
    <w:tblStylePr w:type="band1Vert">
      <w:rPr>
        <w:rFonts w:ascii="Arial" w:hAnsi="Arial"/>
        <w:color w:val="404040"/>
        <w:sz w:val="22"/>
      </w:rPr>
      <w:tcPr>
        <w:shd w:val="clear" w:color="ffffff" w:themeColor="accent2" w:themeTint="32" w:fill="f2dcdb" w:themeFill="accent2" w:themeFillTint="32"/>
      </w:tcPr>
    </w:tblStylePr>
    <w:tblStylePr w:type="firstCol">
      <w:rPr>
        <w:b/>
        <w:color w:val="404040"/>
      </w:rPr>
    </w:tblStylePr>
    <w:tblStylePr w:type="firstRow">
      <w:rPr>
        <w:rFonts w:ascii="Arial" w:hAnsi="Arial"/>
        <w:b/>
        <w:color w:val="ffffff"/>
        <w:sz w:val="22"/>
      </w:rPr>
      <w:tcPr>
        <w:shd w:val="clear" w:color="ffffff" w:themeColor="accent2" w:themeTint="97" w:fill="d99694" w:themeFill="accent2" w:themeFillTint="97"/>
        <w:tcBorders>
          <w:top w:val="single" w:color="000000" w:themeColor="accent2" w:themeTint="97" w:sz="4" w:space="0"/>
          <w:left w:val="single" w:color="000000" w:themeColor="accent2" w:themeTint="97" w:sz="4" w:space="0"/>
          <w:bottom w:val="single" w:color="000000" w:themeColor="accent2" w:themeTint="97" w:sz="4" w:space="0"/>
          <w:right w:val="single" w:color="000000" w:themeColor="accent2" w:themeTint="97" w:sz="4" w:space="0"/>
        </w:tcBorders>
      </w:tcPr>
    </w:tblStylePr>
    <w:tblStylePr w:type="lastCol">
      <w:rPr>
        <w:b/>
        <w:color w:val="404040"/>
      </w:rPr>
    </w:tblStylePr>
    <w:tblStylePr w:type="lastRow">
      <w:rPr>
        <w:b/>
        <w:color w:val="404040"/>
      </w:rPr>
      <w:tcPr>
        <w:tcBorders>
          <w:top w:val="single" w:color="000000" w:themeColor="accent2" w:themeTint="97" w:sz="4" w:space="0"/>
        </w:tcBorders>
      </w:tcPr>
    </w:tblStylePr>
  </w:style>
  <w:style w:type="table" w:styleId="1127">
    <w:name w:val="Grid Table 4 - Accent 3"/>
    <w:basedOn w:val="1235"/>
    <w:uiPriority w:val="59"/>
    <w:pPr>
      <w:spacing w:after="0" w:line="240" w:lineRule="auto"/>
    </w:pPr>
    <w:tblPr>
      <w:tblStyleRowBandSize w:val="1"/>
      <w:tblStyleColBandSize w:val="1"/>
      <w:tblInd w:w="0" w:type="dxa"/>
      <w:tblBorders>
        <w:top w:val="single" w:color="000000" w:themeColor="accent3" w:themeTint="90" w:sz="4" w:space="0"/>
        <w:left w:val="single" w:color="000000" w:themeColor="accent3" w:themeTint="90" w:sz="4" w:space="0"/>
        <w:bottom w:val="single" w:color="000000" w:themeColor="accent3" w:themeTint="90" w:sz="4" w:space="0"/>
        <w:right w:val="single" w:color="000000" w:themeColor="accent3" w:themeTint="90" w:sz="4" w:space="0"/>
        <w:insideH w:val="single" w:color="000000" w:themeColor="accent3" w:themeTint="90" w:sz="4" w:space="0"/>
        <w:insideV w:val="single" w:color="000000" w:themeColor="accent3" w:themeTint="90" w:sz="4" w:space="0"/>
      </w:tblBorders>
    </w:tblPr>
    <w:tblStylePr w:type="band1Horz">
      <w:rPr>
        <w:rFonts w:ascii="Arial" w:hAnsi="Arial"/>
        <w:color w:val="404040"/>
        <w:sz w:val="22"/>
      </w:rPr>
      <w:tcPr>
        <w:shd w:val="clear" w:color="ffffff" w:themeColor="accent3" w:themeTint="34" w:fill="eaf0dd" w:themeFill="accent3" w:themeFillTint="34"/>
      </w:tcPr>
    </w:tblStylePr>
    <w:tblStylePr w:type="band1Vert">
      <w:rPr>
        <w:rFonts w:ascii="Arial" w:hAnsi="Arial"/>
        <w:color w:val="404040"/>
        <w:sz w:val="22"/>
      </w:rPr>
      <w:tcPr>
        <w:shd w:val="clear" w:color="ffffff" w:themeColor="accent3" w:themeTint="34" w:fill="eaf0dd" w:themeFill="accent3" w:themeFillTint="34"/>
      </w:tcPr>
    </w:tblStylePr>
    <w:tblStylePr w:type="firstCol">
      <w:rPr>
        <w:b/>
        <w:color w:val="404040"/>
      </w:rPr>
    </w:tblStylePr>
    <w:tblStylePr w:type="firstRow">
      <w:rPr>
        <w:rFonts w:ascii="Arial" w:hAnsi="Arial"/>
        <w:b/>
        <w:color w:val="ffffff"/>
        <w:sz w:val="22"/>
      </w:rPr>
      <w:tcPr>
        <w:shd w:val="clear" w:color="ffffff" w:themeColor="accent3" w:themeTint="FE" w:fill="9bba59" w:themeFill="accent3" w:themeFillTint="FE"/>
        <w:tcBorders>
          <w:top w:val="single" w:color="000000" w:themeColor="accent3" w:themeTint="FE" w:sz="4" w:space="0"/>
          <w:left w:val="single" w:color="000000" w:themeColor="accent3" w:themeTint="FE" w:sz="4" w:space="0"/>
          <w:bottom w:val="single" w:color="000000" w:themeColor="accent3" w:themeTint="FE" w:sz="4" w:space="0"/>
          <w:right w:val="single" w:color="000000" w:themeColor="accent3" w:themeTint="FE" w:sz="4" w:space="0"/>
        </w:tcBorders>
      </w:tcPr>
    </w:tblStylePr>
    <w:tblStylePr w:type="lastCol">
      <w:rPr>
        <w:b/>
        <w:color w:val="404040"/>
      </w:rPr>
    </w:tblStylePr>
    <w:tblStylePr w:type="lastRow">
      <w:rPr>
        <w:b/>
        <w:color w:val="404040"/>
      </w:rPr>
      <w:tcPr>
        <w:tcBorders>
          <w:top w:val="single" w:color="000000" w:themeColor="accent3" w:themeTint="FE" w:sz="4" w:space="0"/>
        </w:tcBorders>
      </w:tcPr>
    </w:tblStylePr>
  </w:style>
  <w:style w:type="table" w:styleId="1128">
    <w:name w:val="Grid Table 4 - Accent 4"/>
    <w:basedOn w:val="1235"/>
    <w:uiPriority w:val="59"/>
    <w:pPr>
      <w:spacing w:after="0" w:line="240" w:lineRule="auto"/>
    </w:pPr>
    <w:tblPr>
      <w:tblStyleRowBandSize w:val="1"/>
      <w:tblStyleColBandSize w:val="1"/>
      <w:tblInd w:w="0" w:type="dxa"/>
      <w:tblBorders>
        <w:top w:val="single" w:color="000000" w:themeColor="accent4" w:themeTint="90" w:sz="4" w:space="0"/>
        <w:left w:val="single" w:color="000000" w:themeColor="accent4" w:themeTint="90" w:sz="4" w:space="0"/>
        <w:bottom w:val="single" w:color="000000" w:themeColor="accent4" w:themeTint="90" w:sz="4" w:space="0"/>
        <w:right w:val="single" w:color="000000" w:themeColor="accent4" w:themeTint="90" w:sz="4" w:space="0"/>
        <w:insideH w:val="single" w:color="000000" w:themeColor="accent4" w:themeTint="90" w:sz="4" w:space="0"/>
        <w:insideV w:val="single" w:color="000000" w:themeColor="accent4" w:themeTint="90" w:sz="4" w:space="0"/>
      </w:tblBorders>
    </w:tblPr>
    <w:tblStylePr w:type="band1Horz">
      <w:rPr>
        <w:rFonts w:ascii="Arial" w:hAnsi="Arial"/>
        <w:color w:val="404040"/>
        <w:sz w:val="22"/>
      </w:rPr>
      <w:tcPr>
        <w:shd w:val="clear" w:color="ffffff" w:themeColor="accent4" w:themeTint="34" w:fill="e5dfec" w:themeFill="accent4" w:themeFillTint="34"/>
      </w:tcPr>
    </w:tblStylePr>
    <w:tblStylePr w:type="band1Vert">
      <w:rPr>
        <w:rFonts w:ascii="Arial" w:hAnsi="Arial"/>
        <w:color w:val="404040"/>
        <w:sz w:val="22"/>
      </w:rPr>
      <w:tcPr>
        <w:shd w:val="clear" w:color="ffffff" w:themeColor="accent4" w:themeTint="34" w:fill="e5dfec" w:themeFill="accent4" w:themeFillTint="34"/>
      </w:tcPr>
    </w:tblStylePr>
    <w:tblStylePr w:type="firstCol">
      <w:rPr>
        <w:b/>
        <w:color w:val="404040"/>
      </w:rPr>
    </w:tblStylePr>
    <w:tblStylePr w:type="firstRow">
      <w:rPr>
        <w:rFonts w:ascii="Arial" w:hAnsi="Arial"/>
        <w:b/>
        <w:color w:val="ffffff"/>
        <w:sz w:val="22"/>
      </w:rPr>
      <w:tcPr>
        <w:shd w:val="clear" w:color="ffffff" w:themeColor="accent4" w:themeTint="9A" w:fill="b2a1c6" w:themeFill="accent4" w:themeFillTint="9A"/>
        <w:tcBorders>
          <w:top w:val="single" w:color="000000" w:themeColor="accent4" w:themeTint="9A" w:sz="4" w:space="0"/>
          <w:left w:val="single" w:color="000000" w:themeColor="accent4" w:themeTint="9A" w:sz="4" w:space="0"/>
          <w:bottom w:val="single" w:color="000000" w:themeColor="accent4" w:themeTint="9A" w:sz="4" w:space="0"/>
          <w:right w:val="single" w:color="000000" w:themeColor="accent4" w:themeTint="9A" w:sz="4" w:space="0"/>
        </w:tcBorders>
      </w:tcPr>
    </w:tblStylePr>
    <w:tblStylePr w:type="lastCol">
      <w:rPr>
        <w:b/>
        <w:color w:val="404040"/>
      </w:rPr>
    </w:tblStylePr>
    <w:tblStylePr w:type="lastRow">
      <w:rPr>
        <w:b/>
        <w:color w:val="404040"/>
      </w:rPr>
      <w:tcPr>
        <w:tcBorders>
          <w:top w:val="single" w:color="000000" w:themeColor="accent4" w:themeTint="9A" w:sz="4" w:space="0"/>
        </w:tcBorders>
      </w:tcPr>
    </w:tblStylePr>
  </w:style>
  <w:style w:type="table" w:styleId="1129">
    <w:name w:val="Grid Table 4 - Accent 5"/>
    <w:basedOn w:val="1235"/>
    <w:uiPriority w:val="59"/>
    <w:pPr>
      <w:spacing w:after="0" w:line="240" w:lineRule="auto"/>
    </w:pPr>
    <w:tblPr>
      <w:tblStyleRowBandSize w:val="1"/>
      <w:tblStyleColBandSize w:val="1"/>
      <w:tblInd w:w="0" w:type="dxa"/>
      <w:tblBorders>
        <w:top w:val="single" w:color="000000" w:themeColor="accent5" w:themeTint="90" w:sz="4" w:space="0"/>
        <w:left w:val="single" w:color="000000" w:themeColor="accent5" w:themeTint="90" w:sz="4" w:space="0"/>
        <w:bottom w:val="single" w:color="000000" w:themeColor="accent5" w:themeTint="90" w:sz="4" w:space="0"/>
        <w:right w:val="single" w:color="000000" w:themeColor="accent5" w:themeTint="90" w:sz="4" w:space="0"/>
        <w:insideH w:val="single" w:color="000000" w:themeColor="accent5" w:themeTint="90" w:sz="4" w:space="0"/>
        <w:insideV w:val="single" w:color="000000" w:themeColor="accent5" w:themeTint="90" w:sz="4" w:space="0"/>
      </w:tblBorders>
    </w:tblPr>
    <w:tblStylePr w:type="band1Horz">
      <w:rPr>
        <w:rFonts w:ascii="Arial" w:hAnsi="Arial"/>
        <w:color w:val="404040"/>
        <w:sz w:val="22"/>
      </w:rPr>
      <w:tcPr>
        <w:shd w:val="clear" w:color="ffffff" w:themeColor="accent5" w:themeTint="34" w:fill="daeef3" w:themeFill="accent5" w:themeFillTint="34"/>
      </w:tcPr>
    </w:tblStylePr>
    <w:tblStylePr w:type="band1Vert">
      <w:rPr>
        <w:rFonts w:ascii="Arial" w:hAnsi="Arial"/>
        <w:color w:val="404040"/>
        <w:sz w:val="22"/>
      </w:rPr>
      <w:tcPr>
        <w:shd w:val="clear" w:color="ffffff" w:themeColor="accent5" w:themeTint="34" w:fill="daeef3" w:themeFill="accent5" w:themeFillTint="34"/>
      </w:tcPr>
    </w:tblStylePr>
    <w:tblStylePr w:type="firstCol">
      <w:rPr>
        <w:b/>
        <w:color w:val="404040"/>
      </w:rPr>
    </w:tblStylePr>
    <w:tblStylePr w:type="firstRow">
      <w:rPr>
        <w:rFonts w:ascii="Arial" w:hAnsi="Arial"/>
        <w:b/>
        <w:color w:val="ffffff"/>
        <w:sz w:val="22"/>
      </w:rPr>
      <w:tcPr>
        <w:shd w:val="clear" w:color="ffffff" w:themeColor="accent5" w:fill="4bacc6" w:themeFill="accent5"/>
        <w:tcBorders>
          <w:top w:val="single" w:color="000000" w:themeColor="accent5" w:sz="4" w:space="0"/>
          <w:left w:val="single" w:color="000000" w:themeColor="accent5" w:sz="4" w:space="0"/>
          <w:bottom w:val="single" w:color="000000" w:themeColor="accent5" w:sz="4" w:space="0"/>
          <w:right w:val="single" w:color="000000" w:themeColor="accent5" w:sz="4" w:space="0"/>
        </w:tcBorders>
      </w:tcPr>
    </w:tblStylePr>
    <w:tblStylePr w:type="lastCol">
      <w:rPr>
        <w:b/>
        <w:color w:val="404040"/>
      </w:rPr>
    </w:tblStylePr>
    <w:tblStylePr w:type="lastRow">
      <w:rPr>
        <w:b/>
        <w:color w:val="404040"/>
      </w:rPr>
      <w:tcPr>
        <w:tcBorders>
          <w:top w:val="single" w:color="000000" w:themeColor="accent5" w:sz="4" w:space="0"/>
        </w:tcBorders>
      </w:tcPr>
    </w:tblStylePr>
  </w:style>
  <w:style w:type="table" w:styleId="1130">
    <w:name w:val="Grid Table 4 - Accent 6"/>
    <w:basedOn w:val="1235"/>
    <w:uiPriority w:val="59"/>
    <w:pPr>
      <w:spacing w:after="0" w:line="240" w:lineRule="auto"/>
    </w:pPr>
    <w:tblPr>
      <w:tblStyleRowBandSize w:val="1"/>
      <w:tblStyleColBandSize w:val="1"/>
      <w:tblInd w:w="0" w:type="dxa"/>
      <w:tblBorders>
        <w:top w:val="single" w:color="000000" w:themeColor="accent6" w:themeTint="90" w:sz="4" w:space="0"/>
        <w:left w:val="single" w:color="000000" w:themeColor="accent6" w:themeTint="90" w:sz="4" w:space="0"/>
        <w:bottom w:val="single" w:color="000000" w:themeColor="accent6" w:themeTint="90" w:sz="4" w:space="0"/>
        <w:right w:val="single" w:color="000000" w:themeColor="accent6" w:themeTint="90" w:sz="4" w:space="0"/>
        <w:insideH w:val="single" w:color="000000" w:themeColor="accent6" w:themeTint="90" w:sz="4" w:space="0"/>
        <w:insideV w:val="single" w:color="000000" w:themeColor="accent6" w:themeTint="90" w:sz="4" w:space="0"/>
      </w:tblBorders>
    </w:tblPr>
    <w:tblStylePr w:type="band1Horz">
      <w:rPr>
        <w:rFonts w:ascii="Arial" w:hAnsi="Arial"/>
        <w:color w:val="404040"/>
        <w:sz w:val="22"/>
      </w:rPr>
      <w:tcPr>
        <w:shd w:val="clear" w:color="ffffff" w:themeColor="accent6" w:themeTint="34" w:fill="fde9d8" w:themeFill="accent6" w:themeFillTint="34"/>
      </w:tcPr>
    </w:tblStylePr>
    <w:tblStylePr w:type="band1Vert">
      <w:rPr>
        <w:rFonts w:ascii="Arial" w:hAnsi="Arial"/>
        <w:color w:val="404040"/>
        <w:sz w:val="22"/>
      </w:rPr>
      <w:tcPr>
        <w:shd w:val="clear" w:color="ffffff" w:themeColor="accent6" w:themeTint="34" w:fill="fde9d8" w:themeFill="accent6" w:themeFillTint="34"/>
      </w:tcPr>
    </w:tblStylePr>
    <w:tblStylePr w:type="firstCol">
      <w:rPr>
        <w:b/>
        <w:color w:val="404040"/>
      </w:rPr>
    </w:tblStylePr>
    <w:tblStylePr w:type="firstRow">
      <w:rPr>
        <w:rFonts w:ascii="Arial" w:hAnsi="Arial"/>
        <w:b/>
        <w:color w:val="ffffff"/>
        <w:sz w:val="22"/>
      </w:rPr>
      <w:tcPr>
        <w:shd w:val="clear" w:color="ffffff" w:themeColor="accent6" w:fill="f79646" w:themeFill="accent6"/>
        <w:tcBorders>
          <w:top w:val="single" w:color="000000" w:themeColor="accent6" w:sz="4" w:space="0"/>
          <w:left w:val="single" w:color="000000" w:themeColor="accent6" w:sz="4" w:space="0"/>
          <w:bottom w:val="single" w:color="000000" w:themeColor="accent6" w:sz="4" w:space="0"/>
          <w:right w:val="single" w:color="000000" w:themeColor="accent6" w:sz="4" w:space="0"/>
        </w:tcBorders>
      </w:tcPr>
    </w:tblStylePr>
    <w:tblStylePr w:type="lastCol">
      <w:rPr>
        <w:b/>
        <w:color w:val="404040"/>
      </w:rPr>
    </w:tblStylePr>
    <w:tblStylePr w:type="lastRow">
      <w:rPr>
        <w:b/>
        <w:color w:val="404040"/>
      </w:rPr>
      <w:tcPr>
        <w:tcBorders>
          <w:top w:val="single" w:color="000000" w:themeColor="accent6" w:sz="4" w:space="0"/>
        </w:tcBorders>
      </w:tcPr>
    </w:tblStylePr>
  </w:style>
  <w:style w:type="table" w:styleId="1131">
    <w:name w:val="Grid Table 5 Dark"/>
    <w:basedOn w:val="1235"/>
    <w:uiPriority w:val="99"/>
    <w:pPr>
      <w:spacing w:after="0" w:line="240" w:lineRule="auto"/>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text1" w:themeTint="40" w:fill="bfbfbf" w:themeFill="text1" w:themeFillTint="40"/>
    </w:tblPr>
    <w:tblStylePr w:type="band1Horz">
      <w:tcPr>
        <w:shd w:val="clear" w:color="ffffff" w:themeColor="text1" w:themeTint="75" w:fill="8a8a8a" w:themeFill="text1" w:themeFillTint="75"/>
      </w:tcPr>
    </w:tblStylePr>
    <w:tblStylePr w:type="band1Vert">
      <w:tcPr>
        <w:shd w:val="clear" w:color="ffffff" w:themeColor="text1" w:themeTint="75" w:fill="8a8a8a" w:themeFill="text1" w:themeFillTint="75"/>
      </w:tcPr>
    </w:tblStylePr>
    <w:tblStylePr w:type="firstCol">
      <w:rPr>
        <w:rFonts w:ascii="Arial" w:hAnsi="Arial"/>
        <w:b/>
        <w:color w:val="ffffff"/>
        <w:sz w:val="22"/>
      </w:rPr>
      <w:tcPr>
        <w:shd w:val="clear" w:color="ffffff" w:themeColor="text1" w:fill="000000" w:themeFill="text1"/>
      </w:tcPr>
    </w:tblStylePr>
    <w:tblStylePr w:type="firstRow">
      <w:rPr>
        <w:rFonts w:ascii="Arial" w:hAnsi="Arial"/>
        <w:b/>
        <w:color w:val="ffffff"/>
        <w:sz w:val="22"/>
      </w:rPr>
      <w:tcPr>
        <w:shd w:val="clear" w:color="ffffff" w:themeColor="text1" w:fill="000000" w:themeFill="text1"/>
      </w:tcPr>
    </w:tblStylePr>
    <w:tblStylePr w:type="lastCol">
      <w:rPr>
        <w:rFonts w:ascii="Arial" w:hAnsi="Arial"/>
        <w:b/>
        <w:color w:val="ffffff"/>
        <w:sz w:val="22"/>
      </w:rPr>
      <w:tcPr>
        <w:shd w:val="clear" w:color="ffffff" w:themeColor="text1" w:fill="000000" w:themeFill="text1"/>
      </w:tcPr>
    </w:tblStylePr>
    <w:tblStylePr w:type="lastRow">
      <w:rPr>
        <w:rFonts w:ascii="Arial" w:hAnsi="Arial"/>
        <w:b/>
        <w:color w:val="ffffff"/>
        <w:sz w:val="22"/>
      </w:rPr>
      <w:tcPr>
        <w:shd w:val="clear" w:color="ffffff" w:themeColor="text1" w:fill="000000" w:themeFill="text1"/>
        <w:tcBorders>
          <w:top w:val="single" w:color="000000" w:themeColor="light1" w:sz="4" w:space="0"/>
        </w:tcBorders>
      </w:tcPr>
    </w:tblStylePr>
  </w:style>
  <w:style w:type="table" w:styleId="1132">
    <w:name w:val="Grid Table 5 Dark- Accent 1"/>
    <w:basedOn w:val="1235"/>
    <w:uiPriority w:val="99"/>
    <w:pPr>
      <w:spacing w:after="0" w:line="240" w:lineRule="auto"/>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1" w:themeTint="34" w:fill="dae5f1" w:themeFill="accent1" w:themeFillTint="34"/>
    </w:tblPr>
    <w:tblStylePr w:type="band1Horz">
      <w:tcPr>
        <w:shd w:val="clear" w:color="ffffff" w:themeColor="accent1" w:themeTint="75" w:fill="adc5e0" w:themeFill="accent1" w:themeFillTint="75"/>
      </w:tcPr>
    </w:tblStylePr>
    <w:tblStylePr w:type="band1Vert">
      <w:tcPr>
        <w:shd w:val="clear" w:color="ffffff" w:themeColor="accent1" w:themeTint="75" w:fill="adc5e0" w:themeFill="accent1" w:themeFillTint="75"/>
      </w:tcPr>
    </w:tblStylePr>
    <w:tblStylePr w:type="firstCol">
      <w:rPr>
        <w:rFonts w:ascii="Arial" w:hAnsi="Arial"/>
        <w:b/>
        <w:color w:val="ffffff"/>
        <w:sz w:val="22"/>
      </w:rPr>
      <w:tcPr>
        <w:shd w:val="clear" w:color="ffffff" w:themeColor="accent1" w:fill="4f81bd" w:themeFill="accent1"/>
      </w:tcPr>
    </w:tblStylePr>
    <w:tblStylePr w:type="firstRow">
      <w:rPr>
        <w:rFonts w:ascii="Arial" w:hAnsi="Arial"/>
        <w:b/>
        <w:color w:val="ffffff"/>
        <w:sz w:val="22"/>
      </w:rPr>
      <w:tcPr>
        <w:shd w:val="clear" w:color="ffffff" w:themeColor="accent1" w:fill="4f81bd" w:themeFill="accent1"/>
      </w:tcPr>
    </w:tblStylePr>
    <w:tblStylePr w:type="lastCol">
      <w:rPr>
        <w:rFonts w:ascii="Arial" w:hAnsi="Arial"/>
        <w:b/>
        <w:color w:val="ffffff"/>
        <w:sz w:val="22"/>
      </w:rPr>
      <w:tcPr>
        <w:shd w:val="clear" w:color="ffffff" w:themeColor="accent1" w:fill="4f81bd" w:themeFill="accent1"/>
      </w:tcPr>
    </w:tblStylePr>
    <w:tblStylePr w:type="lastRow">
      <w:rPr>
        <w:rFonts w:ascii="Arial" w:hAnsi="Arial"/>
        <w:b/>
        <w:color w:val="ffffff"/>
        <w:sz w:val="22"/>
      </w:rPr>
      <w:tcPr>
        <w:shd w:val="clear" w:color="ffffff" w:themeColor="accent1" w:fill="4f81bd" w:themeFill="accent1"/>
        <w:tcBorders>
          <w:top w:val="single" w:color="000000" w:themeColor="light1" w:sz="4" w:space="0"/>
        </w:tcBorders>
      </w:tcPr>
    </w:tblStylePr>
  </w:style>
  <w:style w:type="table" w:styleId="1133">
    <w:name w:val="Grid Table 5 Dark - Accent 2"/>
    <w:basedOn w:val="1235"/>
    <w:uiPriority w:val="99"/>
    <w:pPr>
      <w:spacing w:after="0" w:line="240" w:lineRule="auto"/>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2" w:themeTint="32" w:fill="f2dcdb" w:themeFill="accent2" w:themeFillTint="32"/>
    </w:tblPr>
    <w:tblStylePr w:type="band1Horz">
      <w:tcPr>
        <w:shd w:val="clear" w:color="ffffff" w:themeColor="accent2" w:themeTint="75" w:fill="e1adac" w:themeFill="accent2" w:themeFillTint="75"/>
      </w:tcPr>
    </w:tblStylePr>
    <w:tblStylePr w:type="band1Vert">
      <w:tcPr>
        <w:shd w:val="clear" w:color="ffffff" w:themeColor="accent2" w:themeTint="75" w:fill="e1adac" w:themeFill="accent2" w:themeFillTint="75"/>
      </w:tcPr>
    </w:tblStylePr>
    <w:tblStylePr w:type="firstCol">
      <w:rPr>
        <w:rFonts w:ascii="Arial" w:hAnsi="Arial"/>
        <w:b/>
        <w:color w:val="ffffff"/>
        <w:sz w:val="22"/>
      </w:rPr>
      <w:tcPr>
        <w:shd w:val="clear" w:color="ffffff" w:themeColor="accent2" w:fill="c0504d" w:themeFill="accent2"/>
      </w:tcPr>
    </w:tblStylePr>
    <w:tblStylePr w:type="firstRow">
      <w:rPr>
        <w:rFonts w:ascii="Arial" w:hAnsi="Arial"/>
        <w:b/>
        <w:color w:val="ffffff"/>
        <w:sz w:val="22"/>
      </w:rPr>
      <w:tcPr>
        <w:shd w:val="clear" w:color="ffffff" w:themeColor="accent2" w:fill="c0504d" w:themeFill="accent2"/>
      </w:tcPr>
    </w:tblStylePr>
    <w:tblStylePr w:type="lastCol">
      <w:rPr>
        <w:rFonts w:ascii="Arial" w:hAnsi="Arial"/>
        <w:b/>
        <w:color w:val="ffffff"/>
        <w:sz w:val="22"/>
      </w:rPr>
      <w:tcPr>
        <w:shd w:val="clear" w:color="ffffff" w:themeColor="accent2" w:fill="c0504d" w:themeFill="accent2"/>
      </w:tcPr>
    </w:tblStylePr>
    <w:tblStylePr w:type="lastRow">
      <w:rPr>
        <w:rFonts w:ascii="Arial" w:hAnsi="Arial"/>
        <w:b/>
        <w:color w:val="ffffff"/>
        <w:sz w:val="22"/>
      </w:rPr>
      <w:tcPr>
        <w:shd w:val="clear" w:color="ffffff" w:themeColor="accent2" w:fill="c0504d" w:themeFill="accent2"/>
        <w:tcBorders>
          <w:top w:val="single" w:color="000000" w:themeColor="light1" w:sz="4" w:space="0"/>
        </w:tcBorders>
      </w:tcPr>
    </w:tblStylePr>
  </w:style>
  <w:style w:type="table" w:styleId="1134">
    <w:name w:val="Grid Table 5 Dark - Accent 3"/>
    <w:basedOn w:val="1235"/>
    <w:uiPriority w:val="99"/>
    <w:pPr>
      <w:spacing w:after="0" w:line="240" w:lineRule="auto"/>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3" w:themeTint="34" w:fill="eaf0dd" w:themeFill="accent3" w:themeFillTint="34"/>
    </w:tblPr>
    <w:tblStylePr w:type="band1Horz">
      <w:tcPr>
        <w:shd w:val="clear" w:color="ffffff" w:themeColor="accent3" w:themeTint="75" w:fill="d1dfb2" w:themeFill="accent3" w:themeFillTint="75"/>
      </w:tcPr>
    </w:tblStylePr>
    <w:tblStylePr w:type="band1Vert">
      <w:tcPr>
        <w:shd w:val="clear" w:color="ffffff" w:themeColor="accent3" w:themeTint="75" w:fill="d1dfb2" w:themeFill="accent3" w:themeFillTint="75"/>
      </w:tcPr>
    </w:tblStylePr>
    <w:tblStylePr w:type="firstCol">
      <w:rPr>
        <w:rFonts w:ascii="Arial" w:hAnsi="Arial"/>
        <w:b/>
        <w:color w:val="ffffff"/>
        <w:sz w:val="22"/>
      </w:rPr>
      <w:tcPr>
        <w:shd w:val="clear" w:color="ffffff" w:themeColor="accent3" w:fill="9bbb59" w:themeFill="accent3"/>
      </w:tcPr>
    </w:tblStylePr>
    <w:tblStylePr w:type="firstRow">
      <w:rPr>
        <w:rFonts w:ascii="Arial" w:hAnsi="Arial"/>
        <w:b/>
        <w:color w:val="ffffff"/>
        <w:sz w:val="22"/>
      </w:rPr>
      <w:tcPr>
        <w:shd w:val="clear" w:color="ffffff" w:themeColor="accent3" w:fill="9bbb59" w:themeFill="accent3"/>
      </w:tcPr>
    </w:tblStylePr>
    <w:tblStylePr w:type="lastCol">
      <w:rPr>
        <w:rFonts w:ascii="Arial" w:hAnsi="Arial"/>
        <w:b/>
        <w:color w:val="ffffff"/>
        <w:sz w:val="22"/>
      </w:rPr>
      <w:tcPr>
        <w:shd w:val="clear" w:color="ffffff" w:themeColor="accent3" w:fill="9bbb59" w:themeFill="accent3"/>
      </w:tcPr>
    </w:tblStylePr>
    <w:tblStylePr w:type="lastRow">
      <w:rPr>
        <w:rFonts w:ascii="Arial" w:hAnsi="Arial"/>
        <w:b/>
        <w:color w:val="ffffff"/>
        <w:sz w:val="22"/>
      </w:rPr>
      <w:tcPr>
        <w:shd w:val="clear" w:color="ffffff" w:themeColor="accent3" w:fill="9bbb59" w:themeFill="accent3"/>
        <w:tcBorders>
          <w:top w:val="single" w:color="000000" w:themeColor="light1" w:sz="4" w:space="0"/>
        </w:tcBorders>
      </w:tcPr>
    </w:tblStylePr>
  </w:style>
  <w:style w:type="table" w:styleId="1135">
    <w:name w:val="Grid Table 5 Dark- Accent 4"/>
    <w:basedOn w:val="1235"/>
    <w:uiPriority w:val="99"/>
    <w:pPr>
      <w:spacing w:after="0" w:line="240" w:lineRule="auto"/>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4" w:themeTint="34" w:fill="e5dfec" w:themeFill="accent4" w:themeFillTint="34"/>
    </w:tblPr>
    <w:tblStylePr w:type="band1Horz">
      <w:tcPr>
        <w:shd w:val="clear" w:color="ffffff" w:themeColor="accent4" w:themeTint="75" w:fill="c4b7d4" w:themeFill="accent4" w:themeFillTint="75"/>
      </w:tcPr>
    </w:tblStylePr>
    <w:tblStylePr w:type="band1Vert">
      <w:tcPr>
        <w:shd w:val="clear" w:color="ffffff" w:themeColor="accent4" w:themeTint="75" w:fill="c4b7d4" w:themeFill="accent4" w:themeFillTint="75"/>
      </w:tcPr>
    </w:tblStylePr>
    <w:tblStylePr w:type="firstCol">
      <w:rPr>
        <w:rFonts w:ascii="Arial" w:hAnsi="Arial"/>
        <w:b/>
        <w:color w:val="ffffff"/>
        <w:sz w:val="22"/>
      </w:rPr>
      <w:tcPr>
        <w:shd w:val="clear" w:color="ffffff" w:themeColor="accent4" w:fill="8064a2" w:themeFill="accent4"/>
      </w:tcPr>
    </w:tblStylePr>
    <w:tblStylePr w:type="firstRow">
      <w:rPr>
        <w:rFonts w:ascii="Arial" w:hAnsi="Arial"/>
        <w:b/>
        <w:color w:val="ffffff"/>
        <w:sz w:val="22"/>
      </w:rPr>
      <w:tcPr>
        <w:shd w:val="clear" w:color="ffffff" w:themeColor="accent4" w:fill="8064a2" w:themeFill="accent4"/>
      </w:tcPr>
    </w:tblStylePr>
    <w:tblStylePr w:type="lastCol">
      <w:rPr>
        <w:rFonts w:ascii="Arial" w:hAnsi="Arial"/>
        <w:b/>
        <w:color w:val="ffffff"/>
        <w:sz w:val="22"/>
      </w:rPr>
      <w:tcPr>
        <w:shd w:val="clear" w:color="ffffff" w:themeColor="accent4" w:fill="8064a2" w:themeFill="accent4"/>
      </w:tcPr>
    </w:tblStylePr>
    <w:tblStylePr w:type="lastRow">
      <w:rPr>
        <w:rFonts w:ascii="Arial" w:hAnsi="Arial"/>
        <w:b/>
        <w:color w:val="ffffff"/>
        <w:sz w:val="22"/>
      </w:rPr>
      <w:tcPr>
        <w:shd w:val="clear" w:color="ffffff" w:themeColor="accent4" w:fill="8064a2" w:themeFill="accent4"/>
        <w:tcBorders>
          <w:top w:val="single" w:color="000000" w:themeColor="light1" w:sz="4" w:space="0"/>
        </w:tcBorders>
      </w:tcPr>
    </w:tblStylePr>
  </w:style>
  <w:style w:type="table" w:styleId="1136">
    <w:name w:val="Grid Table 5 Dark - Accent 5"/>
    <w:basedOn w:val="1235"/>
    <w:uiPriority w:val="99"/>
    <w:pPr>
      <w:spacing w:after="0" w:line="240" w:lineRule="auto"/>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5" w:themeTint="34" w:fill="daeef3" w:themeFill="accent5" w:themeFillTint="34"/>
    </w:tblPr>
    <w:tblStylePr w:type="band1Horz">
      <w:tcPr>
        <w:shd w:val="clear" w:color="ffffff" w:themeColor="accent5" w:themeTint="75" w:fill="abd9e4" w:themeFill="accent5" w:themeFillTint="75"/>
      </w:tcPr>
    </w:tblStylePr>
    <w:tblStylePr w:type="band1Vert">
      <w:tcPr>
        <w:shd w:val="clear" w:color="ffffff" w:themeColor="accent5" w:themeTint="75" w:fill="abd9e4" w:themeFill="accent5" w:themeFillTint="75"/>
      </w:tcPr>
    </w:tblStylePr>
    <w:tblStylePr w:type="firstCol">
      <w:rPr>
        <w:rFonts w:ascii="Arial" w:hAnsi="Arial"/>
        <w:b/>
        <w:color w:val="ffffff"/>
        <w:sz w:val="22"/>
      </w:rPr>
      <w:tcPr>
        <w:shd w:val="clear" w:color="ffffff" w:themeColor="accent5" w:fill="4bacc6" w:themeFill="accent5"/>
      </w:tcPr>
    </w:tblStylePr>
    <w:tblStylePr w:type="firstRow">
      <w:rPr>
        <w:rFonts w:ascii="Arial" w:hAnsi="Arial"/>
        <w:b/>
        <w:color w:val="ffffff"/>
        <w:sz w:val="22"/>
      </w:rPr>
      <w:tcPr>
        <w:shd w:val="clear" w:color="ffffff" w:themeColor="accent5" w:fill="4bacc6" w:themeFill="accent5"/>
      </w:tcPr>
    </w:tblStylePr>
    <w:tblStylePr w:type="lastCol">
      <w:rPr>
        <w:rFonts w:ascii="Arial" w:hAnsi="Arial"/>
        <w:b/>
        <w:color w:val="ffffff"/>
        <w:sz w:val="22"/>
      </w:rPr>
      <w:tcPr>
        <w:shd w:val="clear" w:color="ffffff" w:themeColor="accent5" w:fill="4bacc6" w:themeFill="accent5"/>
      </w:tcPr>
    </w:tblStylePr>
    <w:tblStylePr w:type="lastRow">
      <w:rPr>
        <w:rFonts w:ascii="Arial" w:hAnsi="Arial"/>
        <w:b/>
        <w:color w:val="ffffff"/>
        <w:sz w:val="22"/>
      </w:rPr>
      <w:tcPr>
        <w:shd w:val="clear" w:color="ffffff" w:themeColor="accent5" w:fill="4bacc6" w:themeFill="accent5"/>
        <w:tcBorders>
          <w:top w:val="single" w:color="000000" w:themeColor="light1" w:sz="4" w:space="0"/>
        </w:tcBorders>
      </w:tcPr>
    </w:tblStylePr>
  </w:style>
  <w:style w:type="table" w:styleId="1137">
    <w:name w:val="Grid Table 5 Dark - Accent 6"/>
    <w:basedOn w:val="1235"/>
    <w:uiPriority w:val="99"/>
    <w:pPr>
      <w:spacing w:after="0" w:line="240" w:lineRule="auto"/>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6" w:themeTint="34" w:fill="fde9d8" w:themeFill="accent6" w:themeFillTint="34"/>
    </w:tblPr>
    <w:tblStylePr w:type="band1Horz">
      <w:tcPr>
        <w:shd w:val="clear" w:color="ffffff" w:themeColor="accent6" w:themeTint="75" w:fill="fbcda8" w:themeFill="accent6" w:themeFillTint="75"/>
      </w:tcPr>
    </w:tblStylePr>
    <w:tblStylePr w:type="band1Vert">
      <w:tcPr>
        <w:shd w:val="clear" w:color="ffffff" w:themeColor="accent6" w:themeTint="75" w:fill="fbcda8" w:themeFill="accent6" w:themeFillTint="75"/>
      </w:tcPr>
    </w:tblStylePr>
    <w:tblStylePr w:type="firstCol">
      <w:rPr>
        <w:rFonts w:ascii="Arial" w:hAnsi="Arial"/>
        <w:b/>
        <w:color w:val="ffffff"/>
        <w:sz w:val="22"/>
      </w:rPr>
      <w:tcPr>
        <w:shd w:val="clear" w:color="ffffff" w:themeColor="accent6" w:fill="f79646" w:themeFill="accent6"/>
      </w:tcPr>
    </w:tblStylePr>
    <w:tblStylePr w:type="firstRow">
      <w:rPr>
        <w:rFonts w:ascii="Arial" w:hAnsi="Arial"/>
        <w:b/>
        <w:color w:val="ffffff"/>
        <w:sz w:val="22"/>
      </w:rPr>
      <w:tcPr>
        <w:shd w:val="clear" w:color="ffffff" w:themeColor="accent6" w:fill="f79646" w:themeFill="accent6"/>
      </w:tcPr>
    </w:tblStylePr>
    <w:tblStylePr w:type="lastCol">
      <w:rPr>
        <w:rFonts w:ascii="Arial" w:hAnsi="Arial"/>
        <w:b/>
        <w:color w:val="ffffff"/>
        <w:sz w:val="22"/>
      </w:rPr>
      <w:tcPr>
        <w:shd w:val="clear" w:color="ffffff" w:themeColor="accent6" w:fill="f79646" w:themeFill="accent6"/>
      </w:tcPr>
    </w:tblStylePr>
    <w:tblStylePr w:type="lastRow">
      <w:rPr>
        <w:rFonts w:ascii="Arial" w:hAnsi="Arial"/>
        <w:b/>
        <w:color w:val="ffffff"/>
        <w:sz w:val="22"/>
      </w:rPr>
      <w:tcPr>
        <w:shd w:val="clear" w:color="ffffff" w:themeColor="accent6" w:fill="f79646" w:themeFill="accent6"/>
        <w:tcBorders>
          <w:top w:val="single" w:color="000000" w:themeColor="light1" w:sz="4" w:space="0"/>
        </w:tcBorders>
      </w:tcPr>
    </w:tblStylePr>
  </w:style>
  <w:style w:type="table" w:styleId="1138">
    <w:name w:val="Grid Table 6 Colorful"/>
    <w:basedOn w:val="1235"/>
    <w:uiPriority w:val="99"/>
    <w:pPr>
      <w:spacing w:after="0" w:line="240" w:lineRule="auto"/>
    </w:pPr>
    <w:tblPr>
      <w:tblStyleRowBandSize w:val="1"/>
      <w:tblStyleColBandSize w:val="1"/>
      <w:tblInd w:w="0" w:type="dxa"/>
      <w:tblBorders>
        <w:top w:val="single" w:color="000000" w:themeColor="text1" w:themeTint="80" w:sz="4" w:space="0"/>
        <w:left w:val="single" w:color="000000" w:themeColor="text1" w:themeTint="80" w:sz="4" w:space="0"/>
        <w:bottom w:val="single" w:color="000000" w:themeColor="text1" w:themeTint="80" w:sz="4" w:space="0"/>
        <w:right w:val="single" w:color="000000" w:themeColor="text1" w:themeTint="80" w:sz="4" w:space="0"/>
        <w:insideH w:val="single" w:color="000000" w:themeColor="text1" w:themeTint="80" w:sz="4" w:space="0"/>
        <w:insideV w:val="single" w:color="000000" w:themeColor="text1" w:themeTint="80" w:sz="4" w:space="0"/>
      </w:tblBorders>
    </w:tblPr>
    <w:tblStylePr w:type="band1Horz">
      <w:rPr>
        <w:rFonts w:ascii="Arial" w:hAnsi="Arial"/>
        <w:color w:val="404040" w:themeColor="text1" w:themeTint="80" w:themeShade="95"/>
        <w:sz w:val="22"/>
      </w:rPr>
      <w:tcPr>
        <w:shd w:val="clear" w:color="ffffff" w:themeColor="text1" w:themeTint="34" w:fill="cbcbcb" w:themeFill="text1" w:themeFillTint="34"/>
      </w:tcPr>
    </w:tblStylePr>
    <w:tblStylePr w:type="band1Vert">
      <w:tcPr>
        <w:shd w:val="clear" w:color="ffffff" w:themeColor="text1" w:themeTint="34" w:fill="cbcbcb" w:themeFill="text1" w:themeFillTint="34"/>
      </w:tcPr>
    </w:tblStylePr>
    <w:tblStylePr w:type="band2Horz">
      <w:rPr>
        <w:rFonts w:ascii="Arial" w:hAnsi="Arial"/>
        <w:color w:val="404040" w:themeColor="text1" w:themeTint="80" w:themeShade="95"/>
        <w:sz w:val="22"/>
      </w:rPr>
    </w:tblStylePr>
    <w:tblStylePr w:type="firstCol">
      <w:rPr>
        <w:b/>
        <w:color w:val="4a4a4a" w:themeColor="text1" w:themeTint="80" w:themeShade="95"/>
      </w:rPr>
    </w:tblStylePr>
    <w:tblStylePr w:type="firstRow">
      <w:rPr>
        <w:b/>
        <w:color w:val="4a4a4a" w:themeColor="text1" w:themeTint="80" w:themeShade="95"/>
      </w:rPr>
      <w:tcPr>
        <w:tcBorders>
          <w:bottom w:val="single" w:color="000000" w:themeColor="text1" w:themeTint="80" w:sz="12" w:space="0"/>
        </w:tcBorders>
      </w:tcPr>
    </w:tblStylePr>
    <w:tblStylePr w:type="lastCol">
      <w:rPr>
        <w:b/>
        <w:color w:val="4a4a4a" w:themeColor="text1" w:themeTint="80" w:themeShade="95"/>
      </w:rPr>
    </w:tblStylePr>
    <w:tblStylePr w:type="lastRow">
      <w:rPr>
        <w:b/>
        <w:color w:val="4a4a4a" w:themeColor="text1" w:themeTint="80" w:themeShade="95"/>
      </w:rPr>
    </w:tblStylePr>
    <w:tblStylePr w:type="wholeTable">
      <w:rPr>
        <w:rFonts w:ascii="Arial" w:hAnsi="Arial"/>
        <w:color w:val="404040" w:themeColor="text1" w:themeTint="80" w:themeShade="95"/>
        <w:sz w:val="22"/>
      </w:rPr>
    </w:tblStylePr>
  </w:style>
  <w:style w:type="table" w:styleId="1139">
    <w:name w:val="Grid Table 6 Colorful - Accent 1"/>
    <w:basedOn w:val="1235"/>
    <w:uiPriority w:val="99"/>
    <w:pPr>
      <w:spacing w:after="0" w:line="240" w:lineRule="auto"/>
    </w:pPr>
    <w:tblPr>
      <w:tblStyleRowBandSize w:val="1"/>
      <w:tblStyleColBandSize w:val="1"/>
      <w:tblInd w:w="0" w:type="dxa"/>
      <w:tblBorders>
        <w:top w:val="single" w:color="000000" w:themeColor="accent1" w:themeTint="80" w:sz="4" w:space="0"/>
        <w:left w:val="single" w:color="000000" w:themeColor="accent1" w:themeTint="80" w:sz="4" w:space="0"/>
        <w:bottom w:val="single" w:color="000000" w:themeColor="accent1" w:themeTint="80" w:sz="4" w:space="0"/>
        <w:right w:val="single" w:color="000000" w:themeColor="accent1" w:themeTint="80" w:sz="4" w:space="0"/>
        <w:insideH w:val="single" w:color="000000" w:themeColor="accent1" w:themeTint="80" w:sz="4" w:space="0"/>
        <w:insideV w:val="single" w:color="000000" w:themeColor="accent1" w:themeTint="80" w:sz="4" w:space="0"/>
      </w:tblBorders>
    </w:tblPr>
    <w:tblStylePr w:type="band1Horz">
      <w:rPr>
        <w:rFonts w:ascii="Arial" w:hAnsi="Arial"/>
        <w:color w:val="404040" w:themeColor="accent1" w:themeTint="80" w:themeShade="95"/>
        <w:sz w:val="22"/>
      </w:rPr>
      <w:tcPr>
        <w:shd w:val="clear" w:color="ffffff" w:themeColor="accent1" w:themeTint="34" w:fill="dae5f1" w:themeFill="accent1" w:themeFillTint="34"/>
      </w:tcPr>
    </w:tblStylePr>
    <w:tblStylePr w:type="band1Vert">
      <w:tcPr>
        <w:shd w:val="clear" w:color="ffffff" w:themeColor="accent1" w:themeTint="34" w:fill="dae5f1" w:themeFill="accent1" w:themeFillTint="34"/>
      </w:tcPr>
    </w:tblStylePr>
    <w:tblStylePr w:type="band2Horz">
      <w:rPr>
        <w:rFonts w:ascii="Arial" w:hAnsi="Arial"/>
        <w:color w:val="404040" w:themeColor="accent1" w:themeTint="80" w:themeShade="95"/>
        <w:sz w:val="22"/>
      </w:rPr>
    </w:tblStylePr>
    <w:tblStylePr w:type="firstCol">
      <w:rPr>
        <w:b/>
        <w:color w:val="3e70a3" w:themeColor="accent1" w:themeTint="80" w:themeShade="95"/>
      </w:rPr>
    </w:tblStylePr>
    <w:tblStylePr w:type="firstRow">
      <w:rPr>
        <w:b/>
        <w:color w:val="3e70a3" w:themeColor="accent1" w:themeTint="80" w:themeShade="95"/>
      </w:rPr>
      <w:tcPr>
        <w:tcBorders>
          <w:bottom w:val="single" w:color="000000" w:themeColor="accent1" w:themeTint="80" w:sz="12" w:space="0"/>
        </w:tcBorders>
      </w:tcPr>
    </w:tblStylePr>
    <w:tblStylePr w:type="lastCol">
      <w:rPr>
        <w:b/>
        <w:color w:val="3e70a3" w:themeColor="accent1" w:themeTint="80" w:themeShade="95"/>
      </w:rPr>
    </w:tblStylePr>
    <w:tblStylePr w:type="lastRow">
      <w:rPr>
        <w:b/>
        <w:color w:val="3e70a3" w:themeColor="accent1" w:themeTint="80" w:themeShade="95"/>
      </w:rPr>
    </w:tblStylePr>
    <w:tblStylePr w:type="wholeTable">
      <w:rPr>
        <w:rFonts w:ascii="Arial" w:hAnsi="Arial"/>
        <w:color w:val="404040" w:themeColor="accent1" w:themeTint="80" w:themeShade="95"/>
        <w:sz w:val="22"/>
      </w:rPr>
    </w:tblStylePr>
  </w:style>
  <w:style w:type="table" w:styleId="1140">
    <w:name w:val="Grid Table 6 Colorful - Accent 2"/>
    <w:basedOn w:val="1235"/>
    <w:uiPriority w:val="99"/>
    <w:pPr>
      <w:spacing w:after="0" w:line="240" w:lineRule="auto"/>
    </w:pPr>
    <w:tblPr>
      <w:tblStyleRowBandSize w:val="1"/>
      <w:tblStyleColBandSize w:val="1"/>
      <w:tblInd w:w="0" w:type="dxa"/>
      <w:tblBorders>
        <w:top w:val="single" w:color="000000" w:themeColor="accent2" w:themeTint="97" w:sz="4" w:space="0"/>
        <w:left w:val="single" w:color="000000" w:themeColor="accent2" w:themeTint="97" w:sz="4" w:space="0"/>
        <w:bottom w:val="single" w:color="000000" w:themeColor="accent2" w:themeTint="97" w:sz="4" w:space="0"/>
        <w:right w:val="single" w:color="000000" w:themeColor="accent2" w:themeTint="97" w:sz="4" w:space="0"/>
        <w:insideH w:val="single" w:color="000000" w:themeColor="accent2" w:themeTint="97" w:sz="4" w:space="0"/>
        <w:insideV w:val="single" w:color="000000" w:themeColor="accent2" w:themeTint="97" w:sz="4" w:space="0"/>
      </w:tblBorders>
    </w:tblPr>
    <w:tblStylePr w:type="band1Horz">
      <w:rPr>
        <w:rFonts w:ascii="Arial" w:hAnsi="Arial"/>
        <w:color w:val="404040" w:themeColor="accent2" w:themeTint="97" w:themeShade="95"/>
        <w:sz w:val="22"/>
      </w:rPr>
      <w:tcPr>
        <w:shd w:val="clear" w:color="ffffff" w:themeColor="accent2" w:themeTint="32" w:fill="f2dcdb" w:themeFill="accent2" w:themeFillTint="32"/>
      </w:tcPr>
    </w:tblStylePr>
    <w:tblStylePr w:type="band1Vert">
      <w:tcPr>
        <w:shd w:val="clear" w:color="ffffff" w:themeColor="accent2" w:themeTint="32" w:fill="f2dcdb" w:themeFill="accent2" w:themeFillTint="32"/>
      </w:tcPr>
    </w:tblStylePr>
    <w:tblStylePr w:type="band2Horz">
      <w:rPr>
        <w:rFonts w:ascii="Arial" w:hAnsi="Arial"/>
        <w:color w:val="404040" w:themeColor="accent2" w:themeTint="97" w:themeShade="95"/>
        <w:sz w:val="22"/>
      </w:rPr>
    </w:tblStylePr>
    <w:tblStylePr w:type="firstCol">
      <w:rPr>
        <w:b/>
        <w:color w:val="9c3a37" w:themeColor="accent2" w:themeTint="97" w:themeShade="95"/>
      </w:rPr>
    </w:tblStylePr>
    <w:tblStylePr w:type="firstRow">
      <w:rPr>
        <w:b/>
        <w:color w:val="9c3a37" w:themeColor="accent2" w:themeTint="97" w:themeShade="95"/>
      </w:rPr>
      <w:tcPr>
        <w:tcBorders>
          <w:bottom w:val="single" w:color="000000" w:themeColor="accent2" w:themeTint="97" w:sz="12" w:space="0"/>
        </w:tcBorders>
      </w:tcPr>
    </w:tblStylePr>
    <w:tblStylePr w:type="lastCol">
      <w:rPr>
        <w:b/>
        <w:color w:val="9c3a37" w:themeColor="accent2" w:themeTint="97" w:themeShade="95"/>
      </w:rPr>
    </w:tblStylePr>
    <w:tblStylePr w:type="lastRow">
      <w:rPr>
        <w:b/>
        <w:color w:val="9c3a37" w:themeColor="accent2" w:themeTint="97" w:themeShade="95"/>
      </w:rPr>
    </w:tblStylePr>
    <w:tblStylePr w:type="wholeTable">
      <w:rPr>
        <w:rFonts w:ascii="Arial" w:hAnsi="Arial"/>
        <w:color w:val="404040" w:themeColor="accent2" w:themeTint="97" w:themeShade="95"/>
        <w:sz w:val="22"/>
      </w:rPr>
    </w:tblStylePr>
  </w:style>
  <w:style w:type="table" w:styleId="1141">
    <w:name w:val="Grid Table 6 Colorful - Accent 3"/>
    <w:basedOn w:val="1235"/>
    <w:uiPriority w:val="99"/>
    <w:pPr>
      <w:spacing w:after="0" w:line="240" w:lineRule="auto"/>
    </w:pPr>
    <w:tblPr>
      <w:tblStyleRowBandSize w:val="1"/>
      <w:tblStyleColBandSize w:val="1"/>
      <w:tblInd w:w="0" w:type="dxa"/>
      <w:tblBorders>
        <w:top w:val="single" w:color="000000" w:themeColor="accent3" w:themeTint="FE" w:sz="4" w:space="0"/>
        <w:left w:val="single" w:color="000000" w:themeColor="accent3" w:themeTint="FE" w:sz="4" w:space="0"/>
        <w:bottom w:val="single" w:color="000000" w:themeColor="accent3" w:themeTint="FE" w:sz="4" w:space="0"/>
        <w:right w:val="single" w:color="000000" w:themeColor="accent3" w:themeTint="FE" w:sz="4" w:space="0"/>
        <w:insideH w:val="single" w:color="000000" w:themeColor="accent3" w:themeTint="FE" w:sz="4" w:space="0"/>
        <w:insideV w:val="single" w:color="000000" w:themeColor="accent3" w:themeTint="FE" w:sz="4" w:space="0"/>
      </w:tblBorders>
    </w:tblPr>
    <w:tblStylePr w:type="band1Horz">
      <w:rPr>
        <w:rFonts w:ascii="Arial" w:hAnsi="Arial"/>
        <w:color w:val="404040" w:themeColor="accent3" w:themeTint="FE" w:themeShade="95"/>
        <w:sz w:val="22"/>
      </w:rPr>
      <w:tcPr>
        <w:shd w:val="clear" w:color="ffffff" w:themeColor="accent3" w:themeTint="34" w:fill="eaf0dd" w:themeFill="accent3" w:themeFillTint="34"/>
      </w:tcPr>
    </w:tblStylePr>
    <w:tblStylePr w:type="band1Vert">
      <w:tcPr>
        <w:shd w:val="clear" w:color="ffffff" w:themeColor="accent3" w:themeTint="34" w:fill="eaf0dd" w:themeFill="accent3" w:themeFillTint="34"/>
      </w:tcPr>
    </w:tblStylePr>
    <w:tblStylePr w:type="band2Horz">
      <w:rPr>
        <w:rFonts w:ascii="Arial" w:hAnsi="Arial"/>
        <w:color w:val="404040" w:themeColor="accent3" w:themeTint="FE" w:themeShade="95"/>
        <w:sz w:val="22"/>
      </w:rPr>
    </w:tblStylePr>
    <w:tblStylePr w:type="firstCol">
      <w:rPr>
        <w:b/>
        <w:color w:val="5c702f" w:themeColor="accent3" w:themeTint="FE" w:themeShade="95"/>
      </w:rPr>
    </w:tblStylePr>
    <w:tblStylePr w:type="firstRow">
      <w:rPr>
        <w:b/>
        <w:color w:val="5c702f" w:themeColor="accent3" w:themeTint="FE" w:themeShade="95"/>
      </w:rPr>
      <w:tcPr>
        <w:tcBorders>
          <w:bottom w:val="single" w:color="000000" w:themeColor="accent3" w:themeTint="FE" w:sz="12" w:space="0"/>
        </w:tcBorders>
      </w:tcPr>
    </w:tblStylePr>
    <w:tblStylePr w:type="lastCol">
      <w:rPr>
        <w:b/>
        <w:color w:val="5c702f" w:themeColor="accent3" w:themeTint="FE" w:themeShade="95"/>
      </w:rPr>
    </w:tblStylePr>
    <w:tblStylePr w:type="lastRow">
      <w:rPr>
        <w:b/>
        <w:color w:val="5c702f" w:themeColor="accent3" w:themeTint="FE" w:themeShade="95"/>
      </w:rPr>
    </w:tblStylePr>
    <w:tblStylePr w:type="wholeTable">
      <w:rPr>
        <w:rFonts w:ascii="Arial" w:hAnsi="Arial"/>
        <w:color w:val="404040" w:themeColor="accent3" w:themeTint="FE" w:themeShade="95"/>
        <w:sz w:val="22"/>
      </w:rPr>
    </w:tblStylePr>
  </w:style>
  <w:style w:type="table" w:styleId="1142">
    <w:name w:val="Grid Table 6 Colorful - Accent 4"/>
    <w:basedOn w:val="1235"/>
    <w:uiPriority w:val="99"/>
    <w:pPr>
      <w:spacing w:after="0" w:line="240" w:lineRule="auto"/>
    </w:pPr>
    <w:tblPr>
      <w:tblStyleRowBandSize w:val="1"/>
      <w:tblStyleColBandSize w:val="1"/>
      <w:tblInd w:w="0" w:type="dxa"/>
      <w:tblBorders>
        <w:top w:val="single" w:color="000000" w:themeColor="accent4" w:themeTint="9A" w:sz="4" w:space="0"/>
        <w:left w:val="single" w:color="000000" w:themeColor="accent4" w:themeTint="9A" w:sz="4" w:space="0"/>
        <w:bottom w:val="single" w:color="000000" w:themeColor="accent4" w:themeTint="9A" w:sz="4" w:space="0"/>
        <w:right w:val="single" w:color="000000" w:themeColor="accent4" w:themeTint="9A" w:sz="4" w:space="0"/>
        <w:insideH w:val="single" w:color="000000" w:themeColor="accent4" w:themeTint="9A" w:sz="4" w:space="0"/>
        <w:insideV w:val="single" w:color="000000" w:themeColor="accent4" w:themeTint="9A" w:sz="4" w:space="0"/>
      </w:tblBorders>
    </w:tblPr>
    <w:tblStylePr w:type="band1Horz">
      <w:rPr>
        <w:rFonts w:ascii="Arial" w:hAnsi="Arial"/>
        <w:color w:val="404040" w:themeColor="accent4" w:themeTint="9A" w:themeShade="95"/>
        <w:sz w:val="22"/>
      </w:rPr>
      <w:tcPr>
        <w:shd w:val="clear" w:color="ffffff" w:themeColor="accent4" w:themeTint="34" w:fill="e5dfec" w:themeFill="accent4" w:themeFillTint="34"/>
      </w:tcPr>
    </w:tblStylePr>
    <w:tblStylePr w:type="band1Vert">
      <w:tcPr>
        <w:shd w:val="clear" w:color="ffffff" w:themeColor="accent4" w:themeTint="34" w:fill="e5dfec" w:themeFill="accent4" w:themeFillTint="34"/>
      </w:tcPr>
    </w:tblStylePr>
    <w:tblStylePr w:type="band2Horz">
      <w:rPr>
        <w:rFonts w:ascii="Arial" w:hAnsi="Arial"/>
        <w:color w:val="404040" w:themeColor="accent4" w:themeTint="9A" w:themeShade="95"/>
        <w:sz w:val="22"/>
      </w:rPr>
    </w:tblStylePr>
    <w:tblStylePr w:type="firstCol">
      <w:rPr>
        <w:b/>
        <w:color w:val="664f82" w:themeColor="accent4" w:themeTint="9A" w:themeShade="95"/>
      </w:rPr>
    </w:tblStylePr>
    <w:tblStylePr w:type="firstRow">
      <w:rPr>
        <w:b/>
        <w:color w:val="664f82" w:themeColor="accent4" w:themeTint="9A" w:themeShade="95"/>
      </w:rPr>
      <w:tcPr>
        <w:tcBorders>
          <w:bottom w:val="single" w:color="000000" w:themeColor="accent4" w:themeTint="9A" w:sz="12" w:space="0"/>
        </w:tcBorders>
      </w:tcPr>
    </w:tblStylePr>
    <w:tblStylePr w:type="lastCol">
      <w:rPr>
        <w:b/>
        <w:color w:val="664f82" w:themeColor="accent4" w:themeTint="9A" w:themeShade="95"/>
      </w:rPr>
    </w:tblStylePr>
    <w:tblStylePr w:type="lastRow">
      <w:rPr>
        <w:b/>
        <w:color w:val="664f82" w:themeColor="accent4" w:themeTint="9A" w:themeShade="95"/>
      </w:rPr>
    </w:tblStylePr>
    <w:tblStylePr w:type="wholeTable">
      <w:rPr>
        <w:rFonts w:ascii="Arial" w:hAnsi="Arial"/>
        <w:color w:val="404040" w:themeColor="accent4" w:themeTint="9A" w:themeShade="95"/>
        <w:sz w:val="22"/>
      </w:rPr>
    </w:tblStylePr>
  </w:style>
  <w:style w:type="table" w:styleId="1143">
    <w:name w:val="Grid Table 6 Colorful - Accent 5"/>
    <w:basedOn w:val="1235"/>
    <w:uiPriority w:val="99"/>
    <w:pPr>
      <w:spacing w:after="0" w:line="240" w:lineRule="auto"/>
    </w:pPr>
    <w:tblPr>
      <w:tblStyleRowBandSize w:val="1"/>
      <w:tblStyleColBandSize w:val="1"/>
      <w:tblInd w:w="0" w:type="dxa"/>
      <w:tblBorders>
        <w:top w:val="single" w:color="000000" w:themeColor="accent5" w:sz="4" w:space="0"/>
        <w:left w:val="single" w:color="000000" w:themeColor="accent5" w:sz="4" w:space="0"/>
        <w:bottom w:val="single" w:color="000000" w:themeColor="accent5" w:sz="4" w:space="0"/>
        <w:right w:val="single" w:color="000000" w:themeColor="accent5" w:sz="4" w:space="0"/>
        <w:insideH w:val="single" w:color="000000" w:themeColor="accent5" w:sz="4" w:space="0"/>
        <w:insideV w:val="single" w:color="000000" w:themeColor="accent5" w:sz="4" w:space="0"/>
      </w:tblBorders>
    </w:tblPr>
    <w:tblStylePr w:type="band1Horz">
      <w:rPr>
        <w:rFonts w:ascii="Arial" w:hAnsi="Arial"/>
        <w:color w:val="404040" w:themeColor="accent5" w:themeShade="95"/>
        <w:sz w:val="22"/>
      </w:rPr>
      <w:tcPr>
        <w:shd w:val="clear" w:color="ffffff" w:themeColor="accent5" w:themeTint="34" w:fill="daeef3" w:themeFill="accent5" w:themeFillTint="34"/>
      </w:tcPr>
    </w:tblStylePr>
    <w:tblStylePr w:type="band1Vert">
      <w:tcPr>
        <w:shd w:val="clear" w:color="ffffff" w:themeColor="accent5" w:themeTint="34" w:fill="daeef3" w:themeFill="accent5" w:themeFillTint="34"/>
      </w:tcPr>
    </w:tblStylePr>
    <w:tblStylePr w:type="band2Horz">
      <w:rPr>
        <w:rFonts w:ascii="Arial" w:hAnsi="Arial"/>
        <w:color w:val="404040" w:themeColor="accent5" w:themeShade="95"/>
        <w:sz w:val="22"/>
      </w:rPr>
    </w:tblStylePr>
    <w:tblStylePr w:type="firstCol">
      <w:rPr>
        <w:b/>
        <w:color w:val="266777" w:themeColor="accent5" w:themeShade="95"/>
      </w:rPr>
    </w:tblStylePr>
    <w:tblStylePr w:type="firstRow">
      <w:rPr>
        <w:b/>
        <w:color w:val="266777" w:themeColor="accent5" w:themeShade="95"/>
      </w:rPr>
      <w:tcPr>
        <w:tcBorders>
          <w:bottom w:val="single" w:color="000000" w:themeColor="accent5" w:sz="12" w:space="0"/>
        </w:tcBorders>
      </w:tcPr>
    </w:tblStylePr>
    <w:tblStylePr w:type="lastCol">
      <w:rPr>
        <w:b/>
        <w:color w:val="266777" w:themeColor="accent5" w:themeShade="95"/>
      </w:rPr>
    </w:tblStylePr>
    <w:tblStylePr w:type="lastRow">
      <w:rPr>
        <w:b/>
        <w:color w:val="266777" w:themeColor="accent5" w:themeShade="95"/>
      </w:rPr>
    </w:tblStylePr>
    <w:tblStylePr w:type="wholeTable">
      <w:rPr>
        <w:rFonts w:ascii="Arial" w:hAnsi="Arial"/>
        <w:color w:val="404040" w:themeColor="accent5" w:themeShade="95"/>
        <w:sz w:val="22"/>
      </w:rPr>
    </w:tblStylePr>
  </w:style>
  <w:style w:type="table" w:styleId="1144">
    <w:name w:val="Grid Table 6 Colorful - Accent 6"/>
    <w:basedOn w:val="1235"/>
    <w:uiPriority w:val="99"/>
    <w:pPr>
      <w:spacing w:after="0" w:line="240" w:lineRule="auto"/>
    </w:pPr>
    <w:tblPr>
      <w:tblStyleRowBandSize w:val="1"/>
      <w:tblStyleColBandSize w:val="1"/>
      <w:tblInd w:w="0" w:type="dxa"/>
      <w:tblBorders>
        <w:top w:val="single" w:color="000000" w:themeColor="accent6" w:sz="4" w:space="0"/>
        <w:left w:val="single" w:color="000000" w:themeColor="accent6" w:sz="4" w:space="0"/>
        <w:bottom w:val="single" w:color="000000" w:themeColor="accent6" w:sz="4" w:space="0"/>
        <w:right w:val="single" w:color="000000" w:themeColor="accent6" w:sz="4" w:space="0"/>
        <w:insideH w:val="single" w:color="000000" w:themeColor="accent6" w:sz="4" w:space="0"/>
        <w:insideV w:val="single" w:color="000000" w:themeColor="accent6" w:sz="4" w:space="0"/>
      </w:tblBorders>
    </w:tblPr>
    <w:tblStylePr w:type="band1Horz">
      <w:rPr>
        <w:rFonts w:ascii="Arial" w:hAnsi="Arial"/>
        <w:color w:val="404040" w:themeColor="accent5" w:themeShade="95"/>
        <w:sz w:val="22"/>
      </w:rPr>
      <w:tcPr>
        <w:shd w:val="clear" w:color="ffffff" w:themeColor="accent6" w:themeTint="34" w:fill="fde9d8" w:themeFill="accent6" w:themeFillTint="34"/>
      </w:tcPr>
    </w:tblStylePr>
    <w:tblStylePr w:type="band1Vert">
      <w:tcPr>
        <w:shd w:val="clear" w:color="ffffff" w:themeColor="accent6" w:themeTint="34" w:fill="fde9d8" w:themeFill="accent6" w:themeFillTint="34"/>
      </w:tcPr>
    </w:tblStylePr>
    <w:tblStylePr w:type="band2Horz">
      <w:rPr>
        <w:rFonts w:ascii="Arial" w:hAnsi="Arial"/>
        <w:color w:val="404040" w:themeColor="accent5" w:themeShade="95"/>
        <w:sz w:val="22"/>
      </w:rPr>
    </w:tblStylePr>
    <w:tblStylePr w:type="firstCol">
      <w:rPr>
        <w:b/>
        <w:color w:val="266777" w:themeColor="accent5" w:themeShade="95"/>
      </w:rPr>
    </w:tblStylePr>
    <w:tblStylePr w:type="firstRow">
      <w:rPr>
        <w:b/>
        <w:color w:val="266777" w:themeColor="accent5" w:themeShade="95"/>
      </w:rPr>
      <w:tcPr>
        <w:tcBorders>
          <w:bottom w:val="single" w:color="000000" w:themeColor="accent6" w:sz="12" w:space="0"/>
        </w:tcBorders>
      </w:tcPr>
    </w:tblStylePr>
    <w:tblStylePr w:type="lastCol">
      <w:rPr>
        <w:b/>
        <w:color w:val="266777" w:themeColor="accent5" w:themeShade="95"/>
      </w:rPr>
    </w:tblStylePr>
    <w:tblStylePr w:type="lastRow">
      <w:rPr>
        <w:b/>
        <w:color w:val="266777" w:themeColor="accent5" w:themeShade="95"/>
      </w:rPr>
    </w:tblStylePr>
    <w:tblStylePr w:type="wholeTable">
      <w:rPr>
        <w:rFonts w:ascii="Arial" w:hAnsi="Arial"/>
        <w:color w:val="404040" w:themeColor="accent5" w:themeShade="95"/>
        <w:sz w:val="22"/>
      </w:rPr>
    </w:tblStylePr>
  </w:style>
  <w:style w:type="table" w:styleId="1145">
    <w:name w:val="Grid Table 7 Colorful"/>
    <w:basedOn w:val="1235"/>
    <w:uiPriority w:val="99"/>
    <w:pPr>
      <w:spacing w:after="0" w:line="240" w:lineRule="auto"/>
    </w:pPr>
    <w:tblPr>
      <w:tblStyleRowBandSize w:val="1"/>
      <w:tblStyleColBandSize w:val="1"/>
      <w:tblInd w:w="0" w:type="dxa"/>
      <w:tblBorders>
        <w:bottom w:val="single" w:color="000000" w:themeColor="text1" w:themeTint="80" w:sz="4" w:space="0"/>
        <w:right w:val="single" w:color="000000" w:themeColor="text1" w:themeTint="80" w:sz="4" w:space="0"/>
        <w:insideH w:val="single" w:color="000000" w:themeColor="text1" w:themeTint="80" w:sz="4" w:space="0"/>
        <w:insideV w:val="single" w:color="000000" w:themeColor="text1" w:themeTint="80" w:sz="4" w:space="0"/>
      </w:tblBorders>
    </w:tblPr>
    <w:tblStylePr w:type="band1Horz">
      <w:rPr>
        <w:rFonts w:ascii="Arial" w:hAnsi="Arial"/>
        <w:color w:val="4a4a4a" w:themeColor="text1" w:themeTint="80" w:themeShade="95"/>
        <w:sz w:val="22"/>
      </w:rPr>
      <w:tcPr>
        <w:shd w:val="clear" w:color="ffffff" w:themeColor="text1" w:themeTint="0D" w:fill="f2f2f2" w:themeFill="text1" w:themeFillTint="0D"/>
      </w:tcPr>
    </w:tblStylePr>
    <w:tblStylePr w:type="band1Vert">
      <w:tcPr>
        <w:shd w:val="clear" w:color="ffffff" w:themeColor="text1" w:themeTint="0D" w:fill="f2f2f2" w:themeFill="text1" w:themeFillTint="0D"/>
      </w:tcPr>
    </w:tblStylePr>
    <w:tblStylePr w:type="band2Horz">
      <w:rPr>
        <w:rFonts w:ascii="Arial" w:hAnsi="Arial"/>
        <w:color w:val="4a4a4a" w:themeColor="text1" w:themeTint="80" w:themeShade="95"/>
        <w:sz w:val="22"/>
      </w:rPr>
    </w:tblStylePr>
    <w:tblStylePr w:type="firstCol">
      <w:rPr>
        <w:rFonts w:ascii="Arial" w:hAnsi="Arial"/>
        <w:i/>
        <w:color w:val="4a4a4a" w:themeColor="text1" w:themeTint="80" w:themeShade="95"/>
        <w:sz w:val="22"/>
      </w:rPr>
      <w:pPr>
        <w:jc w:val="right"/>
      </w:pPr>
      <w:tcPr>
        <w:shd w:val="clear" w:color="ffffff"/>
        <w:tcBorders>
          <w:top w:val="none" w:color="000000" w:sz="4" w:space="0"/>
          <w:left w:val="none" w:color="000000" w:sz="4" w:space="0"/>
          <w:bottom w:val="none" w:color="000000" w:sz="4" w:space="0"/>
          <w:right w:val="single" w:color="000000" w:themeColor="text1" w:themeTint="80" w:sz="4" w:space="0"/>
        </w:tcBorders>
      </w:tcPr>
    </w:tblStylePr>
    <w:tblStylePr w:type="firstRow">
      <w:rPr>
        <w:rFonts w:ascii="Arial" w:hAnsi="Arial"/>
        <w:b/>
        <w:color w:val="4a4a4a" w:themeColor="text1" w:themeTint="80" w:themeShade="95"/>
        <w:sz w:val="22"/>
      </w:rPr>
      <w:tcPr>
        <w:shd w:val="clear" w:color="ffffff" w:themeColor="light1" w:fill="ffffff" w:themeFill="light1"/>
        <w:tcBorders>
          <w:top w:val="none" w:color="000000" w:sz="4" w:space="0"/>
          <w:left w:val="none" w:color="000000" w:sz="4" w:space="0"/>
          <w:bottom w:val="single" w:color="000000" w:themeColor="text1" w:themeTint="80" w:sz="4" w:space="0"/>
          <w:right w:val="none" w:color="000000" w:sz="4" w:space="0"/>
        </w:tcBorders>
      </w:tcPr>
    </w:tblStylePr>
    <w:tblStylePr w:type="lastCol">
      <w:rPr>
        <w:rFonts w:ascii="Arial" w:hAnsi="Arial"/>
        <w:i/>
        <w:color w:val="4a4a4a" w:themeColor="text1" w:themeTint="80" w:themeShade="95"/>
        <w:sz w:val="22"/>
      </w:rPr>
      <w:tcPr>
        <w:shd w:val="clear" w:color="ffffff"/>
        <w:tcBorders>
          <w:top w:val="none" w:color="000000" w:sz="4" w:space="0"/>
          <w:left w:val="single" w:color="000000" w:themeColor="text1" w:themeTint="80" w:sz="4" w:space="0"/>
          <w:bottom w:val="none" w:color="000000" w:sz="4" w:space="0"/>
          <w:right w:val="none" w:color="000000" w:sz="4" w:space="0"/>
        </w:tcBorders>
      </w:tcPr>
    </w:tblStylePr>
    <w:tblStylePr w:type="lastRow">
      <w:rPr>
        <w:rFonts w:ascii="Arial" w:hAnsi="Arial"/>
        <w:b/>
        <w:color w:val="4a4a4a" w:themeColor="text1" w:themeTint="80" w:themeShade="95"/>
        <w:sz w:val="22"/>
      </w:rPr>
      <w:tcPr>
        <w:shd w:val="clear" w:color="ffffff" w:themeColor="light1" w:fill="ffffff" w:themeFill="light1"/>
        <w:tcBorders>
          <w:top w:val="single" w:color="000000" w:themeColor="text1" w:themeTint="80" w:sz="4" w:space="0"/>
          <w:left w:val="none" w:color="000000" w:sz="4" w:space="0"/>
          <w:bottom w:val="none" w:color="000000" w:sz="4" w:space="0"/>
          <w:right w:val="none" w:color="000000" w:sz="4" w:space="0"/>
        </w:tcBorders>
      </w:tcPr>
    </w:tblStylePr>
  </w:style>
  <w:style w:type="table" w:styleId="1146">
    <w:name w:val="Grid Table 7 Colorful - Accent 1"/>
    <w:basedOn w:val="1235"/>
    <w:uiPriority w:val="99"/>
    <w:pPr>
      <w:spacing w:after="0" w:line="240" w:lineRule="auto"/>
    </w:pPr>
    <w:tblPr>
      <w:tblStyleRowBandSize w:val="1"/>
      <w:tblStyleColBandSize w:val="1"/>
      <w:tblInd w:w="0" w:type="dxa"/>
      <w:tblBorders>
        <w:bottom w:val="single" w:color="000000" w:themeColor="accent1" w:themeTint="80" w:sz="4" w:space="0"/>
        <w:right w:val="single" w:color="000000" w:themeColor="accent1" w:themeTint="80" w:sz="4" w:space="0"/>
        <w:insideH w:val="single" w:color="000000" w:themeColor="accent1" w:themeTint="80" w:sz="4" w:space="0"/>
        <w:insideV w:val="single" w:color="000000" w:themeColor="accent1" w:themeTint="80" w:sz="4" w:space="0"/>
      </w:tblBorders>
    </w:tblPr>
    <w:tblStylePr w:type="band1Horz">
      <w:rPr>
        <w:rFonts w:ascii="Arial" w:hAnsi="Arial"/>
        <w:color w:val="3e70a3" w:themeColor="accent1" w:themeTint="80" w:themeShade="95"/>
        <w:sz w:val="22"/>
      </w:rPr>
      <w:tcPr>
        <w:shd w:val="clear" w:color="ffffff" w:themeColor="accent1" w:themeTint="34" w:fill="dae5f1" w:themeFill="accent1" w:themeFillTint="34"/>
      </w:tcPr>
    </w:tblStylePr>
    <w:tblStylePr w:type="band1Vert">
      <w:tcPr>
        <w:shd w:val="clear" w:color="ffffff" w:themeColor="accent1" w:themeTint="34" w:fill="dae5f1" w:themeFill="accent1" w:themeFillTint="34"/>
      </w:tcPr>
    </w:tblStylePr>
    <w:tblStylePr w:type="band2Horz">
      <w:rPr>
        <w:rFonts w:ascii="Arial" w:hAnsi="Arial"/>
        <w:color w:val="3e70a3" w:themeColor="accent1" w:themeTint="80" w:themeShade="95"/>
        <w:sz w:val="22"/>
      </w:rPr>
    </w:tblStylePr>
    <w:tblStylePr w:type="firstCol">
      <w:rPr>
        <w:rFonts w:ascii="Arial" w:hAnsi="Arial"/>
        <w:i/>
        <w:color w:val="3e70a3" w:themeColor="accent1" w:themeTint="80" w:themeShade="95"/>
        <w:sz w:val="22"/>
      </w:rPr>
      <w:pPr>
        <w:jc w:val="right"/>
      </w:pPr>
      <w:tcPr>
        <w:shd w:val="clear" w:color="ffffff"/>
        <w:tcBorders>
          <w:top w:val="none" w:color="000000" w:sz="4" w:space="0"/>
          <w:left w:val="none" w:color="000000" w:sz="4" w:space="0"/>
          <w:bottom w:val="none" w:color="000000" w:sz="4" w:space="0"/>
          <w:right w:val="single" w:color="000000" w:themeColor="accent1" w:themeTint="80" w:sz="4" w:space="0"/>
        </w:tcBorders>
      </w:tcPr>
    </w:tblStylePr>
    <w:tblStylePr w:type="firstRow">
      <w:rPr>
        <w:rFonts w:ascii="Arial" w:hAnsi="Arial"/>
        <w:b/>
        <w:color w:val="3e70a3" w:themeColor="accent1" w:themeTint="80" w:themeShade="95"/>
        <w:sz w:val="22"/>
      </w:rPr>
      <w:tcPr>
        <w:shd w:val="clear" w:color="ffffff" w:themeColor="light1" w:fill="ffffff" w:themeFill="light1"/>
        <w:tcBorders>
          <w:top w:val="none" w:color="000000" w:sz="4" w:space="0"/>
          <w:left w:val="none" w:color="000000" w:sz="4" w:space="0"/>
          <w:bottom w:val="single" w:color="000000" w:themeColor="accent1" w:themeTint="80" w:sz="4" w:space="0"/>
          <w:right w:val="none" w:color="000000" w:sz="4" w:space="0"/>
        </w:tcBorders>
      </w:tcPr>
    </w:tblStylePr>
    <w:tblStylePr w:type="lastCol">
      <w:rPr>
        <w:rFonts w:ascii="Arial" w:hAnsi="Arial"/>
        <w:i/>
        <w:color w:val="3e70a3" w:themeColor="accent1" w:themeTint="80" w:themeShade="95"/>
        <w:sz w:val="22"/>
      </w:rPr>
      <w:tcPr>
        <w:shd w:val="clear" w:color="ffffff"/>
        <w:tcBorders>
          <w:top w:val="none" w:color="000000" w:sz="4" w:space="0"/>
          <w:left w:val="single" w:color="000000" w:themeColor="accent1" w:themeTint="80" w:sz="4" w:space="0"/>
          <w:bottom w:val="none" w:color="000000" w:sz="4" w:space="0"/>
          <w:right w:val="none" w:color="000000" w:sz="4" w:space="0"/>
        </w:tcBorders>
      </w:tcPr>
    </w:tblStylePr>
    <w:tblStylePr w:type="lastRow">
      <w:rPr>
        <w:rFonts w:ascii="Arial" w:hAnsi="Arial"/>
        <w:b/>
        <w:color w:val="3e70a3" w:themeColor="accent1" w:themeTint="80" w:themeShade="95"/>
        <w:sz w:val="22"/>
      </w:rPr>
      <w:tcPr>
        <w:shd w:val="clear" w:color="ffffff" w:themeColor="light1" w:fill="ffffff" w:themeFill="light1"/>
        <w:tcBorders>
          <w:top w:val="single" w:color="000000" w:themeColor="accent1" w:themeTint="80" w:sz="4" w:space="0"/>
          <w:left w:val="none" w:color="000000" w:sz="4" w:space="0"/>
          <w:bottom w:val="none" w:color="000000" w:sz="4" w:space="0"/>
          <w:right w:val="none" w:color="000000" w:sz="4" w:space="0"/>
        </w:tcBorders>
      </w:tcPr>
    </w:tblStylePr>
  </w:style>
  <w:style w:type="table" w:styleId="1147">
    <w:name w:val="Grid Table 7 Colorful - Accent 2"/>
    <w:basedOn w:val="1235"/>
    <w:uiPriority w:val="99"/>
    <w:pPr>
      <w:spacing w:after="0" w:line="240" w:lineRule="auto"/>
    </w:pPr>
    <w:tblPr>
      <w:tblStyleRowBandSize w:val="1"/>
      <w:tblStyleColBandSize w:val="1"/>
      <w:tblInd w:w="0" w:type="dxa"/>
      <w:tblBorders>
        <w:bottom w:val="single" w:color="000000" w:themeColor="accent2" w:themeTint="97" w:sz="4" w:space="0"/>
        <w:right w:val="single" w:color="000000" w:themeColor="accent2" w:themeTint="97" w:sz="4" w:space="0"/>
        <w:insideH w:val="single" w:color="000000" w:themeColor="accent2" w:themeTint="97" w:sz="4" w:space="0"/>
        <w:insideV w:val="single" w:color="000000" w:themeColor="accent2" w:themeTint="97" w:sz="4" w:space="0"/>
      </w:tblBorders>
    </w:tblPr>
    <w:tblStylePr w:type="band1Horz">
      <w:rPr>
        <w:rFonts w:ascii="Arial" w:hAnsi="Arial"/>
        <w:color w:val="9c3a37" w:themeColor="accent2" w:themeTint="97" w:themeShade="95"/>
        <w:sz w:val="22"/>
      </w:rPr>
      <w:tcPr>
        <w:shd w:val="clear" w:color="ffffff" w:themeColor="accent2" w:themeTint="32" w:fill="f2dcdb" w:themeFill="accent2" w:themeFillTint="32"/>
      </w:tcPr>
    </w:tblStylePr>
    <w:tblStylePr w:type="band1Vert">
      <w:tcPr>
        <w:shd w:val="clear" w:color="ffffff" w:themeColor="accent2" w:themeTint="32" w:fill="f2dcdb" w:themeFill="accent2" w:themeFillTint="32"/>
      </w:tcPr>
    </w:tblStylePr>
    <w:tblStylePr w:type="band2Horz">
      <w:rPr>
        <w:rFonts w:ascii="Arial" w:hAnsi="Arial"/>
        <w:color w:val="9c3a37" w:themeColor="accent2" w:themeTint="97" w:themeShade="95"/>
        <w:sz w:val="22"/>
      </w:rPr>
    </w:tblStylePr>
    <w:tblStylePr w:type="firstCol">
      <w:rPr>
        <w:rFonts w:ascii="Arial" w:hAnsi="Arial"/>
        <w:i/>
        <w:color w:val="9c3a37" w:themeColor="accent2" w:themeTint="97" w:themeShade="95"/>
        <w:sz w:val="22"/>
      </w:rPr>
      <w:pPr>
        <w:jc w:val="right"/>
      </w:pPr>
      <w:tcPr>
        <w:shd w:val="clear" w:color="ffffff"/>
        <w:tcBorders>
          <w:top w:val="none" w:color="000000" w:sz="4" w:space="0"/>
          <w:left w:val="none" w:color="000000" w:sz="4" w:space="0"/>
          <w:bottom w:val="none" w:color="000000" w:sz="4" w:space="0"/>
          <w:right w:val="single" w:color="000000" w:themeColor="accent2" w:themeTint="97" w:sz="4" w:space="0"/>
        </w:tcBorders>
      </w:tcPr>
    </w:tblStylePr>
    <w:tblStylePr w:type="firstRow">
      <w:rPr>
        <w:rFonts w:ascii="Arial" w:hAnsi="Arial"/>
        <w:b/>
        <w:color w:val="9c3a37" w:themeColor="accent2" w:themeTint="97" w:themeShade="95"/>
        <w:sz w:val="22"/>
      </w:rPr>
      <w:tcPr>
        <w:shd w:val="clear" w:color="ffffff" w:themeColor="light1" w:fill="ffffff" w:themeFill="light1"/>
        <w:tcBorders>
          <w:top w:val="none" w:color="000000" w:sz="4" w:space="0"/>
          <w:left w:val="none" w:color="000000" w:sz="4" w:space="0"/>
          <w:bottom w:val="single" w:color="000000" w:themeColor="accent2" w:themeTint="97" w:sz="4" w:space="0"/>
          <w:right w:val="none" w:color="000000" w:sz="4" w:space="0"/>
        </w:tcBorders>
      </w:tcPr>
    </w:tblStylePr>
    <w:tblStylePr w:type="lastCol">
      <w:rPr>
        <w:rFonts w:ascii="Arial" w:hAnsi="Arial"/>
        <w:i/>
        <w:color w:val="9c3a37" w:themeColor="accent2" w:themeTint="97" w:themeShade="95"/>
        <w:sz w:val="22"/>
      </w:rPr>
      <w:tcPr>
        <w:shd w:val="clear" w:color="ffffff"/>
        <w:tcBorders>
          <w:top w:val="none" w:color="000000" w:sz="4" w:space="0"/>
          <w:left w:val="single" w:color="000000" w:themeColor="accent2" w:themeTint="97" w:sz="4" w:space="0"/>
          <w:bottom w:val="none" w:color="000000" w:sz="4" w:space="0"/>
          <w:right w:val="none" w:color="000000" w:sz="4" w:space="0"/>
        </w:tcBorders>
      </w:tcPr>
    </w:tblStylePr>
    <w:tblStylePr w:type="lastRow">
      <w:rPr>
        <w:rFonts w:ascii="Arial" w:hAnsi="Arial"/>
        <w:b/>
        <w:color w:val="9c3a37" w:themeColor="accent2" w:themeTint="97" w:themeShade="95"/>
        <w:sz w:val="22"/>
      </w:rPr>
      <w:tcPr>
        <w:shd w:val="clear" w:color="ffffff" w:themeColor="light1" w:fill="ffffff" w:themeFill="light1"/>
        <w:tcBorders>
          <w:top w:val="single" w:color="000000" w:themeColor="accent2" w:themeTint="97" w:sz="4" w:space="0"/>
          <w:left w:val="none" w:color="000000" w:sz="4" w:space="0"/>
          <w:bottom w:val="none" w:color="000000" w:sz="4" w:space="0"/>
          <w:right w:val="none" w:color="000000" w:sz="4" w:space="0"/>
        </w:tcBorders>
      </w:tcPr>
    </w:tblStylePr>
  </w:style>
  <w:style w:type="table" w:styleId="1148">
    <w:name w:val="Grid Table 7 Colorful - Accent 3"/>
    <w:basedOn w:val="1235"/>
    <w:uiPriority w:val="99"/>
    <w:pPr>
      <w:spacing w:after="0" w:line="240" w:lineRule="auto"/>
    </w:pPr>
    <w:tblPr>
      <w:tblStyleRowBandSize w:val="1"/>
      <w:tblStyleColBandSize w:val="1"/>
      <w:tblInd w:w="0" w:type="dxa"/>
      <w:tblBorders>
        <w:bottom w:val="single" w:color="000000" w:themeColor="accent3" w:themeTint="FE" w:sz="4" w:space="0"/>
        <w:right w:val="single" w:color="000000" w:themeColor="accent3" w:themeTint="FE" w:sz="4" w:space="0"/>
        <w:insideH w:val="single" w:color="000000" w:themeColor="accent3" w:themeTint="FE" w:sz="4" w:space="0"/>
        <w:insideV w:val="single" w:color="000000" w:themeColor="accent3" w:themeTint="FE" w:sz="4" w:space="0"/>
      </w:tblBorders>
    </w:tblPr>
    <w:tblStylePr w:type="band1Horz">
      <w:rPr>
        <w:rFonts w:ascii="Arial" w:hAnsi="Arial"/>
        <w:color w:val="5c702f" w:themeColor="accent3" w:themeTint="FE" w:themeShade="95"/>
        <w:sz w:val="22"/>
      </w:rPr>
      <w:tcPr>
        <w:shd w:val="clear" w:color="ffffff" w:themeColor="accent3" w:themeTint="34" w:fill="eaf0dd" w:themeFill="accent3" w:themeFillTint="34"/>
      </w:tcPr>
    </w:tblStylePr>
    <w:tblStylePr w:type="band1Vert">
      <w:tcPr>
        <w:shd w:val="clear" w:color="ffffff" w:themeColor="accent3" w:themeTint="34" w:fill="eaf0dd" w:themeFill="accent3" w:themeFillTint="34"/>
      </w:tcPr>
    </w:tblStylePr>
    <w:tblStylePr w:type="band2Horz">
      <w:rPr>
        <w:rFonts w:ascii="Arial" w:hAnsi="Arial"/>
        <w:color w:val="5c702f" w:themeColor="accent3" w:themeTint="FE" w:themeShade="95"/>
        <w:sz w:val="22"/>
      </w:rPr>
    </w:tblStylePr>
    <w:tblStylePr w:type="firstCol">
      <w:rPr>
        <w:rFonts w:ascii="Arial" w:hAnsi="Arial"/>
        <w:i/>
        <w:color w:val="5c702f" w:themeColor="accent3" w:themeTint="FE" w:themeShade="95"/>
        <w:sz w:val="22"/>
      </w:rPr>
      <w:pPr>
        <w:jc w:val="right"/>
      </w:pPr>
      <w:tcPr>
        <w:shd w:val="clear" w:color="ffffff"/>
        <w:tcBorders>
          <w:top w:val="none" w:color="000000" w:sz="4" w:space="0"/>
          <w:left w:val="none" w:color="000000" w:sz="4" w:space="0"/>
          <w:bottom w:val="none" w:color="000000" w:sz="4" w:space="0"/>
          <w:right w:val="single" w:color="000000" w:themeColor="accent3" w:themeTint="FE" w:sz="4" w:space="0"/>
        </w:tcBorders>
      </w:tcPr>
    </w:tblStylePr>
    <w:tblStylePr w:type="firstRow">
      <w:rPr>
        <w:rFonts w:ascii="Arial" w:hAnsi="Arial"/>
        <w:b/>
        <w:color w:val="5c702f" w:themeColor="accent3" w:themeTint="FE" w:themeShade="95"/>
        <w:sz w:val="22"/>
      </w:rPr>
      <w:tcPr>
        <w:shd w:val="clear" w:color="ffffff" w:themeColor="light1" w:fill="ffffff" w:themeFill="light1"/>
        <w:tcBorders>
          <w:top w:val="none" w:color="000000" w:sz="4" w:space="0"/>
          <w:left w:val="none" w:color="000000" w:sz="4" w:space="0"/>
          <w:bottom w:val="single" w:color="000000" w:themeColor="accent3" w:themeTint="FE" w:sz="4" w:space="0"/>
          <w:right w:val="none" w:color="000000" w:sz="4" w:space="0"/>
        </w:tcBorders>
      </w:tcPr>
    </w:tblStylePr>
    <w:tblStylePr w:type="lastCol">
      <w:rPr>
        <w:rFonts w:ascii="Arial" w:hAnsi="Arial"/>
        <w:i/>
        <w:color w:val="5c702f" w:themeColor="accent3" w:themeTint="FE" w:themeShade="95"/>
        <w:sz w:val="22"/>
      </w:rPr>
      <w:tcPr>
        <w:shd w:val="clear" w:color="ffffff"/>
        <w:tcBorders>
          <w:top w:val="none" w:color="000000" w:sz="4" w:space="0"/>
          <w:left w:val="single" w:color="000000" w:themeColor="accent3" w:themeTint="FE" w:sz="4" w:space="0"/>
          <w:bottom w:val="none" w:color="000000" w:sz="4" w:space="0"/>
          <w:right w:val="none" w:color="000000" w:sz="4" w:space="0"/>
        </w:tcBorders>
      </w:tcPr>
    </w:tblStylePr>
    <w:tblStylePr w:type="lastRow">
      <w:rPr>
        <w:rFonts w:ascii="Arial" w:hAnsi="Arial"/>
        <w:b/>
        <w:color w:val="5c702f" w:themeColor="accent3" w:themeTint="FE" w:themeShade="95"/>
        <w:sz w:val="22"/>
      </w:rPr>
      <w:tcPr>
        <w:shd w:val="clear" w:color="ffffff" w:themeColor="light1" w:fill="ffffff" w:themeFill="light1"/>
        <w:tcBorders>
          <w:top w:val="single" w:color="000000" w:themeColor="accent3" w:themeTint="FE" w:sz="4" w:space="0"/>
          <w:left w:val="none" w:color="000000" w:sz="4" w:space="0"/>
          <w:bottom w:val="none" w:color="000000" w:sz="4" w:space="0"/>
          <w:right w:val="none" w:color="000000" w:sz="4" w:space="0"/>
        </w:tcBorders>
      </w:tcPr>
    </w:tblStylePr>
  </w:style>
  <w:style w:type="table" w:styleId="1149">
    <w:name w:val="Grid Table 7 Colorful - Accent 4"/>
    <w:basedOn w:val="1235"/>
    <w:uiPriority w:val="99"/>
    <w:pPr>
      <w:spacing w:after="0" w:line="240" w:lineRule="auto"/>
    </w:pPr>
    <w:tblPr>
      <w:tblStyleRowBandSize w:val="1"/>
      <w:tblStyleColBandSize w:val="1"/>
      <w:tblInd w:w="0" w:type="dxa"/>
      <w:tblBorders>
        <w:bottom w:val="single" w:color="000000" w:themeColor="accent4" w:themeTint="9A" w:sz="4" w:space="0"/>
        <w:right w:val="single" w:color="000000" w:themeColor="accent4" w:themeTint="9A" w:sz="4" w:space="0"/>
        <w:insideH w:val="single" w:color="000000" w:themeColor="accent4" w:themeTint="9A" w:sz="4" w:space="0"/>
        <w:insideV w:val="single" w:color="000000" w:themeColor="accent4" w:themeTint="9A" w:sz="4" w:space="0"/>
      </w:tblBorders>
    </w:tblPr>
    <w:tblStylePr w:type="band1Horz">
      <w:rPr>
        <w:rFonts w:ascii="Arial" w:hAnsi="Arial"/>
        <w:color w:val="664f82" w:themeColor="accent4" w:themeTint="9A" w:themeShade="95"/>
        <w:sz w:val="22"/>
      </w:rPr>
      <w:tcPr>
        <w:shd w:val="clear" w:color="ffffff" w:themeColor="accent4" w:themeTint="34" w:fill="e5dfec" w:themeFill="accent4" w:themeFillTint="34"/>
      </w:tcPr>
    </w:tblStylePr>
    <w:tblStylePr w:type="band1Vert">
      <w:tcPr>
        <w:shd w:val="clear" w:color="ffffff" w:themeColor="accent4" w:themeTint="34" w:fill="e5dfec" w:themeFill="accent4" w:themeFillTint="34"/>
      </w:tcPr>
    </w:tblStylePr>
    <w:tblStylePr w:type="band2Horz">
      <w:rPr>
        <w:rFonts w:ascii="Arial" w:hAnsi="Arial"/>
        <w:color w:val="664f82" w:themeColor="accent4" w:themeTint="9A" w:themeShade="95"/>
        <w:sz w:val="22"/>
      </w:rPr>
    </w:tblStylePr>
    <w:tblStylePr w:type="firstCol">
      <w:rPr>
        <w:rFonts w:ascii="Arial" w:hAnsi="Arial"/>
        <w:i/>
        <w:color w:val="664f82" w:themeColor="accent4" w:themeTint="9A" w:themeShade="95"/>
        <w:sz w:val="22"/>
      </w:rPr>
      <w:pPr>
        <w:jc w:val="right"/>
      </w:pPr>
      <w:tcPr>
        <w:shd w:val="clear" w:color="ffffff"/>
        <w:tcBorders>
          <w:top w:val="none" w:color="000000" w:sz="4" w:space="0"/>
          <w:left w:val="none" w:color="000000" w:sz="4" w:space="0"/>
          <w:bottom w:val="none" w:color="000000" w:sz="4" w:space="0"/>
          <w:right w:val="single" w:color="000000" w:themeColor="accent4" w:themeTint="9A" w:sz="4" w:space="0"/>
        </w:tcBorders>
      </w:tcPr>
    </w:tblStylePr>
    <w:tblStylePr w:type="firstRow">
      <w:rPr>
        <w:rFonts w:ascii="Arial" w:hAnsi="Arial"/>
        <w:b/>
        <w:color w:val="664f82" w:themeColor="accent4" w:themeTint="9A" w:themeShade="95"/>
        <w:sz w:val="22"/>
      </w:rPr>
      <w:tcPr>
        <w:shd w:val="clear" w:color="ffffff" w:themeColor="light1" w:fill="ffffff" w:themeFill="light1"/>
        <w:tcBorders>
          <w:top w:val="none" w:color="000000" w:sz="4" w:space="0"/>
          <w:left w:val="none" w:color="000000" w:sz="4" w:space="0"/>
          <w:bottom w:val="single" w:color="000000" w:themeColor="accent4" w:themeTint="9A" w:sz="4" w:space="0"/>
          <w:right w:val="none" w:color="000000" w:sz="4" w:space="0"/>
        </w:tcBorders>
      </w:tcPr>
    </w:tblStylePr>
    <w:tblStylePr w:type="lastCol">
      <w:rPr>
        <w:rFonts w:ascii="Arial" w:hAnsi="Arial"/>
        <w:i/>
        <w:color w:val="664f82" w:themeColor="accent4" w:themeTint="9A" w:themeShade="95"/>
        <w:sz w:val="22"/>
      </w:rPr>
      <w:tcPr>
        <w:shd w:val="clear" w:color="ffffff"/>
        <w:tcBorders>
          <w:top w:val="none" w:color="000000" w:sz="4" w:space="0"/>
          <w:left w:val="single" w:color="000000" w:themeColor="accent4" w:themeTint="9A" w:sz="4" w:space="0"/>
          <w:bottom w:val="none" w:color="000000" w:sz="4" w:space="0"/>
          <w:right w:val="none" w:color="000000" w:sz="4" w:space="0"/>
        </w:tcBorders>
      </w:tcPr>
    </w:tblStylePr>
    <w:tblStylePr w:type="lastRow">
      <w:rPr>
        <w:rFonts w:ascii="Arial" w:hAnsi="Arial"/>
        <w:b/>
        <w:color w:val="664f82" w:themeColor="accent4" w:themeTint="9A" w:themeShade="95"/>
        <w:sz w:val="22"/>
      </w:rPr>
      <w:tcPr>
        <w:shd w:val="clear" w:color="ffffff" w:themeColor="light1" w:fill="ffffff" w:themeFill="light1"/>
        <w:tcBorders>
          <w:top w:val="single" w:color="000000" w:themeColor="accent4" w:themeTint="9A" w:sz="4" w:space="0"/>
          <w:left w:val="none" w:color="000000" w:sz="4" w:space="0"/>
          <w:bottom w:val="none" w:color="000000" w:sz="4" w:space="0"/>
          <w:right w:val="none" w:color="000000" w:sz="4" w:space="0"/>
        </w:tcBorders>
      </w:tcPr>
    </w:tblStylePr>
  </w:style>
  <w:style w:type="table" w:styleId="1150">
    <w:name w:val="Grid Table 7 Colorful - Accent 5"/>
    <w:basedOn w:val="1235"/>
    <w:uiPriority w:val="99"/>
    <w:pPr>
      <w:spacing w:after="0" w:line="240" w:lineRule="auto"/>
    </w:pPr>
    <w:tblPr>
      <w:tblStyleRowBandSize w:val="1"/>
      <w:tblStyleColBandSize w:val="1"/>
      <w:tblInd w:w="0" w:type="dxa"/>
      <w:tblBorders>
        <w:bottom w:val="single" w:color="000000" w:themeColor="accent5" w:themeTint="90" w:sz="4" w:space="0"/>
        <w:right w:val="single" w:color="000000" w:themeColor="accent5" w:themeTint="90" w:sz="4" w:space="0"/>
        <w:insideH w:val="single" w:color="000000" w:themeColor="accent5" w:themeTint="90" w:sz="4" w:space="0"/>
        <w:insideV w:val="single" w:color="000000" w:themeColor="accent5" w:themeTint="90" w:sz="4" w:space="0"/>
      </w:tblBorders>
    </w:tblPr>
    <w:tblStylePr w:type="band1Horz">
      <w:rPr>
        <w:rFonts w:ascii="Arial" w:hAnsi="Arial"/>
        <w:color w:val="266777" w:themeColor="accent5" w:themeShade="95"/>
        <w:sz w:val="22"/>
      </w:rPr>
      <w:tcPr>
        <w:shd w:val="clear" w:color="ffffff" w:themeColor="accent5" w:themeTint="34" w:fill="daeef3" w:themeFill="accent5" w:themeFillTint="34"/>
      </w:tcPr>
    </w:tblStylePr>
    <w:tblStylePr w:type="band1Vert">
      <w:tcPr>
        <w:shd w:val="clear" w:color="ffffff" w:themeColor="accent5" w:themeTint="34" w:fill="daeef3" w:themeFill="accent5" w:themeFillTint="34"/>
      </w:tcPr>
    </w:tblStylePr>
    <w:tblStylePr w:type="band2Horz">
      <w:rPr>
        <w:rFonts w:ascii="Arial" w:hAnsi="Arial"/>
        <w:color w:val="266777" w:themeColor="accent5" w:themeShade="95"/>
        <w:sz w:val="22"/>
      </w:rPr>
    </w:tblStylePr>
    <w:tblStylePr w:type="firstCol">
      <w:rPr>
        <w:rFonts w:ascii="Arial" w:hAnsi="Arial"/>
        <w:i/>
        <w:color w:val="266777" w:themeColor="accent5" w:themeShade="95"/>
        <w:sz w:val="22"/>
      </w:rPr>
      <w:pPr>
        <w:jc w:val="right"/>
      </w:pPr>
      <w:tcPr>
        <w:shd w:val="clear" w:color="ffffff"/>
        <w:tcBorders>
          <w:top w:val="none" w:color="000000" w:sz="4" w:space="0"/>
          <w:left w:val="none" w:color="000000" w:sz="4" w:space="0"/>
          <w:bottom w:val="none" w:color="000000" w:sz="4" w:space="0"/>
          <w:right w:val="single" w:color="000000" w:themeColor="accent5" w:themeTint="90" w:sz="4" w:space="0"/>
        </w:tcBorders>
      </w:tcPr>
    </w:tblStylePr>
    <w:tblStylePr w:type="firstRow">
      <w:rPr>
        <w:rFonts w:ascii="Arial" w:hAnsi="Arial"/>
        <w:b/>
        <w:color w:val="266777" w:themeColor="accent5" w:themeShade="95"/>
        <w:sz w:val="22"/>
      </w:rPr>
      <w:tcPr>
        <w:shd w:val="clear" w:color="ffffff" w:themeColor="light1" w:fill="ffffff" w:themeFill="light1"/>
        <w:tcBorders>
          <w:top w:val="none" w:color="000000" w:sz="4" w:space="0"/>
          <w:left w:val="none" w:color="000000" w:sz="4" w:space="0"/>
          <w:bottom w:val="single" w:color="000000" w:themeColor="accent5" w:themeTint="90" w:sz="4" w:space="0"/>
          <w:right w:val="none" w:color="000000" w:sz="4" w:space="0"/>
        </w:tcBorders>
      </w:tcPr>
    </w:tblStylePr>
    <w:tblStylePr w:type="lastCol">
      <w:rPr>
        <w:rFonts w:ascii="Arial" w:hAnsi="Arial"/>
        <w:i/>
        <w:color w:val="266777" w:themeColor="accent5" w:themeShade="95"/>
        <w:sz w:val="22"/>
      </w:rPr>
      <w:tcPr>
        <w:shd w:val="clear" w:color="ffffff"/>
        <w:tcBorders>
          <w:top w:val="none" w:color="000000" w:sz="4" w:space="0"/>
          <w:left w:val="single" w:color="000000" w:themeColor="accent5" w:themeTint="90" w:sz="4" w:space="0"/>
          <w:bottom w:val="none" w:color="000000" w:sz="4" w:space="0"/>
          <w:right w:val="none" w:color="000000" w:sz="4" w:space="0"/>
        </w:tcBorders>
      </w:tcPr>
    </w:tblStylePr>
    <w:tblStylePr w:type="lastRow">
      <w:rPr>
        <w:rFonts w:ascii="Arial" w:hAnsi="Arial"/>
        <w:b/>
        <w:color w:val="266777" w:themeColor="accent5" w:themeShade="95"/>
        <w:sz w:val="22"/>
      </w:rPr>
      <w:tcPr>
        <w:shd w:val="clear" w:color="ffffff" w:themeColor="light1" w:fill="ffffff" w:themeFill="light1"/>
        <w:tcBorders>
          <w:top w:val="single" w:color="000000" w:themeColor="accent5" w:themeTint="90" w:sz="4" w:space="0"/>
          <w:left w:val="none" w:color="000000" w:sz="4" w:space="0"/>
          <w:bottom w:val="none" w:color="000000" w:sz="4" w:space="0"/>
          <w:right w:val="none" w:color="000000" w:sz="4" w:space="0"/>
        </w:tcBorders>
      </w:tcPr>
    </w:tblStylePr>
  </w:style>
  <w:style w:type="table" w:styleId="1151">
    <w:name w:val="Grid Table 7 Colorful - Accent 6"/>
    <w:basedOn w:val="1235"/>
    <w:uiPriority w:val="99"/>
    <w:pPr>
      <w:spacing w:after="0" w:line="240" w:lineRule="auto"/>
    </w:pPr>
    <w:tblPr>
      <w:tblStyleRowBandSize w:val="1"/>
      <w:tblStyleColBandSize w:val="1"/>
      <w:tblInd w:w="0" w:type="dxa"/>
      <w:tblBorders>
        <w:bottom w:val="single" w:color="000000" w:themeColor="accent6" w:themeTint="90" w:sz="4" w:space="0"/>
        <w:right w:val="single" w:color="000000" w:themeColor="accent6" w:themeTint="90" w:sz="4" w:space="0"/>
        <w:insideH w:val="single" w:color="000000" w:themeColor="accent6" w:themeTint="90" w:sz="4" w:space="0"/>
        <w:insideV w:val="single" w:color="000000" w:themeColor="accent6" w:themeTint="90" w:sz="4" w:space="0"/>
      </w:tblBorders>
    </w:tblPr>
    <w:tblStylePr w:type="band1Horz">
      <w:rPr>
        <w:rFonts w:ascii="Arial" w:hAnsi="Arial"/>
        <w:color w:val="b05307" w:themeColor="accent6" w:themeShade="95"/>
        <w:sz w:val="22"/>
      </w:rPr>
      <w:tcPr>
        <w:shd w:val="clear" w:color="ffffff" w:themeColor="accent6" w:themeTint="34" w:fill="fde9d8" w:themeFill="accent6" w:themeFillTint="34"/>
      </w:tcPr>
    </w:tblStylePr>
    <w:tblStylePr w:type="band1Vert">
      <w:tcPr>
        <w:shd w:val="clear" w:color="ffffff" w:themeColor="accent6" w:themeTint="34" w:fill="fde9d8" w:themeFill="accent6" w:themeFillTint="34"/>
      </w:tcPr>
    </w:tblStylePr>
    <w:tblStylePr w:type="band2Horz">
      <w:rPr>
        <w:rFonts w:ascii="Arial" w:hAnsi="Arial"/>
        <w:color w:val="b05307" w:themeColor="accent6" w:themeShade="95"/>
        <w:sz w:val="22"/>
      </w:rPr>
    </w:tblStylePr>
    <w:tblStylePr w:type="firstCol">
      <w:rPr>
        <w:rFonts w:ascii="Arial" w:hAnsi="Arial"/>
        <w:i/>
        <w:color w:val="b05307" w:themeColor="accent6" w:themeShade="95"/>
        <w:sz w:val="22"/>
      </w:rPr>
      <w:pPr>
        <w:jc w:val="right"/>
      </w:pPr>
      <w:tcPr>
        <w:shd w:val="clear" w:color="ffffff"/>
        <w:tcBorders>
          <w:top w:val="none" w:color="000000" w:sz="4" w:space="0"/>
          <w:left w:val="none" w:color="000000" w:sz="4" w:space="0"/>
          <w:bottom w:val="none" w:color="000000" w:sz="4" w:space="0"/>
          <w:right w:val="single" w:color="000000" w:themeColor="accent6" w:themeTint="90" w:sz="4" w:space="0"/>
        </w:tcBorders>
      </w:tcPr>
    </w:tblStylePr>
    <w:tblStylePr w:type="firstRow">
      <w:rPr>
        <w:rFonts w:ascii="Arial" w:hAnsi="Arial"/>
        <w:b/>
        <w:color w:val="b05307" w:themeColor="accent6" w:themeShade="95"/>
        <w:sz w:val="22"/>
      </w:rPr>
      <w:tcPr>
        <w:shd w:val="clear" w:color="ffffff" w:themeColor="light1" w:fill="ffffff" w:themeFill="light1"/>
        <w:tcBorders>
          <w:top w:val="none" w:color="000000" w:sz="4" w:space="0"/>
          <w:left w:val="none" w:color="000000" w:sz="4" w:space="0"/>
          <w:bottom w:val="single" w:color="000000" w:themeColor="accent6" w:themeTint="90" w:sz="4" w:space="0"/>
          <w:right w:val="none" w:color="000000" w:sz="4" w:space="0"/>
        </w:tcBorders>
      </w:tcPr>
    </w:tblStylePr>
    <w:tblStylePr w:type="lastCol">
      <w:rPr>
        <w:rFonts w:ascii="Arial" w:hAnsi="Arial"/>
        <w:i/>
        <w:color w:val="b05307" w:themeColor="accent6" w:themeShade="95"/>
        <w:sz w:val="22"/>
      </w:rPr>
      <w:tcPr>
        <w:shd w:val="clear" w:color="ffffff"/>
        <w:tcBorders>
          <w:top w:val="none" w:color="000000" w:sz="4" w:space="0"/>
          <w:left w:val="single" w:color="000000" w:themeColor="accent6" w:themeTint="90" w:sz="4" w:space="0"/>
          <w:bottom w:val="none" w:color="000000" w:sz="4" w:space="0"/>
          <w:right w:val="none" w:color="000000" w:sz="4" w:space="0"/>
        </w:tcBorders>
      </w:tcPr>
    </w:tblStylePr>
    <w:tblStylePr w:type="lastRow">
      <w:rPr>
        <w:rFonts w:ascii="Arial" w:hAnsi="Arial"/>
        <w:b/>
        <w:color w:val="b05307" w:themeColor="accent6" w:themeShade="95"/>
        <w:sz w:val="22"/>
      </w:rPr>
      <w:tcPr>
        <w:shd w:val="clear" w:color="ffffff" w:themeColor="light1" w:fill="ffffff" w:themeFill="light1"/>
        <w:tcBorders>
          <w:top w:val="single" w:color="000000" w:themeColor="accent6" w:themeTint="90" w:sz="4" w:space="0"/>
          <w:left w:val="none" w:color="000000" w:sz="4" w:space="0"/>
          <w:bottom w:val="none" w:color="000000" w:sz="4" w:space="0"/>
          <w:right w:val="none" w:color="000000" w:sz="4" w:space="0"/>
        </w:tcBorders>
      </w:tcPr>
    </w:tblStylePr>
  </w:style>
  <w:style w:type="table" w:styleId="1152">
    <w:name w:val="List Table 1 Light"/>
    <w:basedOn w:val="1235"/>
    <w:uiPriority w:val="99"/>
    <w:pPr>
      <w:spacing w:after="0" w:line="240" w:lineRule="auto"/>
    </w:pPr>
    <w:tblPr>
      <w:tblStyleRowBandSize w:val="1"/>
      <w:tblStyleColBandSize w:val="1"/>
      <w:tblInd w:w="0" w:type="dxa"/>
    </w:tblPr>
    <w:tblStylePr w:type="band1Horz">
      <w:tcPr>
        <w:shd w:val="clear" w:color="ffffff" w:themeColor="text1" w:themeTint="40" w:fill="bfbfbf" w:themeFill="text1" w:themeFillTint="40"/>
      </w:tcPr>
    </w:tblStylePr>
    <w:tblStylePr w:type="band1Vert">
      <w:tcPr>
        <w:shd w:val="clear" w:color="ffffff" w:themeColor="text1" w:themeTint="40" w:fill="bfbfbf" w:themeFill="text1"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000000" w:themeColor="text1" w:sz="4" w:space="0"/>
          <w:right w:val="none" w:color="000000" w:sz="4" w:space="0"/>
        </w:tcBorders>
      </w:tcPr>
    </w:tblStylePr>
    <w:tblStylePr w:type="lastCol">
      <w:rPr>
        <w:b/>
        <w:color w:val="404040"/>
      </w:rPr>
    </w:tblStylePr>
    <w:tblStylePr w:type="lastRow">
      <w:rPr>
        <w:b/>
        <w:color w:val="404040"/>
      </w:rPr>
      <w:tcPr>
        <w:tcBorders>
          <w:top w:val="single" w:color="000000" w:themeColor="text1" w:sz="4" w:space="0"/>
          <w:left w:val="none" w:color="000000" w:sz="4" w:space="0"/>
          <w:bottom w:val="none" w:color="000000" w:sz="4" w:space="0"/>
          <w:right w:val="none" w:color="000000" w:sz="4" w:space="0"/>
        </w:tcBorders>
      </w:tcPr>
    </w:tblStylePr>
  </w:style>
  <w:style w:type="table" w:styleId="1153">
    <w:name w:val="List Table 1 Light - Accent 1"/>
    <w:basedOn w:val="1235"/>
    <w:uiPriority w:val="99"/>
    <w:pPr>
      <w:spacing w:after="0" w:line="240" w:lineRule="auto"/>
    </w:pPr>
    <w:tblPr>
      <w:tblStyleRowBandSize w:val="1"/>
      <w:tblStyleColBandSize w:val="1"/>
      <w:tblInd w:w="0" w:type="dxa"/>
    </w:tblPr>
    <w:tblStylePr w:type="band1Horz">
      <w:tcPr>
        <w:shd w:val="clear" w:color="ffffff" w:themeColor="accent1" w:themeTint="40" w:fill="d3e0ee" w:themeFill="accent1" w:themeFillTint="40"/>
      </w:tcPr>
    </w:tblStylePr>
    <w:tblStylePr w:type="band1Vert">
      <w:tcPr>
        <w:shd w:val="clear" w:color="ffffff" w:themeColor="accent1" w:themeTint="40" w:fill="d3e0ee" w:themeFill="accent1"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000000" w:themeColor="accent1" w:sz="4" w:space="0"/>
          <w:right w:val="none" w:color="000000" w:sz="4" w:space="0"/>
        </w:tcBorders>
      </w:tcPr>
    </w:tblStylePr>
    <w:tblStylePr w:type="lastCol">
      <w:rPr>
        <w:b/>
        <w:color w:val="404040"/>
      </w:rPr>
    </w:tblStylePr>
    <w:tblStylePr w:type="lastRow">
      <w:rPr>
        <w:b/>
        <w:color w:val="404040"/>
      </w:rPr>
      <w:tcPr>
        <w:tcBorders>
          <w:top w:val="single" w:color="000000" w:themeColor="accent1" w:sz="4" w:space="0"/>
          <w:left w:val="none" w:color="000000" w:sz="4" w:space="0"/>
          <w:bottom w:val="none" w:color="000000" w:sz="4" w:space="0"/>
          <w:right w:val="none" w:color="000000" w:sz="4" w:space="0"/>
        </w:tcBorders>
      </w:tcPr>
    </w:tblStylePr>
  </w:style>
  <w:style w:type="table" w:styleId="1154">
    <w:name w:val="List Table 1 Light - Accent 2"/>
    <w:basedOn w:val="1235"/>
    <w:uiPriority w:val="99"/>
    <w:pPr>
      <w:spacing w:after="0" w:line="240" w:lineRule="auto"/>
    </w:pPr>
    <w:tblPr>
      <w:tblStyleRowBandSize w:val="1"/>
      <w:tblStyleColBandSize w:val="1"/>
      <w:tblInd w:w="0" w:type="dxa"/>
    </w:tblPr>
    <w:tblStylePr w:type="band1Horz">
      <w:tcPr>
        <w:shd w:val="clear" w:color="ffffff" w:themeColor="accent2" w:themeTint="40" w:fill="efd3d2" w:themeFill="accent2" w:themeFillTint="40"/>
      </w:tcPr>
    </w:tblStylePr>
    <w:tblStylePr w:type="band1Vert">
      <w:tcPr>
        <w:shd w:val="clear" w:color="ffffff" w:themeColor="accent2" w:themeTint="40" w:fill="efd3d2" w:themeFill="accent2"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000000" w:themeColor="accent2" w:sz="4" w:space="0"/>
          <w:right w:val="none" w:color="000000" w:sz="4" w:space="0"/>
        </w:tcBorders>
      </w:tcPr>
    </w:tblStylePr>
    <w:tblStylePr w:type="lastCol">
      <w:rPr>
        <w:b/>
        <w:color w:val="404040"/>
      </w:rPr>
    </w:tblStylePr>
    <w:tblStylePr w:type="lastRow">
      <w:rPr>
        <w:b/>
        <w:color w:val="404040"/>
      </w:rPr>
      <w:tcPr>
        <w:tcBorders>
          <w:top w:val="single" w:color="000000" w:themeColor="accent2" w:sz="4" w:space="0"/>
          <w:left w:val="none" w:color="000000" w:sz="4" w:space="0"/>
          <w:bottom w:val="none" w:color="000000" w:sz="4" w:space="0"/>
          <w:right w:val="none" w:color="000000" w:sz="4" w:space="0"/>
        </w:tcBorders>
      </w:tcPr>
    </w:tblStylePr>
  </w:style>
  <w:style w:type="table" w:styleId="1155">
    <w:name w:val="List Table 1 Light - Accent 3"/>
    <w:basedOn w:val="1235"/>
    <w:uiPriority w:val="99"/>
    <w:pPr>
      <w:spacing w:after="0" w:line="240" w:lineRule="auto"/>
    </w:pPr>
    <w:tblPr>
      <w:tblStyleRowBandSize w:val="1"/>
      <w:tblStyleColBandSize w:val="1"/>
      <w:tblInd w:w="0" w:type="dxa"/>
    </w:tblPr>
    <w:tblStylePr w:type="band1Horz">
      <w:tcPr>
        <w:shd w:val="clear" w:color="ffffff" w:themeColor="accent3" w:themeTint="40" w:fill="e6eed5" w:themeFill="accent3" w:themeFillTint="40"/>
      </w:tcPr>
    </w:tblStylePr>
    <w:tblStylePr w:type="band1Vert">
      <w:tcPr>
        <w:shd w:val="clear" w:color="ffffff" w:themeColor="accent3" w:themeTint="40" w:fill="e6eed5" w:themeFill="accent3"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000000" w:themeColor="accent3" w:sz="4" w:space="0"/>
          <w:right w:val="none" w:color="000000" w:sz="4" w:space="0"/>
        </w:tcBorders>
      </w:tcPr>
    </w:tblStylePr>
    <w:tblStylePr w:type="lastCol">
      <w:rPr>
        <w:b/>
        <w:color w:val="404040"/>
      </w:rPr>
    </w:tblStylePr>
    <w:tblStylePr w:type="lastRow">
      <w:rPr>
        <w:b/>
        <w:color w:val="404040"/>
      </w:rPr>
      <w:tcPr>
        <w:tcBorders>
          <w:top w:val="single" w:color="000000" w:themeColor="accent3" w:sz="4" w:space="0"/>
          <w:left w:val="none" w:color="000000" w:sz="4" w:space="0"/>
          <w:bottom w:val="none" w:color="000000" w:sz="4" w:space="0"/>
          <w:right w:val="none" w:color="000000" w:sz="4" w:space="0"/>
        </w:tcBorders>
      </w:tcPr>
    </w:tblStylePr>
  </w:style>
  <w:style w:type="table" w:styleId="1156">
    <w:name w:val="List Table 1 Light - Accent 4"/>
    <w:basedOn w:val="1235"/>
    <w:uiPriority w:val="99"/>
    <w:pPr>
      <w:spacing w:after="0" w:line="240" w:lineRule="auto"/>
    </w:pPr>
    <w:tblPr>
      <w:tblStyleRowBandSize w:val="1"/>
      <w:tblStyleColBandSize w:val="1"/>
      <w:tblInd w:w="0" w:type="dxa"/>
    </w:tblPr>
    <w:tblStylePr w:type="band1Horz">
      <w:tcPr>
        <w:shd w:val="clear" w:color="ffffff" w:themeColor="accent4" w:themeTint="40" w:fill="dfd8e7" w:themeFill="accent4" w:themeFillTint="40"/>
      </w:tcPr>
    </w:tblStylePr>
    <w:tblStylePr w:type="band1Vert">
      <w:tcPr>
        <w:shd w:val="clear" w:color="ffffff" w:themeColor="accent4" w:themeTint="40" w:fill="dfd8e7" w:themeFill="accent4"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000000" w:themeColor="accent4" w:sz="4" w:space="0"/>
          <w:right w:val="none" w:color="000000" w:sz="4" w:space="0"/>
        </w:tcBorders>
      </w:tcPr>
    </w:tblStylePr>
    <w:tblStylePr w:type="lastCol">
      <w:rPr>
        <w:b/>
        <w:color w:val="404040"/>
      </w:rPr>
    </w:tblStylePr>
    <w:tblStylePr w:type="lastRow">
      <w:rPr>
        <w:b/>
        <w:color w:val="404040"/>
      </w:rPr>
      <w:tcPr>
        <w:tcBorders>
          <w:top w:val="single" w:color="000000" w:themeColor="accent4" w:sz="4" w:space="0"/>
          <w:left w:val="none" w:color="000000" w:sz="4" w:space="0"/>
          <w:bottom w:val="none" w:color="000000" w:sz="4" w:space="0"/>
          <w:right w:val="none" w:color="000000" w:sz="4" w:space="0"/>
        </w:tcBorders>
      </w:tcPr>
    </w:tblStylePr>
  </w:style>
  <w:style w:type="table" w:styleId="1157">
    <w:name w:val="List Table 1 Light - Accent 5"/>
    <w:basedOn w:val="1235"/>
    <w:uiPriority w:val="99"/>
    <w:pPr>
      <w:spacing w:after="0" w:line="240" w:lineRule="auto"/>
    </w:pPr>
    <w:tblPr>
      <w:tblStyleRowBandSize w:val="1"/>
      <w:tblStyleColBandSize w:val="1"/>
      <w:tblInd w:w="0" w:type="dxa"/>
    </w:tblPr>
    <w:tblStylePr w:type="band1Horz">
      <w:tcPr>
        <w:shd w:val="clear" w:color="ffffff" w:themeColor="accent5" w:themeTint="40" w:fill="d1eaf0" w:themeFill="accent5" w:themeFillTint="40"/>
      </w:tcPr>
    </w:tblStylePr>
    <w:tblStylePr w:type="band1Vert">
      <w:tcPr>
        <w:shd w:val="clear" w:color="ffffff" w:themeColor="accent5" w:themeTint="40" w:fill="d1eaf0" w:themeFill="accent5"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000000" w:themeColor="accent5" w:sz="4" w:space="0"/>
          <w:right w:val="none" w:color="000000" w:sz="4" w:space="0"/>
        </w:tcBorders>
      </w:tcPr>
    </w:tblStylePr>
    <w:tblStylePr w:type="lastCol">
      <w:rPr>
        <w:b/>
        <w:color w:val="404040"/>
      </w:rPr>
    </w:tblStylePr>
    <w:tblStylePr w:type="lastRow">
      <w:rPr>
        <w:b/>
        <w:color w:val="404040"/>
      </w:rPr>
      <w:tcPr>
        <w:tcBorders>
          <w:top w:val="single" w:color="000000" w:themeColor="accent5" w:sz="4" w:space="0"/>
          <w:left w:val="none" w:color="000000" w:sz="4" w:space="0"/>
          <w:bottom w:val="none" w:color="000000" w:sz="4" w:space="0"/>
          <w:right w:val="none" w:color="000000" w:sz="4" w:space="0"/>
        </w:tcBorders>
      </w:tcPr>
    </w:tblStylePr>
  </w:style>
  <w:style w:type="table" w:styleId="1158">
    <w:name w:val="List Table 1 Light - Accent 6"/>
    <w:basedOn w:val="1235"/>
    <w:uiPriority w:val="99"/>
    <w:pPr>
      <w:spacing w:after="0" w:line="240" w:lineRule="auto"/>
    </w:pPr>
    <w:tblPr>
      <w:tblStyleRowBandSize w:val="1"/>
      <w:tblStyleColBandSize w:val="1"/>
      <w:tblInd w:w="0" w:type="dxa"/>
    </w:tblPr>
    <w:tblStylePr w:type="band1Horz">
      <w:tcPr>
        <w:shd w:val="clear" w:color="ffffff" w:themeColor="accent6" w:themeTint="40" w:fill="fce4d1" w:themeFill="accent6" w:themeFillTint="40"/>
      </w:tcPr>
    </w:tblStylePr>
    <w:tblStylePr w:type="band1Vert">
      <w:tcPr>
        <w:shd w:val="clear" w:color="ffffff" w:themeColor="accent6" w:themeTint="40" w:fill="fce4d1" w:themeFill="accent6"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000000" w:themeColor="accent6" w:sz="4" w:space="0"/>
          <w:right w:val="none" w:color="000000" w:sz="4" w:space="0"/>
        </w:tcBorders>
      </w:tcPr>
    </w:tblStylePr>
    <w:tblStylePr w:type="lastCol">
      <w:rPr>
        <w:b/>
        <w:color w:val="404040"/>
      </w:rPr>
    </w:tblStylePr>
    <w:tblStylePr w:type="lastRow">
      <w:rPr>
        <w:b/>
        <w:color w:val="404040"/>
      </w:rPr>
      <w:tcPr>
        <w:tcBorders>
          <w:top w:val="single" w:color="000000" w:themeColor="accent6" w:sz="4" w:space="0"/>
          <w:left w:val="none" w:color="000000" w:sz="4" w:space="0"/>
          <w:bottom w:val="none" w:color="000000" w:sz="4" w:space="0"/>
          <w:right w:val="none" w:color="000000" w:sz="4" w:space="0"/>
        </w:tcBorders>
      </w:tcPr>
    </w:tblStylePr>
  </w:style>
  <w:style w:type="table" w:styleId="1159">
    <w:name w:val="List Table 2"/>
    <w:basedOn w:val="1235"/>
    <w:uiPriority w:val="99"/>
    <w:pPr>
      <w:spacing w:after="0" w:line="240" w:lineRule="auto"/>
    </w:pPr>
    <w:tblPr>
      <w:tblStyleRowBandSize w:val="1"/>
      <w:tblStyleColBandSize w:val="1"/>
      <w:tblInd w:w="0" w:type="dxa"/>
      <w:tblBorders>
        <w:top w:val="single" w:color="000000" w:themeColor="text1" w:themeTint="90" w:sz="4" w:space="0"/>
        <w:bottom w:val="single" w:color="000000" w:themeColor="text1" w:themeTint="90" w:sz="4" w:space="0"/>
        <w:insideH w:val="single" w:color="000000" w:themeColor="text1" w:themeTint="90" w:sz="4" w:space="0"/>
      </w:tblBorders>
    </w:tblPr>
    <w:tblStylePr w:type="band1Horz">
      <w:rPr>
        <w:rFonts w:ascii="Arial" w:hAnsi="Arial"/>
        <w:color w:val="404040"/>
        <w:sz w:val="22"/>
      </w:rPr>
      <w:tcPr>
        <w:shd w:val="clear" w:color="ffffff" w:themeColor="text1" w:themeTint="40" w:fill="bfbfbf" w:themeFill="text1" w:themeFillTint="40"/>
      </w:tcPr>
    </w:tblStylePr>
    <w:tblStylePr w:type="band1Vert">
      <w:rPr>
        <w:rFonts w:ascii="Arial" w:hAnsi="Arial"/>
        <w:color w:val="404040"/>
        <w:sz w:val="22"/>
      </w:rPr>
      <w:tcPr>
        <w:shd w:val="clear" w:color="ffffff" w:themeColor="text1" w:themeTint="40" w:fill="bfbfbf" w:themeFill="text1"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000000" w:themeColor="text1" w:themeTint="90" w:sz="4" w:space="0"/>
          <w:left w:val="none" w:color="000000" w:sz="4" w:space="0"/>
          <w:bottom w:val="single" w:color="000000" w:themeColor="text1"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000000" w:themeColor="text1" w:themeTint="90" w:sz="4" w:space="0"/>
          <w:left w:val="none" w:color="000000" w:sz="4" w:space="0"/>
          <w:bottom w:val="single" w:color="000000" w:themeColor="text1" w:themeTint="90" w:sz="4" w:space="0"/>
          <w:right w:val="none" w:color="000000" w:sz="4" w:space="0"/>
        </w:tcBorders>
      </w:tcPr>
    </w:tblStylePr>
  </w:style>
  <w:style w:type="table" w:styleId="1160">
    <w:name w:val="List Table 2 - Accent 1"/>
    <w:basedOn w:val="1235"/>
    <w:uiPriority w:val="99"/>
    <w:pPr>
      <w:spacing w:after="0" w:line="240" w:lineRule="auto"/>
    </w:pPr>
    <w:tblPr>
      <w:tblStyleRowBandSize w:val="1"/>
      <w:tblStyleColBandSize w:val="1"/>
      <w:tblInd w:w="0" w:type="dxa"/>
      <w:tblBorders>
        <w:top w:val="single" w:color="000000" w:themeColor="accent1" w:themeTint="90" w:sz="4" w:space="0"/>
        <w:bottom w:val="single" w:color="000000" w:themeColor="accent1" w:themeTint="90" w:sz="4" w:space="0"/>
        <w:insideH w:val="single" w:color="000000" w:themeColor="accent1" w:themeTint="90" w:sz="4" w:space="0"/>
      </w:tblBorders>
    </w:tblPr>
    <w:tblStylePr w:type="band1Horz">
      <w:rPr>
        <w:rFonts w:ascii="Arial" w:hAnsi="Arial"/>
        <w:color w:val="404040"/>
        <w:sz w:val="22"/>
      </w:rPr>
      <w:tcPr>
        <w:shd w:val="clear" w:color="ffffff" w:themeColor="accent1" w:themeTint="40" w:fill="d3e0ee" w:themeFill="accent1" w:themeFillTint="40"/>
      </w:tcPr>
    </w:tblStylePr>
    <w:tblStylePr w:type="band1Vert">
      <w:rPr>
        <w:rFonts w:ascii="Arial" w:hAnsi="Arial"/>
        <w:color w:val="404040"/>
        <w:sz w:val="22"/>
      </w:rPr>
      <w:tcPr>
        <w:shd w:val="clear" w:color="ffffff" w:themeColor="accent1" w:themeTint="40" w:fill="d3e0ee" w:themeFill="accent1"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000000" w:themeColor="accent1" w:themeTint="90" w:sz="4" w:space="0"/>
          <w:left w:val="none" w:color="000000" w:sz="4" w:space="0"/>
          <w:bottom w:val="single" w:color="000000" w:themeColor="accent1"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000000" w:themeColor="accent1" w:themeTint="90" w:sz="4" w:space="0"/>
          <w:left w:val="none" w:color="000000" w:sz="4" w:space="0"/>
          <w:bottom w:val="single" w:color="000000" w:themeColor="accent1" w:themeTint="90" w:sz="4" w:space="0"/>
          <w:right w:val="none" w:color="000000" w:sz="4" w:space="0"/>
        </w:tcBorders>
      </w:tcPr>
    </w:tblStylePr>
  </w:style>
  <w:style w:type="table" w:styleId="1161">
    <w:name w:val="List Table 2 - Accent 2"/>
    <w:basedOn w:val="1235"/>
    <w:uiPriority w:val="99"/>
    <w:pPr>
      <w:spacing w:after="0" w:line="240" w:lineRule="auto"/>
    </w:pPr>
    <w:tblPr>
      <w:tblStyleRowBandSize w:val="1"/>
      <w:tblStyleColBandSize w:val="1"/>
      <w:tblInd w:w="0" w:type="dxa"/>
      <w:tblBorders>
        <w:top w:val="single" w:color="000000" w:themeColor="accent2" w:themeTint="90" w:sz="4" w:space="0"/>
        <w:bottom w:val="single" w:color="000000" w:themeColor="accent2" w:themeTint="90" w:sz="4" w:space="0"/>
        <w:insideH w:val="single" w:color="000000" w:themeColor="accent2" w:themeTint="90" w:sz="4" w:space="0"/>
      </w:tblBorders>
    </w:tblPr>
    <w:tblStylePr w:type="band1Horz">
      <w:rPr>
        <w:rFonts w:ascii="Arial" w:hAnsi="Arial"/>
        <w:color w:val="404040"/>
        <w:sz w:val="22"/>
      </w:rPr>
      <w:tcPr>
        <w:shd w:val="clear" w:color="ffffff" w:themeColor="accent2" w:themeTint="40" w:fill="efd3d2" w:themeFill="accent2" w:themeFillTint="40"/>
      </w:tcPr>
    </w:tblStylePr>
    <w:tblStylePr w:type="band1Vert">
      <w:rPr>
        <w:rFonts w:ascii="Arial" w:hAnsi="Arial"/>
        <w:color w:val="404040"/>
        <w:sz w:val="22"/>
      </w:rPr>
      <w:tcPr>
        <w:shd w:val="clear" w:color="ffffff" w:themeColor="accent2" w:themeTint="40" w:fill="efd3d2" w:themeFill="accent2"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000000" w:themeColor="accent2" w:themeTint="90" w:sz="4" w:space="0"/>
          <w:left w:val="none" w:color="000000" w:sz="4" w:space="0"/>
          <w:bottom w:val="single" w:color="000000" w:themeColor="accent2"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000000" w:themeColor="accent2" w:themeTint="90" w:sz="4" w:space="0"/>
          <w:left w:val="none" w:color="000000" w:sz="4" w:space="0"/>
          <w:bottom w:val="single" w:color="000000" w:themeColor="accent2" w:themeTint="90" w:sz="4" w:space="0"/>
          <w:right w:val="none" w:color="000000" w:sz="4" w:space="0"/>
        </w:tcBorders>
      </w:tcPr>
    </w:tblStylePr>
  </w:style>
  <w:style w:type="table" w:styleId="1162">
    <w:name w:val="List Table 2 - Accent 3"/>
    <w:basedOn w:val="1235"/>
    <w:uiPriority w:val="99"/>
    <w:pPr>
      <w:spacing w:after="0" w:line="240" w:lineRule="auto"/>
    </w:pPr>
    <w:tblPr>
      <w:tblStyleRowBandSize w:val="1"/>
      <w:tblStyleColBandSize w:val="1"/>
      <w:tblInd w:w="0" w:type="dxa"/>
      <w:tblBorders>
        <w:top w:val="single" w:color="000000" w:themeColor="accent3" w:themeTint="90" w:sz="4" w:space="0"/>
        <w:bottom w:val="single" w:color="000000" w:themeColor="accent3" w:themeTint="90" w:sz="4" w:space="0"/>
        <w:insideH w:val="single" w:color="000000" w:themeColor="accent3" w:themeTint="90" w:sz="4" w:space="0"/>
      </w:tblBorders>
    </w:tblPr>
    <w:tblStylePr w:type="band1Horz">
      <w:rPr>
        <w:rFonts w:ascii="Arial" w:hAnsi="Arial"/>
        <w:color w:val="404040"/>
        <w:sz w:val="22"/>
      </w:rPr>
      <w:tcPr>
        <w:shd w:val="clear" w:color="ffffff" w:themeColor="accent3" w:themeTint="40" w:fill="e6eed5" w:themeFill="accent3" w:themeFillTint="40"/>
      </w:tcPr>
    </w:tblStylePr>
    <w:tblStylePr w:type="band1Vert">
      <w:rPr>
        <w:rFonts w:ascii="Arial" w:hAnsi="Arial"/>
        <w:color w:val="404040"/>
        <w:sz w:val="22"/>
      </w:rPr>
      <w:tcPr>
        <w:shd w:val="clear" w:color="ffffff" w:themeColor="accent3" w:themeTint="40" w:fill="e6eed5" w:themeFill="accent3"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000000" w:themeColor="accent3" w:themeTint="90" w:sz="4" w:space="0"/>
          <w:left w:val="none" w:color="000000" w:sz="4" w:space="0"/>
          <w:bottom w:val="single" w:color="000000" w:themeColor="accent3"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000000" w:themeColor="accent3" w:themeTint="90" w:sz="4" w:space="0"/>
          <w:left w:val="none" w:color="000000" w:sz="4" w:space="0"/>
          <w:bottom w:val="single" w:color="000000" w:themeColor="accent3" w:themeTint="90" w:sz="4" w:space="0"/>
          <w:right w:val="none" w:color="000000" w:sz="4" w:space="0"/>
        </w:tcBorders>
      </w:tcPr>
    </w:tblStylePr>
  </w:style>
  <w:style w:type="table" w:styleId="1163">
    <w:name w:val="List Table 2 - Accent 4"/>
    <w:basedOn w:val="1235"/>
    <w:uiPriority w:val="99"/>
    <w:pPr>
      <w:spacing w:after="0" w:line="240" w:lineRule="auto"/>
    </w:pPr>
    <w:tblPr>
      <w:tblStyleRowBandSize w:val="1"/>
      <w:tblStyleColBandSize w:val="1"/>
      <w:tblInd w:w="0" w:type="dxa"/>
      <w:tblBorders>
        <w:top w:val="single" w:color="000000" w:themeColor="accent4" w:themeTint="90" w:sz="4" w:space="0"/>
        <w:bottom w:val="single" w:color="000000" w:themeColor="accent4" w:themeTint="90" w:sz="4" w:space="0"/>
        <w:insideH w:val="single" w:color="000000" w:themeColor="accent4" w:themeTint="90" w:sz="4" w:space="0"/>
      </w:tblBorders>
    </w:tblPr>
    <w:tblStylePr w:type="band1Horz">
      <w:rPr>
        <w:rFonts w:ascii="Arial" w:hAnsi="Arial"/>
        <w:color w:val="404040"/>
        <w:sz w:val="22"/>
      </w:rPr>
      <w:tcPr>
        <w:shd w:val="clear" w:color="ffffff" w:themeColor="accent4" w:themeTint="40" w:fill="dfd8e7" w:themeFill="accent4" w:themeFillTint="40"/>
      </w:tcPr>
    </w:tblStylePr>
    <w:tblStylePr w:type="band1Vert">
      <w:rPr>
        <w:rFonts w:ascii="Arial" w:hAnsi="Arial"/>
        <w:color w:val="404040"/>
        <w:sz w:val="22"/>
      </w:rPr>
      <w:tcPr>
        <w:shd w:val="clear" w:color="ffffff" w:themeColor="accent4" w:themeTint="40" w:fill="dfd8e7" w:themeFill="accent4"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000000" w:themeColor="accent4" w:themeTint="90" w:sz="4" w:space="0"/>
          <w:left w:val="none" w:color="000000" w:sz="4" w:space="0"/>
          <w:bottom w:val="single" w:color="000000" w:themeColor="accent4"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000000" w:themeColor="accent4" w:themeTint="90" w:sz="4" w:space="0"/>
          <w:left w:val="none" w:color="000000" w:sz="4" w:space="0"/>
          <w:bottom w:val="single" w:color="000000" w:themeColor="accent4" w:themeTint="90" w:sz="4" w:space="0"/>
          <w:right w:val="none" w:color="000000" w:sz="4" w:space="0"/>
        </w:tcBorders>
      </w:tcPr>
    </w:tblStylePr>
  </w:style>
  <w:style w:type="table" w:styleId="1164">
    <w:name w:val="List Table 2 - Accent 5"/>
    <w:basedOn w:val="1235"/>
    <w:uiPriority w:val="99"/>
    <w:pPr>
      <w:spacing w:after="0" w:line="240" w:lineRule="auto"/>
    </w:pPr>
    <w:tblPr>
      <w:tblStyleRowBandSize w:val="1"/>
      <w:tblStyleColBandSize w:val="1"/>
      <w:tblInd w:w="0" w:type="dxa"/>
      <w:tblBorders>
        <w:top w:val="single" w:color="000000" w:themeColor="accent5" w:themeTint="90" w:sz="4" w:space="0"/>
        <w:bottom w:val="single" w:color="000000" w:themeColor="accent5" w:themeTint="90" w:sz="4" w:space="0"/>
        <w:insideH w:val="single" w:color="000000" w:themeColor="accent5" w:themeTint="90" w:sz="4" w:space="0"/>
      </w:tblBorders>
    </w:tblPr>
    <w:tblStylePr w:type="band1Horz">
      <w:rPr>
        <w:rFonts w:ascii="Arial" w:hAnsi="Arial"/>
        <w:color w:val="404040"/>
        <w:sz w:val="22"/>
      </w:rPr>
      <w:tcPr>
        <w:shd w:val="clear" w:color="ffffff" w:themeColor="accent5" w:themeTint="40" w:fill="d1eaf0" w:themeFill="accent5" w:themeFillTint="40"/>
      </w:tcPr>
    </w:tblStylePr>
    <w:tblStylePr w:type="band1Vert">
      <w:rPr>
        <w:rFonts w:ascii="Arial" w:hAnsi="Arial"/>
        <w:color w:val="404040"/>
        <w:sz w:val="22"/>
      </w:rPr>
      <w:tcPr>
        <w:shd w:val="clear" w:color="ffffff" w:themeColor="accent5" w:themeTint="40" w:fill="d1eaf0" w:themeFill="accent5"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000000" w:themeColor="accent5" w:themeTint="90" w:sz="4" w:space="0"/>
          <w:left w:val="none" w:color="000000" w:sz="4" w:space="0"/>
          <w:bottom w:val="single" w:color="000000" w:themeColor="accent5"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000000" w:themeColor="accent5" w:themeTint="90" w:sz="4" w:space="0"/>
          <w:left w:val="none" w:color="000000" w:sz="4" w:space="0"/>
          <w:bottom w:val="single" w:color="000000" w:themeColor="accent5" w:themeTint="90" w:sz="4" w:space="0"/>
          <w:right w:val="none" w:color="000000" w:sz="4" w:space="0"/>
        </w:tcBorders>
      </w:tcPr>
    </w:tblStylePr>
  </w:style>
  <w:style w:type="table" w:styleId="1165">
    <w:name w:val="List Table 2 - Accent 6"/>
    <w:basedOn w:val="1235"/>
    <w:uiPriority w:val="99"/>
    <w:pPr>
      <w:spacing w:after="0" w:line="240" w:lineRule="auto"/>
    </w:pPr>
    <w:tblPr>
      <w:tblStyleRowBandSize w:val="1"/>
      <w:tblStyleColBandSize w:val="1"/>
      <w:tblInd w:w="0" w:type="dxa"/>
      <w:tblBorders>
        <w:top w:val="single" w:color="000000" w:themeColor="accent6" w:themeTint="90" w:sz="4" w:space="0"/>
        <w:bottom w:val="single" w:color="000000" w:themeColor="accent6" w:themeTint="90" w:sz="4" w:space="0"/>
        <w:insideH w:val="single" w:color="000000" w:themeColor="accent6" w:themeTint="90" w:sz="4" w:space="0"/>
      </w:tblBorders>
    </w:tblPr>
    <w:tblStylePr w:type="band1Horz">
      <w:rPr>
        <w:rFonts w:ascii="Arial" w:hAnsi="Arial"/>
        <w:color w:val="404040"/>
        <w:sz w:val="22"/>
      </w:rPr>
      <w:tcPr>
        <w:shd w:val="clear" w:color="ffffff" w:themeColor="accent6" w:themeTint="40" w:fill="fce4d1" w:themeFill="accent6" w:themeFillTint="40"/>
      </w:tcPr>
    </w:tblStylePr>
    <w:tblStylePr w:type="band1Vert">
      <w:rPr>
        <w:rFonts w:ascii="Arial" w:hAnsi="Arial"/>
        <w:color w:val="404040"/>
        <w:sz w:val="22"/>
      </w:rPr>
      <w:tcPr>
        <w:shd w:val="clear" w:color="ffffff" w:themeColor="accent6" w:themeTint="40" w:fill="fce4d1" w:themeFill="accent6"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000000" w:themeColor="accent6" w:themeTint="90" w:sz="4" w:space="0"/>
          <w:left w:val="none" w:color="000000" w:sz="4" w:space="0"/>
          <w:bottom w:val="single" w:color="000000" w:themeColor="accent6"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000000" w:themeColor="accent6" w:themeTint="90" w:sz="4" w:space="0"/>
          <w:left w:val="none" w:color="000000" w:sz="4" w:space="0"/>
          <w:bottom w:val="single" w:color="000000" w:themeColor="accent6" w:themeTint="90" w:sz="4" w:space="0"/>
          <w:right w:val="none" w:color="000000" w:sz="4" w:space="0"/>
        </w:tcBorders>
      </w:tcPr>
    </w:tblStylePr>
  </w:style>
  <w:style w:type="table" w:styleId="1166">
    <w:name w:val="List Table 3"/>
    <w:basedOn w:val="1235"/>
    <w:uiPriority w:val="99"/>
    <w:pPr>
      <w:spacing w:after="0" w:line="240" w:lineRule="auto"/>
    </w:pPr>
    <w:tblPr>
      <w:tblStyleRowBandSize w:val="1"/>
      <w:tblStyleColBandSize w:val="1"/>
      <w:tblInd w:w="0" w:type="dxa"/>
      <w:tblBorders>
        <w:top w:val="single" w:color="000000" w:themeColor="text1" w:sz="4" w:space="0"/>
        <w:left w:val="single" w:color="000000" w:themeColor="text1" w:sz="4" w:space="0"/>
        <w:bottom w:val="single" w:color="000000" w:themeColor="text1" w:sz="4" w:space="0"/>
        <w:right w:val="single" w:color="000000" w:themeColor="text1" w:sz="4" w:space="0"/>
      </w:tblBorders>
    </w:tblPr>
    <w:tblStylePr w:type="band1Horz">
      <w:rPr>
        <w:rFonts w:ascii="Arial" w:hAnsi="Arial"/>
        <w:color w:val="404040"/>
        <w:sz w:val="22"/>
      </w:rPr>
      <w:tcPr>
        <w:tcBorders>
          <w:top w:val="single" w:color="000000" w:themeColor="text1" w:sz="4" w:space="0"/>
          <w:bottom w:val="single" w:color="000000" w:themeColor="text1" w:sz="4" w:space="0"/>
        </w:tcBorders>
      </w:tcPr>
    </w:tblStylePr>
    <w:tblStylePr w:type="band1Vert">
      <w:rPr>
        <w:rFonts w:ascii="Arial" w:hAnsi="Arial"/>
        <w:color w:val="404040"/>
        <w:sz w:val="22"/>
      </w:rPr>
      <w:tcPr>
        <w:tcBorders>
          <w:left w:val="single" w:color="000000" w:themeColor="text1" w:sz="4" w:space="0"/>
          <w:right w:val="single" w:color="000000" w:themeColor="text1" w:sz="4" w:space="0"/>
        </w:tcBorders>
      </w:tcPr>
    </w:tblStylePr>
    <w:tblStylePr w:type="firstCol">
      <w:rPr>
        <w:b/>
        <w:color w:val="404040"/>
      </w:rPr>
    </w:tblStylePr>
    <w:tblStylePr w:type="firstRow">
      <w:rPr>
        <w:rFonts w:ascii="Arial" w:hAnsi="Arial"/>
        <w:b/>
        <w:color w:val="ffffff"/>
        <w:sz w:val="22"/>
      </w:rPr>
      <w:tcPr>
        <w:shd w:val="clear" w:color="ffffff" w:themeColor="text1" w:fill="000000" w:themeFill="text1"/>
      </w:tcPr>
    </w:tblStylePr>
    <w:tblStylePr w:type="lastCol">
      <w:rPr>
        <w:b/>
        <w:color w:val="404040"/>
      </w:rPr>
    </w:tblStylePr>
    <w:tblStylePr w:type="lastRow">
      <w:rPr>
        <w:b/>
        <w:color w:val="404040"/>
      </w:rPr>
    </w:tblStylePr>
  </w:style>
  <w:style w:type="table" w:styleId="1167">
    <w:name w:val="List Table 3 - Accent 1"/>
    <w:basedOn w:val="1235"/>
    <w:uiPriority w:val="99"/>
    <w:pPr>
      <w:spacing w:after="0" w:line="240" w:lineRule="auto"/>
    </w:pPr>
    <w:tblPr>
      <w:tblStyleRowBandSize w:val="1"/>
      <w:tblStyleColBandSize w:val="1"/>
      <w:tblInd w:w="0" w:type="dxa"/>
      <w:tblBorders>
        <w:top w:val="single" w:color="000000" w:themeColor="accent1" w:sz="4" w:space="0"/>
        <w:left w:val="single" w:color="000000" w:themeColor="accent1" w:sz="4" w:space="0"/>
        <w:bottom w:val="single" w:color="000000" w:themeColor="accent1" w:sz="4" w:space="0"/>
        <w:right w:val="single" w:color="000000" w:themeColor="accent1" w:sz="4" w:space="0"/>
      </w:tblBorders>
    </w:tblPr>
    <w:tblStylePr w:type="band1Horz">
      <w:rPr>
        <w:rFonts w:ascii="Arial" w:hAnsi="Arial"/>
        <w:color w:val="404040"/>
        <w:sz w:val="22"/>
      </w:rPr>
      <w:tcPr>
        <w:tcBorders>
          <w:top w:val="single" w:color="000000" w:themeColor="accent1" w:sz="4" w:space="0"/>
          <w:bottom w:val="single" w:color="000000" w:themeColor="accent1" w:sz="4" w:space="0"/>
        </w:tcBorders>
      </w:tcPr>
    </w:tblStylePr>
    <w:tblStylePr w:type="band1Vert">
      <w:rPr>
        <w:rFonts w:ascii="Arial" w:hAnsi="Arial"/>
        <w:color w:val="404040"/>
        <w:sz w:val="22"/>
      </w:rPr>
      <w:tcPr>
        <w:tcBorders>
          <w:left w:val="single" w:color="000000" w:themeColor="accent1" w:sz="4" w:space="0"/>
          <w:right w:val="single" w:color="000000" w:themeColor="accent1" w:sz="4" w:space="0"/>
        </w:tcBorders>
      </w:tcPr>
    </w:tblStylePr>
    <w:tblStylePr w:type="firstCol">
      <w:rPr>
        <w:b/>
        <w:color w:val="404040"/>
      </w:rPr>
    </w:tblStylePr>
    <w:tblStylePr w:type="firstRow">
      <w:rPr>
        <w:rFonts w:ascii="Arial" w:hAnsi="Arial"/>
        <w:b/>
        <w:color w:val="ffffff"/>
        <w:sz w:val="22"/>
      </w:rPr>
      <w:tcPr>
        <w:shd w:val="clear" w:color="ffffff" w:themeColor="accent1" w:fill="4f81bd" w:themeFill="accent1"/>
      </w:tcPr>
    </w:tblStylePr>
    <w:tblStylePr w:type="lastCol">
      <w:rPr>
        <w:b/>
        <w:color w:val="404040"/>
      </w:rPr>
    </w:tblStylePr>
    <w:tblStylePr w:type="lastRow">
      <w:rPr>
        <w:b/>
        <w:color w:val="404040"/>
      </w:rPr>
    </w:tblStylePr>
  </w:style>
  <w:style w:type="table" w:styleId="1168">
    <w:name w:val="List Table 3 - Accent 2"/>
    <w:basedOn w:val="1235"/>
    <w:uiPriority w:val="99"/>
    <w:pPr>
      <w:spacing w:after="0" w:line="240" w:lineRule="auto"/>
    </w:pPr>
    <w:tblPr>
      <w:tblStyleRowBandSize w:val="1"/>
      <w:tblStyleColBandSize w:val="1"/>
      <w:tblInd w:w="0" w:type="dxa"/>
      <w:tblBorders>
        <w:top w:val="single" w:color="000000" w:themeColor="accent2" w:themeTint="97" w:sz="4" w:space="0"/>
        <w:left w:val="single" w:color="000000" w:themeColor="accent2" w:themeTint="97" w:sz="4" w:space="0"/>
        <w:bottom w:val="single" w:color="000000" w:themeColor="accent2" w:themeTint="97" w:sz="4" w:space="0"/>
        <w:right w:val="single" w:color="000000" w:themeColor="accent2" w:themeTint="97" w:sz="4" w:space="0"/>
      </w:tblBorders>
    </w:tblPr>
    <w:tblStylePr w:type="band1Horz">
      <w:rPr>
        <w:rFonts w:ascii="Arial" w:hAnsi="Arial"/>
        <w:color w:val="404040"/>
        <w:sz w:val="22"/>
      </w:rPr>
      <w:tcPr>
        <w:tcBorders>
          <w:top w:val="single" w:color="000000" w:themeColor="accent2" w:themeTint="97" w:sz="4" w:space="0"/>
          <w:bottom w:val="single" w:color="000000" w:themeColor="accent2" w:themeTint="97" w:sz="4" w:space="0"/>
        </w:tcBorders>
      </w:tcPr>
    </w:tblStylePr>
    <w:tblStylePr w:type="band1Vert">
      <w:rPr>
        <w:rFonts w:ascii="Arial" w:hAnsi="Arial"/>
        <w:color w:val="404040"/>
        <w:sz w:val="22"/>
      </w:rPr>
      <w:tcPr>
        <w:tcBorders>
          <w:left w:val="single" w:color="000000" w:themeColor="accent2" w:themeTint="97" w:sz="4" w:space="0"/>
          <w:right w:val="single" w:color="000000" w:themeColor="accent2" w:themeTint="97" w:sz="4" w:space="0"/>
        </w:tcBorders>
      </w:tcPr>
    </w:tblStylePr>
    <w:tblStylePr w:type="firstCol">
      <w:rPr>
        <w:b/>
        <w:color w:val="404040"/>
      </w:rPr>
    </w:tblStylePr>
    <w:tblStylePr w:type="firstRow">
      <w:rPr>
        <w:rFonts w:ascii="Arial" w:hAnsi="Arial"/>
        <w:b/>
        <w:color w:val="ffffff"/>
        <w:sz w:val="22"/>
      </w:rPr>
      <w:tcPr>
        <w:shd w:val="clear" w:color="ffffff" w:themeColor="accent2" w:themeTint="97" w:fill="d99694" w:themeFill="accent2" w:themeFillTint="97"/>
      </w:tcPr>
    </w:tblStylePr>
    <w:tblStylePr w:type="lastCol">
      <w:rPr>
        <w:b/>
        <w:color w:val="404040"/>
      </w:rPr>
    </w:tblStylePr>
    <w:tblStylePr w:type="lastRow">
      <w:rPr>
        <w:b/>
        <w:color w:val="404040"/>
      </w:rPr>
    </w:tblStylePr>
  </w:style>
  <w:style w:type="table" w:styleId="1169">
    <w:name w:val="List Table 3 - Accent 3"/>
    <w:basedOn w:val="1235"/>
    <w:uiPriority w:val="99"/>
    <w:pPr>
      <w:spacing w:after="0" w:line="240" w:lineRule="auto"/>
    </w:pPr>
    <w:tblPr>
      <w:tblStyleRowBandSize w:val="1"/>
      <w:tblStyleColBandSize w:val="1"/>
      <w:tblInd w:w="0" w:type="dxa"/>
      <w:tblBorders>
        <w:top w:val="single" w:color="000000" w:themeColor="accent3" w:themeTint="98" w:sz="4" w:space="0"/>
        <w:left w:val="single" w:color="000000" w:themeColor="accent3" w:themeTint="98" w:sz="4" w:space="0"/>
        <w:bottom w:val="single" w:color="000000" w:themeColor="accent3" w:themeTint="98" w:sz="4" w:space="0"/>
        <w:right w:val="single" w:color="000000" w:themeColor="accent3" w:themeTint="98" w:sz="4" w:space="0"/>
      </w:tblBorders>
    </w:tblPr>
    <w:tblStylePr w:type="band1Horz">
      <w:rPr>
        <w:rFonts w:ascii="Arial" w:hAnsi="Arial"/>
        <w:color w:val="404040"/>
        <w:sz w:val="22"/>
      </w:rPr>
      <w:tcPr>
        <w:tcBorders>
          <w:top w:val="single" w:color="000000" w:themeColor="accent3" w:themeTint="98" w:sz="4" w:space="0"/>
          <w:bottom w:val="single" w:color="000000" w:themeColor="accent3" w:themeTint="98" w:sz="4" w:space="0"/>
        </w:tcBorders>
      </w:tcPr>
    </w:tblStylePr>
    <w:tblStylePr w:type="band1Vert">
      <w:rPr>
        <w:rFonts w:ascii="Arial" w:hAnsi="Arial"/>
        <w:color w:val="404040"/>
        <w:sz w:val="22"/>
      </w:rPr>
      <w:tcPr>
        <w:tcBorders>
          <w:left w:val="single" w:color="000000" w:themeColor="accent3" w:themeTint="98" w:sz="4" w:space="0"/>
          <w:right w:val="single" w:color="000000" w:themeColor="accent3" w:themeTint="98" w:sz="4" w:space="0"/>
        </w:tcBorders>
      </w:tcPr>
    </w:tblStylePr>
    <w:tblStylePr w:type="firstCol">
      <w:rPr>
        <w:b/>
        <w:color w:val="404040"/>
      </w:rPr>
    </w:tblStylePr>
    <w:tblStylePr w:type="firstRow">
      <w:rPr>
        <w:rFonts w:ascii="Arial" w:hAnsi="Arial"/>
        <w:b/>
        <w:color w:val="ffffff"/>
        <w:sz w:val="22"/>
      </w:rPr>
      <w:tcPr>
        <w:shd w:val="clear" w:color="ffffff" w:themeColor="accent3" w:themeTint="98" w:fill="c3d69b" w:themeFill="accent3" w:themeFillTint="98"/>
      </w:tcPr>
    </w:tblStylePr>
    <w:tblStylePr w:type="lastCol">
      <w:rPr>
        <w:b/>
        <w:color w:val="404040"/>
      </w:rPr>
    </w:tblStylePr>
    <w:tblStylePr w:type="lastRow">
      <w:rPr>
        <w:b/>
        <w:color w:val="404040"/>
      </w:rPr>
    </w:tblStylePr>
  </w:style>
  <w:style w:type="table" w:styleId="1170">
    <w:name w:val="List Table 3 - Accent 4"/>
    <w:basedOn w:val="1235"/>
    <w:uiPriority w:val="99"/>
    <w:pPr>
      <w:spacing w:after="0" w:line="240" w:lineRule="auto"/>
    </w:pPr>
    <w:tblPr>
      <w:tblStyleRowBandSize w:val="1"/>
      <w:tblStyleColBandSize w:val="1"/>
      <w:tblInd w:w="0" w:type="dxa"/>
      <w:tblBorders>
        <w:top w:val="single" w:color="000000" w:themeColor="accent4" w:themeTint="9A" w:sz="4" w:space="0"/>
        <w:left w:val="single" w:color="000000" w:themeColor="accent4" w:themeTint="9A" w:sz="4" w:space="0"/>
        <w:bottom w:val="single" w:color="000000" w:themeColor="accent4" w:themeTint="9A" w:sz="4" w:space="0"/>
        <w:right w:val="single" w:color="000000" w:themeColor="accent4" w:themeTint="9A" w:sz="4" w:space="0"/>
      </w:tblBorders>
    </w:tblPr>
    <w:tblStylePr w:type="band1Horz">
      <w:rPr>
        <w:rFonts w:ascii="Arial" w:hAnsi="Arial"/>
        <w:color w:val="404040"/>
        <w:sz w:val="22"/>
      </w:rPr>
      <w:tcPr>
        <w:tcBorders>
          <w:top w:val="single" w:color="000000" w:themeColor="accent4" w:themeTint="9A" w:sz="4" w:space="0"/>
          <w:bottom w:val="single" w:color="000000" w:themeColor="accent4" w:themeTint="9A" w:sz="4" w:space="0"/>
        </w:tcBorders>
      </w:tcPr>
    </w:tblStylePr>
    <w:tblStylePr w:type="band1Vert">
      <w:rPr>
        <w:rFonts w:ascii="Arial" w:hAnsi="Arial"/>
        <w:color w:val="404040"/>
        <w:sz w:val="22"/>
      </w:rPr>
      <w:tcPr>
        <w:tcBorders>
          <w:left w:val="single" w:color="000000" w:themeColor="accent4" w:themeTint="9A" w:sz="4" w:space="0"/>
          <w:right w:val="single" w:color="000000" w:themeColor="accent4" w:themeTint="9A" w:sz="4" w:space="0"/>
        </w:tcBorders>
      </w:tcPr>
    </w:tblStylePr>
    <w:tblStylePr w:type="firstCol">
      <w:rPr>
        <w:b/>
        <w:color w:val="404040"/>
      </w:rPr>
    </w:tblStylePr>
    <w:tblStylePr w:type="firstRow">
      <w:rPr>
        <w:rFonts w:ascii="Arial" w:hAnsi="Arial"/>
        <w:b/>
        <w:color w:val="ffffff"/>
        <w:sz w:val="22"/>
      </w:rPr>
      <w:tcPr>
        <w:shd w:val="clear" w:color="ffffff" w:themeColor="accent4" w:themeTint="9A" w:fill="b2a1c6" w:themeFill="accent4" w:themeFillTint="9A"/>
      </w:tcPr>
    </w:tblStylePr>
    <w:tblStylePr w:type="lastCol">
      <w:rPr>
        <w:b/>
        <w:color w:val="404040"/>
      </w:rPr>
    </w:tblStylePr>
    <w:tblStylePr w:type="lastRow">
      <w:rPr>
        <w:b/>
        <w:color w:val="404040"/>
      </w:rPr>
    </w:tblStylePr>
  </w:style>
  <w:style w:type="table" w:styleId="1171">
    <w:name w:val="List Table 3 - Accent 5"/>
    <w:basedOn w:val="1235"/>
    <w:uiPriority w:val="99"/>
    <w:pPr>
      <w:spacing w:after="0" w:line="240" w:lineRule="auto"/>
    </w:pPr>
    <w:tblPr>
      <w:tblStyleRowBandSize w:val="1"/>
      <w:tblStyleColBandSize w:val="1"/>
      <w:tblInd w:w="0" w:type="dxa"/>
      <w:tblBorders>
        <w:top w:val="single" w:color="000000" w:themeColor="accent5" w:themeTint="9A" w:sz="4" w:space="0"/>
        <w:left w:val="single" w:color="000000" w:themeColor="accent5" w:themeTint="9A" w:sz="4" w:space="0"/>
        <w:bottom w:val="single" w:color="000000" w:themeColor="accent5" w:themeTint="9A" w:sz="4" w:space="0"/>
        <w:right w:val="single" w:color="000000" w:themeColor="accent5" w:themeTint="9A" w:sz="4" w:space="0"/>
      </w:tblBorders>
    </w:tblPr>
    <w:tblStylePr w:type="band1Horz">
      <w:rPr>
        <w:rFonts w:ascii="Arial" w:hAnsi="Arial"/>
        <w:color w:val="404040"/>
        <w:sz w:val="22"/>
      </w:rPr>
      <w:tcPr>
        <w:tcBorders>
          <w:top w:val="single" w:color="000000" w:themeColor="accent5" w:themeTint="9A" w:sz="4" w:space="0"/>
          <w:bottom w:val="single" w:color="000000" w:themeColor="accent5" w:themeTint="9A" w:sz="4" w:space="0"/>
        </w:tcBorders>
      </w:tcPr>
    </w:tblStylePr>
    <w:tblStylePr w:type="band1Vert">
      <w:rPr>
        <w:rFonts w:ascii="Arial" w:hAnsi="Arial"/>
        <w:color w:val="404040"/>
        <w:sz w:val="22"/>
      </w:rPr>
      <w:tcPr>
        <w:tcBorders>
          <w:left w:val="single" w:color="000000" w:themeColor="accent5" w:themeTint="9A" w:sz="4" w:space="0"/>
          <w:right w:val="single" w:color="000000" w:themeColor="accent5" w:themeTint="9A" w:sz="4" w:space="0"/>
        </w:tcBorders>
      </w:tcPr>
    </w:tblStylePr>
    <w:tblStylePr w:type="firstCol">
      <w:rPr>
        <w:b/>
        <w:color w:val="404040"/>
      </w:rPr>
    </w:tblStylePr>
    <w:tblStylePr w:type="firstRow">
      <w:rPr>
        <w:rFonts w:ascii="Arial" w:hAnsi="Arial"/>
        <w:b/>
        <w:color w:val="ffffff"/>
        <w:sz w:val="22"/>
      </w:rPr>
      <w:tcPr>
        <w:shd w:val="clear" w:color="ffffff" w:themeColor="accent5" w:themeTint="9A" w:fill="91cddc" w:themeFill="accent5" w:themeFillTint="9A"/>
      </w:tcPr>
    </w:tblStylePr>
    <w:tblStylePr w:type="lastCol">
      <w:rPr>
        <w:b/>
        <w:color w:val="404040"/>
      </w:rPr>
    </w:tblStylePr>
    <w:tblStylePr w:type="lastRow">
      <w:rPr>
        <w:b/>
        <w:color w:val="404040"/>
      </w:rPr>
    </w:tblStylePr>
  </w:style>
  <w:style w:type="table" w:styleId="1172">
    <w:name w:val="List Table 3 - Accent 6"/>
    <w:basedOn w:val="1235"/>
    <w:uiPriority w:val="99"/>
    <w:pPr>
      <w:spacing w:after="0" w:line="240" w:lineRule="auto"/>
    </w:pPr>
    <w:tblPr>
      <w:tblStyleRowBandSize w:val="1"/>
      <w:tblStyleColBandSize w:val="1"/>
      <w:tblInd w:w="0" w:type="dxa"/>
      <w:tblBorders>
        <w:top w:val="single" w:color="000000" w:themeColor="accent6" w:themeTint="98" w:sz="4" w:space="0"/>
        <w:left w:val="single" w:color="000000" w:themeColor="accent6" w:themeTint="98" w:sz="4" w:space="0"/>
        <w:bottom w:val="single" w:color="000000" w:themeColor="accent6" w:themeTint="98" w:sz="4" w:space="0"/>
        <w:right w:val="single" w:color="000000" w:themeColor="accent6" w:themeTint="98" w:sz="4" w:space="0"/>
      </w:tblBorders>
    </w:tblPr>
    <w:tblStylePr w:type="band1Horz">
      <w:rPr>
        <w:rFonts w:ascii="Arial" w:hAnsi="Arial"/>
        <w:color w:val="404040"/>
        <w:sz w:val="22"/>
      </w:rPr>
      <w:tcPr>
        <w:tcBorders>
          <w:top w:val="single" w:color="000000" w:themeColor="accent6" w:themeTint="98" w:sz="4" w:space="0"/>
          <w:bottom w:val="single" w:color="000000" w:themeColor="accent6" w:themeTint="98" w:sz="4" w:space="0"/>
        </w:tcBorders>
      </w:tcPr>
    </w:tblStylePr>
    <w:tblStylePr w:type="band1Vert">
      <w:rPr>
        <w:rFonts w:ascii="Arial" w:hAnsi="Arial"/>
        <w:color w:val="404040"/>
        <w:sz w:val="22"/>
      </w:rPr>
      <w:tcPr>
        <w:tcBorders>
          <w:left w:val="single" w:color="000000" w:themeColor="accent6" w:themeTint="98" w:sz="4" w:space="0"/>
          <w:right w:val="single" w:color="000000" w:themeColor="accent6" w:themeTint="98" w:sz="4" w:space="0"/>
        </w:tcBorders>
      </w:tcPr>
    </w:tblStylePr>
    <w:tblStylePr w:type="firstCol">
      <w:rPr>
        <w:b/>
        <w:color w:val="404040"/>
      </w:rPr>
    </w:tblStylePr>
    <w:tblStylePr w:type="firstRow">
      <w:rPr>
        <w:rFonts w:ascii="Arial" w:hAnsi="Arial"/>
        <w:b/>
        <w:color w:val="ffffff"/>
        <w:sz w:val="22"/>
      </w:rPr>
      <w:tcPr>
        <w:shd w:val="clear" w:color="ffffff" w:themeColor="accent6" w:themeTint="98" w:fill="f9bf90" w:themeFill="accent6" w:themeFillTint="98"/>
      </w:tcPr>
    </w:tblStylePr>
    <w:tblStylePr w:type="lastCol">
      <w:rPr>
        <w:b/>
        <w:color w:val="404040"/>
      </w:rPr>
    </w:tblStylePr>
    <w:tblStylePr w:type="lastRow">
      <w:rPr>
        <w:b/>
        <w:color w:val="404040"/>
      </w:rPr>
    </w:tblStylePr>
  </w:style>
  <w:style w:type="table" w:styleId="1173">
    <w:name w:val="List Table 4"/>
    <w:basedOn w:val="1235"/>
    <w:uiPriority w:val="99"/>
    <w:pPr>
      <w:spacing w:after="0" w:line="240" w:lineRule="auto"/>
    </w:pPr>
    <w:tblPr>
      <w:tblStyleRowBandSize w:val="1"/>
      <w:tblStyleColBandSize w:val="1"/>
      <w:tblInd w:w="0"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tblBorders>
    </w:tblPr>
    <w:tblStylePr w:type="band1Horz">
      <w:rPr>
        <w:rFonts w:ascii="Arial" w:hAnsi="Arial"/>
        <w:color w:val="404040"/>
        <w:sz w:val="22"/>
      </w:rPr>
      <w:tcPr>
        <w:shd w:val="clear" w:color="ffffff" w:themeColor="text1" w:themeTint="40" w:fill="bfbfbf" w:themeFill="text1" w:themeFillTint="40"/>
      </w:tcPr>
    </w:tblStylePr>
    <w:tblStylePr w:type="band1Vert">
      <w:rPr>
        <w:rFonts w:ascii="Arial" w:hAnsi="Arial"/>
        <w:color w:val="404040"/>
        <w:sz w:val="22"/>
      </w:rPr>
      <w:tcPr>
        <w:shd w:val="clear" w:color="ffffff" w:themeColor="text1" w:themeTint="40" w:fill="bfbfbf" w:themeFill="text1" w:themeFillTint="40"/>
      </w:tcPr>
    </w:tblStylePr>
    <w:tblStylePr w:type="firstCol">
      <w:rPr>
        <w:b/>
        <w:color w:val="404040"/>
      </w:rPr>
    </w:tblStylePr>
    <w:tblStylePr w:type="firstRow">
      <w:rPr>
        <w:rFonts w:ascii="Arial" w:hAnsi="Arial"/>
        <w:b/>
        <w:color w:val="ffffff"/>
        <w:sz w:val="22"/>
      </w:rPr>
      <w:tcPr>
        <w:shd w:val="clear" w:color="ffffff" w:themeColor="text1" w:fill="000000" w:themeFill="text1"/>
      </w:tcPr>
    </w:tblStylePr>
    <w:tblStylePr w:type="lastCol">
      <w:rPr>
        <w:b/>
        <w:color w:val="404040"/>
      </w:rPr>
    </w:tblStylePr>
    <w:tblStylePr w:type="lastRow">
      <w:rPr>
        <w:b/>
        <w:color w:val="404040"/>
      </w:rPr>
    </w:tblStylePr>
  </w:style>
  <w:style w:type="table" w:styleId="1174">
    <w:name w:val="List Table 4 - Accent 1"/>
    <w:basedOn w:val="1235"/>
    <w:uiPriority w:val="99"/>
    <w:pPr>
      <w:spacing w:after="0" w:line="240" w:lineRule="auto"/>
    </w:pPr>
    <w:tblPr>
      <w:tblStyleRowBandSize w:val="1"/>
      <w:tblStyleColBandSize w:val="1"/>
      <w:tblInd w:w="0" w:type="dxa"/>
      <w:tblBorders>
        <w:top w:val="single" w:color="000000" w:themeColor="accent1" w:themeTint="90" w:sz="4" w:space="0"/>
        <w:left w:val="single" w:color="000000" w:themeColor="accent1" w:themeTint="90" w:sz="4" w:space="0"/>
        <w:bottom w:val="single" w:color="000000" w:themeColor="accent1" w:themeTint="90" w:sz="4" w:space="0"/>
        <w:right w:val="single" w:color="000000" w:themeColor="accent1" w:themeTint="90" w:sz="4" w:space="0"/>
        <w:insideH w:val="single" w:color="000000" w:themeColor="accent1" w:themeTint="90" w:sz="4" w:space="0"/>
      </w:tblBorders>
    </w:tblPr>
    <w:tblStylePr w:type="band1Horz">
      <w:rPr>
        <w:rFonts w:ascii="Arial" w:hAnsi="Arial"/>
        <w:color w:val="404040"/>
        <w:sz w:val="22"/>
      </w:rPr>
      <w:tcPr>
        <w:shd w:val="clear" w:color="ffffff" w:themeColor="accent1" w:themeTint="40" w:fill="d3e0ee" w:themeFill="accent1" w:themeFillTint="40"/>
      </w:tcPr>
    </w:tblStylePr>
    <w:tblStylePr w:type="band1Vert">
      <w:rPr>
        <w:rFonts w:ascii="Arial" w:hAnsi="Arial"/>
        <w:color w:val="404040"/>
        <w:sz w:val="22"/>
      </w:rPr>
      <w:tcPr>
        <w:shd w:val="clear" w:color="ffffff" w:themeColor="accent1" w:themeTint="40" w:fill="d3e0ee" w:themeFill="accent1" w:themeFillTint="40"/>
      </w:tcPr>
    </w:tblStylePr>
    <w:tblStylePr w:type="firstCol">
      <w:rPr>
        <w:b/>
        <w:color w:val="404040"/>
      </w:rPr>
    </w:tblStylePr>
    <w:tblStylePr w:type="firstRow">
      <w:rPr>
        <w:rFonts w:ascii="Arial" w:hAnsi="Arial"/>
        <w:b/>
        <w:color w:val="ffffff"/>
        <w:sz w:val="22"/>
      </w:rPr>
      <w:tcPr>
        <w:shd w:val="clear" w:color="ffffff" w:themeColor="accent1" w:fill="4f81bd" w:themeFill="accent1"/>
      </w:tcPr>
    </w:tblStylePr>
    <w:tblStylePr w:type="lastCol">
      <w:rPr>
        <w:b/>
        <w:color w:val="404040"/>
      </w:rPr>
    </w:tblStylePr>
    <w:tblStylePr w:type="lastRow">
      <w:rPr>
        <w:b/>
        <w:color w:val="404040"/>
      </w:rPr>
    </w:tblStylePr>
  </w:style>
  <w:style w:type="table" w:styleId="1175">
    <w:name w:val="List Table 4 - Accent 2"/>
    <w:basedOn w:val="1235"/>
    <w:uiPriority w:val="99"/>
    <w:pPr>
      <w:spacing w:after="0" w:line="240" w:lineRule="auto"/>
    </w:pPr>
    <w:tblPr>
      <w:tblStyleRowBandSize w:val="1"/>
      <w:tblStyleColBandSize w:val="1"/>
      <w:tblInd w:w="0" w:type="dxa"/>
      <w:tblBorders>
        <w:top w:val="single" w:color="000000" w:themeColor="accent2" w:themeTint="90" w:sz="4" w:space="0"/>
        <w:left w:val="single" w:color="000000" w:themeColor="accent2" w:themeTint="90" w:sz="4" w:space="0"/>
        <w:bottom w:val="single" w:color="000000" w:themeColor="accent2" w:themeTint="90" w:sz="4" w:space="0"/>
        <w:right w:val="single" w:color="000000" w:themeColor="accent2" w:themeTint="90" w:sz="4" w:space="0"/>
        <w:insideH w:val="single" w:color="000000" w:themeColor="accent2" w:themeTint="90" w:sz="4" w:space="0"/>
      </w:tblBorders>
    </w:tblPr>
    <w:tblStylePr w:type="band1Horz">
      <w:rPr>
        <w:rFonts w:ascii="Arial" w:hAnsi="Arial"/>
        <w:color w:val="404040"/>
        <w:sz w:val="22"/>
      </w:rPr>
      <w:tcPr>
        <w:shd w:val="clear" w:color="ffffff" w:themeColor="accent2" w:themeTint="40" w:fill="efd3d2" w:themeFill="accent2" w:themeFillTint="40"/>
      </w:tcPr>
    </w:tblStylePr>
    <w:tblStylePr w:type="band1Vert">
      <w:rPr>
        <w:rFonts w:ascii="Arial" w:hAnsi="Arial"/>
        <w:color w:val="404040"/>
        <w:sz w:val="22"/>
      </w:rPr>
      <w:tcPr>
        <w:shd w:val="clear" w:color="ffffff" w:themeColor="accent2" w:themeTint="40" w:fill="efd3d2" w:themeFill="accent2" w:themeFillTint="40"/>
      </w:tcPr>
    </w:tblStylePr>
    <w:tblStylePr w:type="firstCol">
      <w:rPr>
        <w:b/>
        <w:color w:val="404040"/>
      </w:rPr>
    </w:tblStylePr>
    <w:tblStylePr w:type="firstRow">
      <w:rPr>
        <w:rFonts w:ascii="Arial" w:hAnsi="Arial"/>
        <w:b/>
        <w:color w:val="ffffff"/>
        <w:sz w:val="22"/>
      </w:rPr>
      <w:tcPr>
        <w:shd w:val="clear" w:color="ffffff" w:themeColor="accent2" w:fill="c0504d" w:themeFill="accent2"/>
      </w:tcPr>
    </w:tblStylePr>
    <w:tblStylePr w:type="lastCol">
      <w:rPr>
        <w:b/>
        <w:color w:val="404040"/>
      </w:rPr>
    </w:tblStylePr>
    <w:tblStylePr w:type="lastRow">
      <w:rPr>
        <w:b/>
        <w:color w:val="404040"/>
      </w:rPr>
    </w:tblStylePr>
  </w:style>
  <w:style w:type="table" w:styleId="1176">
    <w:name w:val="List Table 4 - Accent 3"/>
    <w:basedOn w:val="1235"/>
    <w:uiPriority w:val="99"/>
    <w:pPr>
      <w:spacing w:after="0" w:line="240" w:lineRule="auto"/>
    </w:pPr>
    <w:tblPr>
      <w:tblStyleRowBandSize w:val="1"/>
      <w:tblStyleColBandSize w:val="1"/>
      <w:tblInd w:w="0" w:type="dxa"/>
      <w:tblBorders>
        <w:top w:val="single" w:color="000000" w:themeColor="accent3" w:themeTint="90" w:sz="4" w:space="0"/>
        <w:left w:val="single" w:color="000000" w:themeColor="accent3" w:themeTint="90" w:sz="4" w:space="0"/>
        <w:bottom w:val="single" w:color="000000" w:themeColor="accent3" w:themeTint="90" w:sz="4" w:space="0"/>
        <w:right w:val="single" w:color="000000" w:themeColor="accent3" w:themeTint="90" w:sz="4" w:space="0"/>
        <w:insideH w:val="single" w:color="000000" w:themeColor="accent3" w:themeTint="90" w:sz="4" w:space="0"/>
      </w:tblBorders>
    </w:tblPr>
    <w:tblStylePr w:type="band1Horz">
      <w:rPr>
        <w:rFonts w:ascii="Arial" w:hAnsi="Arial"/>
        <w:color w:val="404040"/>
        <w:sz w:val="22"/>
      </w:rPr>
      <w:tcPr>
        <w:shd w:val="clear" w:color="ffffff" w:themeColor="accent3" w:themeTint="40" w:fill="e6eed5" w:themeFill="accent3" w:themeFillTint="40"/>
      </w:tcPr>
    </w:tblStylePr>
    <w:tblStylePr w:type="band1Vert">
      <w:rPr>
        <w:rFonts w:ascii="Arial" w:hAnsi="Arial"/>
        <w:color w:val="404040"/>
        <w:sz w:val="22"/>
      </w:rPr>
      <w:tcPr>
        <w:shd w:val="clear" w:color="ffffff" w:themeColor="accent3" w:themeTint="40" w:fill="e6eed5" w:themeFill="accent3" w:themeFillTint="40"/>
      </w:tcPr>
    </w:tblStylePr>
    <w:tblStylePr w:type="firstCol">
      <w:rPr>
        <w:b/>
        <w:color w:val="404040"/>
      </w:rPr>
    </w:tblStylePr>
    <w:tblStylePr w:type="firstRow">
      <w:rPr>
        <w:rFonts w:ascii="Arial" w:hAnsi="Arial"/>
        <w:b/>
        <w:color w:val="ffffff"/>
        <w:sz w:val="22"/>
      </w:rPr>
      <w:tcPr>
        <w:shd w:val="clear" w:color="ffffff" w:themeColor="accent3" w:fill="9bbb59" w:themeFill="accent3"/>
      </w:tcPr>
    </w:tblStylePr>
    <w:tblStylePr w:type="lastCol">
      <w:rPr>
        <w:b/>
        <w:color w:val="404040"/>
      </w:rPr>
    </w:tblStylePr>
    <w:tblStylePr w:type="lastRow">
      <w:rPr>
        <w:b/>
        <w:color w:val="404040"/>
      </w:rPr>
    </w:tblStylePr>
  </w:style>
  <w:style w:type="table" w:styleId="1177">
    <w:name w:val="List Table 4 - Accent 4"/>
    <w:basedOn w:val="1235"/>
    <w:uiPriority w:val="99"/>
    <w:pPr>
      <w:spacing w:after="0" w:line="240" w:lineRule="auto"/>
    </w:pPr>
    <w:tblPr>
      <w:tblStyleRowBandSize w:val="1"/>
      <w:tblStyleColBandSize w:val="1"/>
      <w:tblInd w:w="0" w:type="dxa"/>
      <w:tblBorders>
        <w:top w:val="single" w:color="000000" w:themeColor="accent4" w:themeTint="90" w:sz="4" w:space="0"/>
        <w:left w:val="single" w:color="000000" w:themeColor="accent4" w:themeTint="90" w:sz="4" w:space="0"/>
        <w:bottom w:val="single" w:color="000000" w:themeColor="accent4" w:themeTint="90" w:sz="4" w:space="0"/>
        <w:right w:val="single" w:color="000000" w:themeColor="accent4" w:themeTint="90" w:sz="4" w:space="0"/>
        <w:insideH w:val="single" w:color="000000" w:themeColor="accent4" w:themeTint="90" w:sz="4" w:space="0"/>
      </w:tblBorders>
    </w:tblPr>
    <w:tblStylePr w:type="band1Horz">
      <w:rPr>
        <w:rFonts w:ascii="Arial" w:hAnsi="Arial"/>
        <w:color w:val="404040"/>
        <w:sz w:val="22"/>
      </w:rPr>
      <w:tcPr>
        <w:shd w:val="clear" w:color="ffffff" w:themeColor="accent4" w:themeTint="40" w:fill="dfd8e7" w:themeFill="accent4" w:themeFillTint="40"/>
      </w:tcPr>
    </w:tblStylePr>
    <w:tblStylePr w:type="band1Vert">
      <w:rPr>
        <w:rFonts w:ascii="Arial" w:hAnsi="Arial"/>
        <w:color w:val="404040"/>
        <w:sz w:val="22"/>
      </w:rPr>
      <w:tcPr>
        <w:shd w:val="clear" w:color="ffffff" w:themeColor="accent4" w:themeTint="40" w:fill="dfd8e7" w:themeFill="accent4" w:themeFillTint="40"/>
      </w:tcPr>
    </w:tblStylePr>
    <w:tblStylePr w:type="firstCol">
      <w:rPr>
        <w:b/>
        <w:color w:val="404040"/>
      </w:rPr>
    </w:tblStylePr>
    <w:tblStylePr w:type="firstRow">
      <w:rPr>
        <w:rFonts w:ascii="Arial" w:hAnsi="Arial"/>
        <w:b/>
        <w:color w:val="ffffff"/>
        <w:sz w:val="22"/>
      </w:rPr>
      <w:tcPr>
        <w:shd w:val="clear" w:color="ffffff" w:themeColor="accent4" w:fill="8064a2" w:themeFill="accent4"/>
      </w:tcPr>
    </w:tblStylePr>
    <w:tblStylePr w:type="lastCol">
      <w:rPr>
        <w:b/>
        <w:color w:val="404040"/>
      </w:rPr>
    </w:tblStylePr>
    <w:tblStylePr w:type="lastRow">
      <w:rPr>
        <w:b/>
        <w:color w:val="404040"/>
      </w:rPr>
    </w:tblStylePr>
  </w:style>
  <w:style w:type="table" w:styleId="1178">
    <w:name w:val="List Table 4 - Accent 5"/>
    <w:basedOn w:val="1235"/>
    <w:uiPriority w:val="99"/>
    <w:pPr>
      <w:spacing w:after="0" w:line="240" w:lineRule="auto"/>
    </w:pPr>
    <w:tblPr>
      <w:tblStyleRowBandSize w:val="1"/>
      <w:tblStyleColBandSize w:val="1"/>
      <w:tblInd w:w="0" w:type="dxa"/>
      <w:tblBorders>
        <w:top w:val="single" w:color="000000" w:themeColor="accent5" w:themeTint="90" w:sz="4" w:space="0"/>
        <w:left w:val="single" w:color="000000" w:themeColor="accent5" w:themeTint="90" w:sz="4" w:space="0"/>
        <w:bottom w:val="single" w:color="000000" w:themeColor="accent5" w:themeTint="90" w:sz="4" w:space="0"/>
        <w:right w:val="single" w:color="000000" w:themeColor="accent5" w:themeTint="90" w:sz="4" w:space="0"/>
        <w:insideH w:val="single" w:color="000000" w:themeColor="accent5" w:themeTint="90" w:sz="4" w:space="0"/>
      </w:tblBorders>
    </w:tblPr>
    <w:tblStylePr w:type="band1Horz">
      <w:rPr>
        <w:rFonts w:ascii="Arial" w:hAnsi="Arial"/>
        <w:color w:val="404040"/>
        <w:sz w:val="22"/>
      </w:rPr>
      <w:tcPr>
        <w:shd w:val="clear" w:color="ffffff" w:themeColor="accent5" w:themeTint="40" w:fill="d1eaf0" w:themeFill="accent5" w:themeFillTint="40"/>
      </w:tcPr>
    </w:tblStylePr>
    <w:tblStylePr w:type="band1Vert">
      <w:rPr>
        <w:rFonts w:ascii="Arial" w:hAnsi="Arial"/>
        <w:color w:val="404040"/>
        <w:sz w:val="22"/>
      </w:rPr>
      <w:tcPr>
        <w:shd w:val="clear" w:color="ffffff" w:themeColor="accent5" w:themeTint="40" w:fill="d1eaf0" w:themeFill="accent5" w:themeFillTint="40"/>
      </w:tcPr>
    </w:tblStylePr>
    <w:tblStylePr w:type="firstCol">
      <w:rPr>
        <w:b/>
        <w:color w:val="404040"/>
      </w:rPr>
    </w:tblStylePr>
    <w:tblStylePr w:type="firstRow">
      <w:rPr>
        <w:rFonts w:ascii="Arial" w:hAnsi="Arial"/>
        <w:b/>
        <w:color w:val="ffffff"/>
        <w:sz w:val="22"/>
      </w:rPr>
      <w:tcPr>
        <w:shd w:val="clear" w:color="ffffff" w:themeColor="accent5" w:fill="4bacc6" w:themeFill="accent5"/>
      </w:tcPr>
    </w:tblStylePr>
    <w:tblStylePr w:type="lastCol">
      <w:rPr>
        <w:b/>
        <w:color w:val="404040"/>
      </w:rPr>
    </w:tblStylePr>
    <w:tblStylePr w:type="lastRow">
      <w:rPr>
        <w:b/>
        <w:color w:val="404040"/>
      </w:rPr>
    </w:tblStylePr>
  </w:style>
  <w:style w:type="table" w:styleId="1179">
    <w:name w:val="List Table 4 - Accent 6"/>
    <w:basedOn w:val="1235"/>
    <w:uiPriority w:val="99"/>
    <w:pPr>
      <w:spacing w:after="0" w:line="240" w:lineRule="auto"/>
    </w:pPr>
    <w:tblPr>
      <w:tblStyleRowBandSize w:val="1"/>
      <w:tblStyleColBandSize w:val="1"/>
      <w:tblInd w:w="0" w:type="dxa"/>
      <w:tblBorders>
        <w:top w:val="single" w:color="000000" w:themeColor="accent6" w:themeTint="90" w:sz="4" w:space="0"/>
        <w:left w:val="single" w:color="000000" w:themeColor="accent6" w:themeTint="90" w:sz="4" w:space="0"/>
        <w:bottom w:val="single" w:color="000000" w:themeColor="accent6" w:themeTint="90" w:sz="4" w:space="0"/>
        <w:right w:val="single" w:color="000000" w:themeColor="accent6" w:themeTint="90" w:sz="4" w:space="0"/>
        <w:insideH w:val="single" w:color="000000" w:themeColor="accent6" w:themeTint="90" w:sz="4" w:space="0"/>
      </w:tblBorders>
    </w:tblPr>
    <w:tblStylePr w:type="band1Horz">
      <w:rPr>
        <w:rFonts w:ascii="Arial" w:hAnsi="Arial"/>
        <w:color w:val="404040"/>
        <w:sz w:val="22"/>
      </w:rPr>
      <w:tcPr>
        <w:shd w:val="clear" w:color="ffffff" w:themeColor="accent6" w:themeTint="40" w:fill="fce4d1" w:themeFill="accent6" w:themeFillTint="40"/>
      </w:tcPr>
    </w:tblStylePr>
    <w:tblStylePr w:type="band1Vert">
      <w:rPr>
        <w:rFonts w:ascii="Arial" w:hAnsi="Arial"/>
        <w:color w:val="404040"/>
        <w:sz w:val="22"/>
      </w:rPr>
      <w:tcPr>
        <w:shd w:val="clear" w:color="ffffff" w:themeColor="accent6" w:themeTint="40" w:fill="fce4d1" w:themeFill="accent6" w:themeFillTint="40"/>
      </w:tcPr>
    </w:tblStylePr>
    <w:tblStylePr w:type="firstCol">
      <w:rPr>
        <w:b/>
        <w:color w:val="404040"/>
      </w:rPr>
    </w:tblStylePr>
    <w:tblStylePr w:type="firstRow">
      <w:rPr>
        <w:rFonts w:ascii="Arial" w:hAnsi="Arial"/>
        <w:b/>
        <w:color w:val="ffffff"/>
        <w:sz w:val="22"/>
      </w:rPr>
      <w:tcPr>
        <w:shd w:val="clear" w:color="ffffff" w:themeColor="accent6" w:fill="f79646" w:themeFill="accent6"/>
      </w:tcPr>
    </w:tblStylePr>
    <w:tblStylePr w:type="lastCol">
      <w:rPr>
        <w:b/>
        <w:color w:val="404040"/>
      </w:rPr>
    </w:tblStylePr>
    <w:tblStylePr w:type="lastRow">
      <w:rPr>
        <w:b/>
        <w:color w:val="404040"/>
      </w:rPr>
    </w:tblStylePr>
  </w:style>
  <w:style w:type="table" w:styleId="1180">
    <w:name w:val="List Table 5 Dark"/>
    <w:basedOn w:val="1235"/>
    <w:uiPriority w:val="99"/>
    <w:pPr>
      <w:spacing w:after="0" w:line="240" w:lineRule="auto"/>
    </w:pPr>
    <w:tblPr>
      <w:tblStyleRowBandSize w:val="1"/>
      <w:tblStyleColBandSize w:val="1"/>
      <w:tblInd w:w="0" w:type="dxa"/>
      <w:tblBorders>
        <w:top w:val="single" w:color="000000" w:themeColor="text1" w:themeTint="80" w:sz="32" w:space="0"/>
        <w:left w:val="single" w:color="000000" w:themeColor="text1" w:themeTint="80" w:sz="32" w:space="0"/>
        <w:bottom w:val="single" w:color="000000" w:themeColor="text1" w:themeTint="80" w:sz="32" w:space="0"/>
        <w:right w:val="single" w:color="000000" w:themeColor="text1" w:themeTint="80" w:sz="32" w:space="0"/>
      </w:tblBorders>
      <w:shd w:val="clear" w:color="ffffff" w:themeColor="text1" w:themeTint="80" w:fill="7f7f7f" w:themeFill="text1" w:themeFillTint="80"/>
    </w:tblPr>
    <w:tblStylePr w:type="band1Horz">
      <w:tcPr>
        <w:shd w:val="clear" w:color="ffffff" w:themeColor="text1" w:themeTint="80" w:fill="7f7f7f" w:themeFill="text1" w:themeFillTint="80"/>
        <w:tcBorders>
          <w:top w:val="single" w:color="000000" w:themeColor="light1" w:sz="4" w:space="0"/>
          <w:bottom w:val="single" w:color="000000" w:themeColor="light1" w:sz="4" w:space="0"/>
        </w:tcBorders>
      </w:tcPr>
    </w:tblStylePr>
    <w:tblStylePr w:type="band1Vert">
      <w:tcPr>
        <w:shd w:val="clear" w:color="ffffff" w:themeColor="text1" w:themeTint="80" w:fill="7f7f7f" w:themeFill="text1" w:themeFillTint="80"/>
        <w:tcBorders>
          <w:left w:val="single" w:color="000000" w:themeColor="light1" w:sz="4" w:space="0"/>
          <w:right w:val="single" w:color="000000" w:themeColor="light1" w:sz="4" w:space="0"/>
        </w:tcBorders>
      </w:tcPr>
    </w:tblStylePr>
    <w:tblStylePr w:type="band2Horz">
      <w:tcPr>
        <w:shd w:val="clear" w:color="ffffff" w:themeColor="text1" w:themeTint="80" w:fill="7f7f7f" w:themeFill="text1" w:themeFillTint="80"/>
        <w:tcBorders>
          <w:top w:val="single" w:color="000000" w:themeColor="light1" w:sz="4" w:space="0"/>
          <w:bottom w:val="single" w:color="000000" w:themeColor="light1" w:sz="4" w:space="0"/>
        </w:tcBorders>
      </w:tcPr>
    </w:tblStylePr>
    <w:tblStylePr w:type="band2Vert">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tcPr>
        <w:tcBorders>
          <w:left w:val="single" w:color="000000" w:themeColor="text1" w:themeTint="80" w:sz="32" w:space="0"/>
          <w:right w:val="single" w:color="000000" w:themeColor="light1" w:sz="4" w:space="0"/>
        </w:tcBorders>
      </w:tcPr>
    </w:tblStylePr>
    <w:tblStylePr w:type="firstRow">
      <w:rPr>
        <w:rFonts w:ascii="Arial" w:hAnsi="Arial"/>
        <w:b/>
        <w:color w:val="ffffff" w:themeColor="light1"/>
        <w:sz w:val="22"/>
      </w:rPr>
      <w:tcPr>
        <w:shd w:val="clear" w:color="ffffff" w:themeColor="text1" w:themeTint="80" w:fill="7f7f7f" w:themeFill="text1" w:themeFillTint="80"/>
        <w:tcBorders>
          <w:top w:val="single" w:color="000000" w:themeColor="text1" w:themeTint="80" w:sz="32" w:space="0"/>
          <w:bottom w:val="single" w:color="000000" w:themeColor="light1" w:sz="12" w:space="0"/>
        </w:tcBorders>
      </w:tcPr>
    </w:tblStylePr>
    <w:tblStylePr w:type="lastCol">
      <w:tcPr>
        <w:tcBorders>
          <w:left w:val="single" w:color="000000" w:themeColor="light1" w:sz="4" w:space="0"/>
          <w:right w:val="single" w:color="000000" w:themeColor="text1" w:themeTint="80" w:sz="32" w:space="0"/>
        </w:tcBorders>
      </w:tcPr>
    </w:tblStylePr>
    <w:tblStylePr w:type="lastRow">
      <w:rPr>
        <w:rFonts w:ascii="Arial" w:hAnsi="Arial"/>
        <w:b/>
        <w:color w:val="ffffff" w:themeColor="light1"/>
        <w:sz w:val="22"/>
      </w:rPr>
    </w:tblStylePr>
    <w:tblStylePr w:type="wholeTable">
      <w:rPr>
        <w:rFonts w:ascii="Arial" w:hAnsi="Arial"/>
        <w:color w:val="ffffff" w:themeColor="light1"/>
        <w:sz w:val="22"/>
      </w:rPr>
    </w:tblStylePr>
  </w:style>
  <w:style w:type="table" w:styleId="1181">
    <w:name w:val="List Table 5 Dark - Accent 1"/>
    <w:basedOn w:val="1235"/>
    <w:uiPriority w:val="99"/>
    <w:pPr>
      <w:spacing w:after="0" w:line="240" w:lineRule="auto"/>
    </w:pPr>
    <w:tblPr>
      <w:tblStyleRowBandSize w:val="1"/>
      <w:tblStyleColBandSize w:val="1"/>
      <w:tblInd w:w="0" w:type="dxa"/>
      <w:tblBorders>
        <w:top w:val="single" w:color="000000" w:themeColor="accent1" w:sz="32" w:space="0"/>
        <w:left w:val="single" w:color="000000" w:themeColor="accent1" w:sz="32" w:space="0"/>
        <w:bottom w:val="single" w:color="000000" w:themeColor="accent1" w:sz="32" w:space="0"/>
        <w:right w:val="single" w:color="000000" w:themeColor="accent1" w:sz="32" w:space="0"/>
      </w:tblBorders>
      <w:shd w:val="clear" w:color="ffffff" w:themeColor="accent1" w:fill="4f81bd" w:themeFill="accent1"/>
    </w:tblPr>
    <w:tblStylePr w:type="band1Horz">
      <w:tcPr>
        <w:shd w:val="clear" w:color="ffffff" w:themeColor="accent1" w:fill="4f81bd" w:themeFill="accent1"/>
        <w:tcBorders>
          <w:top w:val="single" w:color="000000" w:themeColor="light1" w:sz="4" w:space="0"/>
          <w:bottom w:val="single" w:color="000000" w:themeColor="light1" w:sz="4" w:space="0"/>
        </w:tcBorders>
      </w:tcPr>
    </w:tblStylePr>
    <w:tblStylePr w:type="band1Vert">
      <w:tcPr>
        <w:shd w:val="clear" w:color="ffffff" w:themeColor="accent1" w:fill="4f81bd" w:themeFill="accent1"/>
        <w:tcBorders>
          <w:left w:val="single" w:color="000000" w:themeColor="light1" w:sz="4" w:space="0"/>
          <w:right w:val="single" w:color="000000" w:themeColor="light1" w:sz="4" w:space="0"/>
        </w:tcBorders>
      </w:tcPr>
    </w:tblStylePr>
    <w:tblStylePr w:type="band2Horz">
      <w:tcPr>
        <w:shd w:val="clear" w:color="ffffff" w:themeColor="accent1" w:fill="4f81bd" w:themeFill="accent1"/>
        <w:tcBorders>
          <w:top w:val="single" w:color="000000" w:themeColor="light1" w:sz="4" w:space="0"/>
          <w:bottom w:val="single" w:color="000000" w:themeColor="light1" w:sz="4" w:space="0"/>
        </w:tcBorders>
      </w:tcPr>
    </w:tblStylePr>
    <w:tblStylePr w:type="band2Vert">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tcPr>
        <w:tcBorders>
          <w:left w:val="single" w:color="000000" w:themeColor="accent1" w:sz="32" w:space="0"/>
          <w:right w:val="single" w:color="000000" w:themeColor="light1" w:sz="4" w:space="0"/>
        </w:tcBorders>
      </w:tcPr>
    </w:tblStylePr>
    <w:tblStylePr w:type="firstRow">
      <w:rPr>
        <w:rFonts w:ascii="Arial" w:hAnsi="Arial"/>
        <w:b/>
        <w:color w:val="ffffff" w:themeColor="light1"/>
        <w:sz w:val="22"/>
      </w:rPr>
      <w:tcPr>
        <w:shd w:val="clear" w:color="ffffff" w:themeColor="accent1" w:fill="4f81bd" w:themeFill="accent1"/>
        <w:tcBorders>
          <w:top w:val="single" w:color="000000" w:themeColor="accent1" w:sz="32" w:space="0"/>
          <w:bottom w:val="single" w:color="000000" w:themeColor="light1" w:sz="12" w:space="0"/>
        </w:tcBorders>
      </w:tcPr>
    </w:tblStylePr>
    <w:tblStylePr w:type="lastCol">
      <w:tcPr>
        <w:tcBorders>
          <w:left w:val="single" w:color="000000" w:themeColor="light1" w:sz="4" w:space="0"/>
          <w:right w:val="single" w:color="000000" w:themeColor="accent1" w:sz="32" w:space="0"/>
        </w:tcBorders>
      </w:tcPr>
    </w:tblStylePr>
    <w:tblStylePr w:type="lastRow">
      <w:rPr>
        <w:rFonts w:ascii="Arial" w:hAnsi="Arial"/>
        <w:b/>
        <w:color w:val="ffffff" w:themeColor="light1"/>
        <w:sz w:val="22"/>
      </w:rPr>
    </w:tblStylePr>
    <w:tblStylePr w:type="wholeTable">
      <w:rPr>
        <w:rFonts w:ascii="Arial" w:hAnsi="Arial"/>
        <w:color w:val="ffffff" w:themeColor="light1"/>
        <w:sz w:val="22"/>
      </w:rPr>
    </w:tblStylePr>
  </w:style>
  <w:style w:type="table" w:styleId="1182">
    <w:name w:val="List Table 5 Dark - Accent 2"/>
    <w:basedOn w:val="1235"/>
    <w:uiPriority w:val="99"/>
    <w:pPr>
      <w:spacing w:after="0" w:line="240" w:lineRule="auto"/>
    </w:pPr>
    <w:tblPr>
      <w:tblStyleRowBandSize w:val="1"/>
      <w:tblStyleColBandSize w:val="1"/>
      <w:tblInd w:w="0" w:type="dxa"/>
      <w:tblBorders>
        <w:top w:val="single" w:color="000000" w:themeColor="accent2" w:themeTint="97" w:sz="32" w:space="0"/>
        <w:left w:val="single" w:color="000000" w:themeColor="accent2" w:themeTint="97" w:sz="32" w:space="0"/>
        <w:bottom w:val="single" w:color="000000" w:themeColor="accent2" w:themeTint="97" w:sz="32" w:space="0"/>
        <w:right w:val="single" w:color="000000" w:themeColor="accent2" w:themeTint="97" w:sz="32" w:space="0"/>
      </w:tblBorders>
      <w:shd w:val="clear" w:color="ffffff" w:themeColor="accent2" w:themeTint="97" w:fill="d99694" w:themeFill="accent2" w:themeFillTint="97"/>
    </w:tblPr>
    <w:tblStylePr w:type="band1Horz">
      <w:tcPr>
        <w:shd w:val="clear" w:color="ffffff" w:themeColor="accent2" w:themeTint="97" w:fill="d99694" w:themeFill="accent2" w:themeFillTint="97"/>
        <w:tcBorders>
          <w:top w:val="single" w:color="000000" w:themeColor="light1" w:sz="4" w:space="0"/>
          <w:bottom w:val="single" w:color="000000" w:themeColor="light1" w:sz="4" w:space="0"/>
        </w:tcBorders>
      </w:tcPr>
    </w:tblStylePr>
    <w:tblStylePr w:type="band1Vert">
      <w:tcPr>
        <w:shd w:val="clear" w:color="ffffff" w:themeColor="accent2" w:themeTint="97" w:fill="d99694" w:themeFill="accent2" w:themeFillTint="97"/>
        <w:tcBorders>
          <w:left w:val="single" w:color="000000" w:themeColor="light1" w:sz="4" w:space="0"/>
          <w:right w:val="single" w:color="000000" w:themeColor="light1" w:sz="4" w:space="0"/>
        </w:tcBorders>
      </w:tcPr>
    </w:tblStylePr>
    <w:tblStylePr w:type="band2Horz">
      <w:tcPr>
        <w:shd w:val="clear" w:color="ffffff" w:themeColor="accent2" w:themeTint="97" w:fill="d99694" w:themeFill="accent2" w:themeFillTint="97"/>
        <w:tcBorders>
          <w:top w:val="single" w:color="000000" w:themeColor="light1" w:sz="4" w:space="0"/>
          <w:bottom w:val="single" w:color="000000" w:themeColor="light1" w:sz="4" w:space="0"/>
        </w:tcBorders>
      </w:tcPr>
    </w:tblStylePr>
    <w:tblStylePr w:type="band2Vert">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tcPr>
        <w:tcBorders>
          <w:left w:val="single" w:color="000000" w:themeColor="accent2" w:themeTint="97" w:sz="32" w:space="0"/>
          <w:right w:val="single" w:color="000000" w:themeColor="light1" w:sz="4" w:space="0"/>
        </w:tcBorders>
      </w:tcPr>
    </w:tblStylePr>
    <w:tblStylePr w:type="firstRow">
      <w:rPr>
        <w:rFonts w:ascii="Arial" w:hAnsi="Arial"/>
        <w:b/>
        <w:color w:val="ffffff" w:themeColor="light1"/>
        <w:sz w:val="22"/>
      </w:rPr>
      <w:tcPr>
        <w:shd w:val="clear" w:color="ffffff" w:themeColor="accent2" w:themeTint="97" w:fill="d99694" w:themeFill="accent2" w:themeFillTint="97"/>
        <w:tcBorders>
          <w:top w:val="single" w:color="000000" w:themeColor="accent2" w:themeTint="97" w:sz="32" w:space="0"/>
          <w:bottom w:val="single" w:color="000000" w:themeColor="light1" w:sz="12" w:space="0"/>
        </w:tcBorders>
      </w:tcPr>
    </w:tblStylePr>
    <w:tblStylePr w:type="lastCol">
      <w:tcPr>
        <w:tcBorders>
          <w:left w:val="single" w:color="000000" w:themeColor="light1" w:sz="4" w:space="0"/>
          <w:right w:val="single" w:color="000000" w:themeColor="accent2" w:themeTint="97" w:sz="32" w:space="0"/>
        </w:tcBorders>
      </w:tcPr>
    </w:tblStylePr>
    <w:tblStylePr w:type="lastRow">
      <w:rPr>
        <w:rFonts w:ascii="Arial" w:hAnsi="Arial"/>
        <w:b/>
        <w:color w:val="ffffff" w:themeColor="light1"/>
        <w:sz w:val="22"/>
      </w:rPr>
    </w:tblStylePr>
    <w:tblStylePr w:type="wholeTable">
      <w:rPr>
        <w:rFonts w:ascii="Arial" w:hAnsi="Arial"/>
        <w:color w:val="ffffff" w:themeColor="light1"/>
        <w:sz w:val="22"/>
      </w:rPr>
    </w:tblStylePr>
  </w:style>
  <w:style w:type="table" w:styleId="1183">
    <w:name w:val="List Table 5 Dark - Accent 3"/>
    <w:basedOn w:val="1235"/>
    <w:uiPriority w:val="99"/>
    <w:pPr>
      <w:spacing w:after="0" w:line="240" w:lineRule="auto"/>
    </w:pPr>
    <w:tblPr>
      <w:tblStyleRowBandSize w:val="1"/>
      <w:tblStyleColBandSize w:val="1"/>
      <w:tblInd w:w="0" w:type="dxa"/>
      <w:tblBorders>
        <w:top w:val="single" w:color="000000" w:themeColor="accent3" w:themeTint="98" w:sz="32" w:space="0"/>
        <w:left w:val="single" w:color="000000" w:themeColor="accent3" w:themeTint="98" w:sz="32" w:space="0"/>
        <w:bottom w:val="single" w:color="000000" w:themeColor="accent3" w:themeTint="98" w:sz="32" w:space="0"/>
        <w:right w:val="single" w:color="000000" w:themeColor="accent3" w:themeTint="98" w:sz="32" w:space="0"/>
      </w:tblBorders>
      <w:shd w:val="clear" w:color="ffffff" w:themeColor="accent3" w:themeTint="98" w:fill="c3d69b" w:themeFill="accent3" w:themeFillTint="98"/>
    </w:tblPr>
    <w:tblStylePr w:type="band1Horz">
      <w:tcPr>
        <w:shd w:val="clear" w:color="ffffff" w:themeColor="accent3" w:themeTint="98" w:fill="c3d69b" w:themeFill="accent3" w:themeFillTint="98"/>
        <w:tcBorders>
          <w:top w:val="single" w:color="000000" w:themeColor="light1" w:sz="4" w:space="0"/>
          <w:bottom w:val="single" w:color="000000" w:themeColor="light1" w:sz="4" w:space="0"/>
        </w:tcBorders>
      </w:tcPr>
    </w:tblStylePr>
    <w:tblStylePr w:type="band1Vert">
      <w:tcPr>
        <w:shd w:val="clear" w:color="ffffff" w:themeColor="accent3" w:themeTint="98" w:fill="c3d69b" w:themeFill="accent3" w:themeFillTint="98"/>
        <w:tcBorders>
          <w:left w:val="single" w:color="000000" w:themeColor="light1" w:sz="4" w:space="0"/>
          <w:right w:val="single" w:color="000000" w:themeColor="light1" w:sz="4" w:space="0"/>
        </w:tcBorders>
      </w:tcPr>
    </w:tblStylePr>
    <w:tblStylePr w:type="band2Horz">
      <w:tcPr>
        <w:shd w:val="clear" w:color="ffffff" w:themeColor="accent3" w:themeTint="98" w:fill="c3d69b" w:themeFill="accent3" w:themeFillTint="98"/>
        <w:tcBorders>
          <w:top w:val="single" w:color="000000" w:themeColor="light1" w:sz="4" w:space="0"/>
          <w:bottom w:val="single" w:color="000000" w:themeColor="light1" w:sz="4" w:space="0"/>
        </w:tcBorders>
      </w:tcPr>
    </w:tblStylePr>
    <w:tblStylePr w:type="band2Vert">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tcPr>
        <w:tcBorders>
          <w:left w:val="single" w:color="000000" w:themeColor="accent3" w:themeTint="98" w:sz="32" w:space="0"/>
          <w:right w:val="single" w:color="000000" w:themeColor="light1" w:sz="4" w:space="0"/>
        </w:tcBorders>
      </w:tcPr>
    </w:tblStylePr>
    <w:tblStylePr w:type="firstRow">
      <w:rPr>
        <w:rFonts w:ascii="Arial" w:hAnsi="Arial"/>
        <w:b/>
        <w:color w:val="ffffff" w:themeColor="light1"/>
        <w:sz w:val="22"/>
      </w:rPr>
      <w:tcPr>
        <w:shd w:val="clear" w:color="ffffff" w:themeColor="accent3" w:themeTint="98" w:fill="c3d69b" w:themeFill="accent3" w:themeFillTint="98"/>
        <w:tcBorders>
          <w:top w:val="single" w:color="000000" w:themeColor="accent3" w:themeTint="98" w:sz="32" w:space="0"/>
          <w:bottom w:val="single" w:color="000000" w:themeColor="light1" w:sz="12" w:space="0"/>
        </w:tcBorders>
      </w:tcPr>
    </w:tblStylePr>
    <w:tblStylePr w:type="lastCol">
      <w:tcPr>
        <w:tcBorders>
          <w:left w:val="single" w:color="000000" w:themeColor="light1" w:sz="4" w:space="0"/>
          <w:right w:val="single" w:color="000000" w:themeColor="accent3" w:themeTint="98" w:sz="32" w:space="0"/>
        </w:tcBorders>
      </w:tcPr>
    </w:tblStylePr>
    <w:tblStylePr w:type="lastRow">
      <w:rPr>
        <w:rFonts w:ascii="Arial" w:hAnsi="Arial"/>
        <w:b/>
        <w:color w:val="ffffff" w:themeColor="light1"/>
        <w:sz w:val="22"/>
      </w:rPr>
    </w:tblStylePr>
    <w:tblStylePr w:type="wholeTable">
      <w:rPr>
        <w:rFonts w:ascii="Arial" w:hAnsi="Arial"/>
        <w:color w:val="ffffff" w:themeColor="light1"/>
        <w:sz w:val="22"/>
      </w:rPr>
    </w:tblStylePr>
  </w:style>
  <w:style w:type="table" w:styleId="1184">
    <w:name w:val="List Table 5 Dark - Accent 4"/>
    <w:basedOn w:val="1235"/>
    <w:uiPriority w:val="99"/>
    <w:pPr>
      <w:spacing w:after="0" w:line="240" w:lineRule="auto"/>
    </w:pPr>
    <w:tblPr>
      <w:tblStyleRowBandSize w:val="1"/>
      <w:tblStyleColBandSize w:val="1"/>
      <w:tblInd w:w="0" w:type="dxa"/>
      <w:tblBorders>
        <w:top w:val="single" w:color="000000" w:themeColor="accent4" w:themeTint="9A" w:sz="32" w:space="0"/>
        <w:left w:val="single" w:color="000000" w:themeColor="accent4" w:themeTint="9A" w:sz="32" w:space="0"/>
        <w:bottom w:val="single" w:color="000000" w:themeColor="accent4" w:themeTint="9A" w:sz="32" w:space="0"/>
        <w:right w:val="single" w:color="000000" w:themeColor="accent4" w:themeTint="9A" w:sz="32" w:space="0"/>
      </w:tblBorders>
      <w:shd w:val="clear" w:color="ffffff" w:themeColor="accent4" w:themeTint="9A" w:fill="b2a1c6" w:themeFill="accent4" w:themeFillTint="9A"/>
    </w:tblPr>
    <w:tblStylePr w:type="band1Horz">
      <w:tcPr>
        <w:shd w:val="clear" w:color="ffffff" w:themeColor="accent4" w:themeTint="9A" w:fill="b2a1c6" w:themeFill="accent4" w:themeFillTint="9A"/>
        <w:tcBorders>
          <w:top w:val="single" w:color="000000" w:themeColor="light1" w:sz="4" w:space="0"/>
          <w:bottom w:val="single" w:color="000000" w:themeColor="light1" w:sz="4" w:space="0"/>
        </w:tcBorders>
      </w:tcPr>
    </w:tblStylePr>
    <w:tblStylePr w:type="band1Vert">
      <w:tcPr>
        <w:shd w:val="clear" w:color="ffffff" w:themeColor="accent4" w:themeTint="9A" w:fill="b2a1c6" w:themeFill="accent4" w:themeFillTint="9A"/>
        <w:tcBorders>
          <w:left w:val="single" w:color="000000" w:themeColor="light1" w:sz="4" w:space="0"/>
          <w:right w:val="single" w:color="000000" w:themeColor="light1" w:sz="4" w:space="0"/>
        </w:tcBorders>
      </w:tcPr>
    </w:tblStylePr>
    <w:tblStylePr w:type="band2Horz">
      <w:tcPr>
        <w:shd w:val="clear" w:color="ffffff" w:themeColor="accent4" w:themeTint="9A" w:fill="b2a1c6" w:themeFill="accent4" w:themeFillTint="9A"/>
        <w:tcBorders>
          <w:top w:val="single" w:color="000000" w:themeColor="light1" w:sz="4" w:space="0"/>
          <w:bottom w:val="single" w:color="000000" w:themeColor="light1" w:sz="4" w:space="0"/>
        </w:tcBorders>
      </w:tcPr>
    </w:tblStylePr>
    <w:tblStylePr w:type="band2Vert">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tcPr>
        <w:tcBorders>
          <w:left w:val="single" w:color="000000" w:themeColor="accent4" w:themeTint="9A" w:sz="32" w:space="0"/>
          <w:right w:val="single" w:color="000000" w:themeColor="light1" w:sz="4" w:space="0"/>
        </w:tcBorders>
      </w:tcPr>
    </w:tblStylePr>
    <w:tblStylePr w:type="firstRow">
      <w:rPr>
        <w:rFonts w:ascii="Arial" w:hAnsi="Arial"/>
        <w:b/>
        <w:color w:val="ffffff" w:themeColor="light1"/>
        <w:sz w:val="22"/>
      </w:rPr>
      <w:tcPr>
        <w:shd w:val="clear" w:color="ffffff" w:themeColor="accent4" w:themeTint="9A" w:fill="b2a1c6" w:themeFill="accent4" w:themeFillTint="9A"/>
        <w:tcBorders>
          <w:top w:val="single" w:color="000000" w:themeColor="accent4" w:themeTint="9A" w:sz="32" w:space="0"/>
          <w:bottom w:val="single" w:color="000000" w:themeColor="light1" w:sz="12" w:space="0"/>
        </w:tcBorders>
      </w:tcPr>
    </w:tblStylePr>
    <w:tblStylePr w:type="lastCol">
      <w:tcPr>
        <w:tcBorders>
          <w:left w:val="single" w:color="000000" w:themeColor="light1" w:sz="4" w:space="0"/>
          <w:right w:val="single" w:color="000000" w:themeColor="accent4" w:themeTint="9A" w:sz="32" w:space="0"/>
        </w:tcBorders>
      </w:tcPr>
    </w:tblStylePr>
    <w:tblStylePr w:type="lastRow">
      <w:rPr>
        <w:rFonts w:ascii="Arial" w:hAnsi="Arial"/>
        <w:b/>
        <w:color w:val="ffffff" w:themeColor="light1"/>
        <w:sz w:val="22"/>
      </w:rPr>
    </w:tblStylePr>
    <w:tblStylePr w:type="wholeTable">
      <w:rPr>
        <w:rFonts w:ascii="Arial" w:hAnsi="Arial"/>
        <w:color w:val="ffffff" w:themeColor="light1"/>
        <w:sz w:val="22"/>
      </w:rPr>
    </w:tblStylePr>
  </w:style>
  <w:style w:type="table" w:styleId="1185">
    <w:name w:val="List Table 5 Dark - Accent 5"/>
    <w:basedOn w:val="1235"/>
    <w:uiPriority w:val="99"/>
    <w:pPr>
      <w:spacing w:after="0" w:line="240" w:lineRule="auto"/>
    </w:pPr>
    <w:tblPr>
      <w:tblStyleRowBandSize w:val="1"/>
      <w:tblStyleColBandSize w:val="1"/>
      <w:tblInd w:w="0" w:type="dxa"/>
      <w:tblBorders>
        <w:top w:val="single" w:color="000000" w:themeColor="accent5" w:themeTint="9A" w:sz="32" w:space="0"/>
        <w:left w:val="single" w:color="000000" w:themeColor="accent5" w:themeTint="9A" w:sz="32" w:space="0"/>
        <w:bottom w:val="single" w:color="000000" w:themeColor="accent5" w:themeTint="9A" w:sz="32" w:space="0"/>
        <w:right w:val="single" w:color="000000" w:themeColor="accent5" w:themeTint="9A" w:sz="32" w:space="0"/>
      </w:tblBorders>
      <w:shd w:val="clear" w:color="ffffff" w:themeColor="accent5" w:themeTint="9A" w:fill="91cddc" w:themeFill="accent5" w:themeFillTint="9A"/>
    </w:tblPr>
    <w:tblStylePr w:type="band1Horz">
      <w:tcPr>
        <w:shd w:val="clear" w:color="ffffff" w:themeColor="accent5" w:themeTint="9A" w:fill="91cddc" w:themeFill="accent5" w:themeFillTint="9A"/>
        <w:tcBorders>
          <w:top w:val="single" w:color="000000" w:themeColor="light1" w:sz="4" w:space="0"/>
          <w:bottom w:val="single" w:color="000000" w:themeColor="light1" w:sz="4" w:space="0"/>
        </w:tcBorders>
      </w:tcPr>
    </w:tblStylePr>
    <w:tblStylePr w:type="band1Vert">
      <w:tcPr>
        <w:shd w:val="clear" w:color="ffffff" w:themeColor="accent5" w:themeTint="9A" w:fill="91cddc" w:themeFill="accent5" w:themeFillTint="9A"/>
        <w:tcBorders>
          <w:left w:val="single" w:color="000000" w:themeColor="light1" w:sz="4" w:space="0"/>
          <w:right w:val="single" w:color="000000" w:themeColor="light1" w:sz="4" w:space="0"/>
        </w:tcBorders>
      </w:tcPr>
    </w:tblStylePr>
    <w:tblStylePr w:type="band2Horz">
      <w:tcPr>
        <w:shd w:val="clear" w:color="ffffff" w:themeColor="accent5" w:themeTint="9A" w:fill="91cddc" w:themeFill="accent5" w:themeFillTint="9A"/>
        <w:tcBorders>
          <w:top w:val="single" w:color="000000" w:themeColor="light1" w:sz="4" w:space="0"/>
          <w:bottom w:val="single" w:color="000000" w:themeColor="light1" w:sz="4" w:space="0"/>
        </w:tcBorders>
      </w:tcPr>
    </w:tblStylePr>
    <w:tblStylePr w:type="band2Vert">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tcPr>
        <w:tcBorders>
          <w:left w:val="single" w:color="000000" w:themeColor="accent5" w:themeTint="9A" w:sz="32" w:space="0"/>
          <w:right w:val="single" w:color="000000" w:themeColor="light1" w:sz="4" w:space="0"/>
        </w:tcBorders>
      </w:tcPr>
    </w:tblStylePr>
    <w:tblStylePr w:type="firstRow">
      <w:rPr>
        <w:rFonts w:ascii="Arial" w:hAnsi="Arial"/>
        <w:b/>
        <w:color w:val="ffffff" w:themeColor="light1"/>
        <w:sz w:val="22"/>
      </w:rPr>
      <w:tcPr>
        <w:shd w:val="clear" w:color="ffffff" w:themeColor="accent5" w:themeTint="9A" w:fill="91cddc" w:themeFill="accent5" w:themeFillTint="9A"/>
        <w:tcBorders>
          <w:top w:val="single" w:color="000000" w:themeColor="accent5" w:themeTint="9A" w:sz="32" w:space="0"/>
          <w:bottom w:val="single" w:color="000000" w:themeColor="light1" w:sz="12" w:space="0"/>
        </w:tcBorders>
      </w:tcPr>
    </w:tblStylePr>
    <w:tblStylePr w:type="lastCol">
      <w:tcPr>
        <w:tcBorders>
          <w:left w:val="single" w:color="000000" w:themeColor="light1" w:sz="4" w:space="0"/>
          <w:right w:val="single" w:color="000000" w:themeColor="accent5" w:themeTint="9A" w:sz="32" w:space="0"/>
        </w:tcBorders>
      </w:tcPr>
    </w:tblStylePr>
    <w:tblStylePr w:type="lastRow">
      <w:rPr>
        <w:rFonts w:ascii="Arial" w:hAnsi="Arial"/>
        <w:b/>
        <w:color w:val="ffffff" w:themeColor="light1"/>
        <w:sz w:val="22"/>
      </w:rPr>
    </w:tblStylePr>
    <w:tblStylePr w:type="wholeTable">
      <w:rPr>
        <w:rFonts w:ascii="Arial" w:hAnsi="Arial"/>
        <w:color w:val="ffffff" w:themeColor="light1"/>
        <w:sz w:val="22"/>
      </w:rPr>
    </w:tblStylePr>
  </w:style>
  <w:style w:type="table" w:styleId="1186">
    <w:name w:val="List Table 5 Dark - Accent 6"/>
    <w:basedOn w:val="1235"/>
    <w:uiPriority w:val="99"/>
    <w:pPr>
      <w:spacing w:after="0" w:line="240" w:lineRule="auto"/>
    </w:pPr>
    <w:tblPr>
      <w:tblStyleRowBandSize w:val="1"/>
      <w:tblStyleColBandSize w:val="1"/>
      <w:tblInd w:w="0" w:type="dxa"/>
      <w:tblBorders>
        <w:top w:val="single" w:color="000000" w:themeColor="accent6" w:themeTint="98" w:sz="32" w:space="0"/>
        <w:left w:val="single" w:color="000000" w:themeColor="accent6" w:themeTint="98" w:sz="32" w:space="0"/>
        <w:bottom w:val="single" w:color="000000" w:themeColor="accent6" w:themeTint="98" w:sz="32" w:space="0"/>
        <w:right w:val="single" w:color="000000" w:themeColor="accent6" w:themeTint="98" w:sz="32" w:space="0"/>
      </w:tblBorders>
      <w:shd w:val="clear" w:color="ffffff" w:themeColor="accent6" w:themeTint="98" w:fill="f9bf90" w:themeFill="accent6" w:themeFillTint="98"/>
    </w:tblPr>
    <w:tblStylePr w:type="band1Horz">
      <w:tcPr>
        <w:shd w:val="clear" w:color="ffffff" w:themeColor="accent6" w:themeTint="98" w:fill="f9bf90" w:themeFill="accent6" w:themeFillTint="98"/>
        <w:tcBorders>
          <w:top w:val="single" w:color="000000" w:themeColor="light1" w:sz="4" w:space="0"/>
          <w:bottom w:val="single" w:color="000000" w:themeColor="light1" w:sz="4" w:space="0"/>
        </w:tcBorders>
      </w:tcPr>
    </w:tblStylePr>
    <w:tblStylePr w:type="band1Vert">
      <w:tcPr>
        <w:shd w:val="clear" w:color="ffffff" w:themeColor="accent6" w:themeTint="98" w:fill="f9bf90" w:themeFill="accent6" w:themeFillTint="98"/>
        <w:tcBorders>
          <w:left w:val="single" w:color="000000" w:themeColor="light1" w:sz="4" w:space="0"/>
          <w:right w:val="single" w:color="000000" w:themeColor="light1" w:sz="4" w:space="0"/>
        </w:tcBorders>
      </w:tcPr>
    </w:tblStylePr>
    <w:tblStylePr w:type="band2Horz">
      <w:tcPr>
        <w:shd w:val="clear" w:color="ffffff" w:themeColor="accent6" w:themeTint="98" w:fill="f9bf90" w:themeFill="accent6" w:themeFillTint="98"/>
        <w:tcBorders>
          <w:top w:val="single" w:color="000000" w:themeColor="light1" w:sz="4" w:space="0"/>
          <w:bottom w:val="single" w:color="000000" w:themeColor="light1" w:sz="4" w:space="0"/>
        </w:tcBorders>
      </w:tcPr>
    </w:tblStylePr>
    <w:tblStylePr w:type="band2Vert">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tcPr>
        <w:tcBorders>
          <w:left w:val="single" w:color="000000" w:themeColor="accent6" w:themeTint="98" w:sz="32" w:space="0"/>
          <w:right w:val="single" w:color="000000" w:themeColor="light1" w:sz="4" w:space="0"/>
        </w:tcBorders>
      </w:tcPr>
    </w:tblStylePr>
    <w:tblStylePr w:type="firstRow">
      <w:rPr>
        <w:rFonts w:ascii="Arial" w:hAnsi="Arial"/>
        <w:b/>
        <w:color w:val="ffffff" w:themeColor="light1"/>
        <w:sz w:val="22"/>
      </w:rPr>
      <w:tcPr>
        <w:shd w:val="clear" w:color="ffffff" w:themeColor="accent6" w:themeTint="98" w:fill="f9bf90" w:themeFill="accent6" w:themeFillTint="98"/>
        <w:tcBorders>
          <w:top w:val="single" w:color="000000" w:themeColor="accent6" w:themeTint="98" w:sz="32" w:space="0"/>
          <w:bottom w:val="single" w:color="000000" w:themeColor="light1" w:sz="12" w:space="0"/>
        </w:tcBorders>
      </w:tcPr>
    </w:tblStylePr>
    <w:tblStylePr w:type="lastCol">
      <w:tcPr>
        <w:tcBorders>
          <w:left w:val="single" w:color="000000" w:themeColor="light1" w:sz="4" w:space="0"/>
          <w:right w:val="single" w:color="000000" w:themeColor="accent6" w:themeTint="98" w:sz="32" w:space="0"/>
        </w:tcBorders>
      </w:tcPr>
    </w:tblStylePr>
    <w:tblStylePr w:type="lastRow">
      <w:rPr>
        <w:rFonts w:ascii="Arial" w:hAnsi="Arial"/>
        <w:b/>
        <w:color w:val="ffffff" w:themeColor="light1"/>
        <w:sz w:val="22"/>
      </w:rPr>
    </w:tblStylePr>
    <w:tblStylePr w:type="wholeTable">
      <w:rPr>
        <w:rFonts w:ascii="Arial" w:hAnsi="Arial"/>
        <w:color w:val="ffffff" w:themeColor="light1"/>
        <w:sz w:val="22"/>
      </w:rPr>
    </w:tblStylePr>
  </w:style>
  <w:style w:type="table" w:styleId="1187">
    <w:name w:val="List Table 6 Colorful"/>
    <w:basedOn w:val="1235"/>
    <w:uiPriority w:val="99"/>
    <w:pPr>
      <w:spacing w:after="0" w:line="240" w:lineRule="auto"/>
    </w:pPr>
    <w:tblPr>
      <w:tblStyleRowBandSize w:val="1"/>
      <w:tblStyleColBandSize w:val="1"/>
      <w:tblInd w:w="0" w:type="dxa"/>
      <w:tblBorders>
        <w:top w:val="single" w:color="000000" w:themeColor="text1" w:themeTint="80" w:sz="4" w:space="0"/>
        <w:bottom w:val="single" w:color="000000" w:themeColor="text1" w:themeTint="80" w:sz="4" w:space="0"/>
      </w:tblBorders>
    </w:tblPr>
    <w:tblStylePr w:type="band1Horz">
      <w:rPr>
        <w:rFonts w:ascii="Arial" w:hAnsi="Arial"/>
        <w:color w:val="404040" w:themeColor="text1"/>
        <w:sz w:val="22"/>
      </w:rPr>
      <w:tcPr>
        <w:shd w:val="clear" w:color="ffffff" w:themeColor="text1" w:themeTint="40" w:fill="bfbfbf" w:themeFill="text1" w:themeFillTint="40"/>
      </w:tcPr>
    </w:tblStylePr>
    <w:tblStylePr w:type="band1Vert">
      <w:tcPr>
        <w:shd w:val="clear" w:color="ffffff" w:themeColor="text1" w:themeTint="40" w:fill="bfbfbf" w:themeFill="text1" w:themeFillTint="40"/>
      </w:tcPr>
    </w:tblStylePr>
    <w:tblStylePr w:type="band2Horz">
      <w:rPr>
        <w:rFonts w:ascii="Arial" w:hAnsi="Arial"/>
        <w:color w:val="404040" w:themeColor="text1"/>
        <w:sz w:val="22"/>
      </w:rPr>
    </w:tblStylePr>
    <w:tblStylePr w:type="firstCol">
      <w:rPr>
        <w:b/>
        <w:color w:val="000000" w:themeColor="text1"/>
      </w:rPr>
    </w:tblStylePr>
    <w:tblStylePr w:type="firstRow">
      <w:rPr>
        <w:b/>
        <w:color w:val="000000" w:themeColor="text1"/>
      </w:rPr>
      <w:tcPr>
        <w:tcBorders>
          <w:bottom w:val="single" w:color="000000" w:themeColor="text1" w:themeTint="80" w:sz="4" w:space="0"/>
        </w:tcBorders>
      </w:tcPr>
    </w:tblStylePr>
    <w:tblStylePr w:type="lastCol">
      <w:rPr>
        <w:b/>
        <w:color w:val="000000" w:themeColor="text1"/>
      </w:rPr>
    </w:tblStylePr>
    <w:tblStylePr w:type="lastRow">
      <w:rPr>
        <w:b/>
        <w:color w:val="000000" w:themeColor="text1"/>
      </w:rPr>
      <w:tcPr>
        <w:tcBorders>
          <w:top w:val="single" w:color="000000" w:themeColor="text1" w:themeTint="80" w:sz="4" w:space="0"/>
        </w:tcBorders>
      </w:tcPr>
    </w:tblStylePr>
  </w:style>
  <w:style w:type="table" w:styleId="1188">
    <w:name w:val="List Table 6 Colorful - Accent 1"/>
    <w:basedOn w:val="1235"/>
    <w:uiPriority w:val="99"/>
    <w:pPr>
      <w:spacing w:after="0" w:line="240" w:lineRule="auto"/>
    </w:pPr>
    <w:tblPr>
      <w:tblStyleRowBandSize w:val="1"/>
      <w:tblStyleColBandSize w:val="1"/>
      <w:tblInd w:w="0" w:type="dxa"/>
      <w:tblBorders>
        <w:top w:val="single" w:color="000000" w:themeColor="accent1" w:sz="4" w:space="0"/>
        <w:bottom w:val="single" w:color="000000" w:themeColor="accent1" w:sz="4" w:space="0"/>
      </w:tblBorders>
    </w:tblPr>
    <w:tblStylePr w:type="band1Horz">
      <w:rPr>
        <w:rFonts w:ascii="Arial" w:hAnsi="Arial"/>
        <w:color w:val="404040" w:themeColor="accent1" w:themeShade="95"/>
        <w:sz w:val="22"/>
      </w:rPr>
      <w:tcPr>
        <w:shd w:val="clear" w:color="ffffff" w:themeColor="accent1" w:themeTint="40" w:fill="d3e0ee" w:themeFill="accent1" w:themeFillTint="40"/>
      </w:tcPr>
    </w:tblStylePr>
    <w:tblStylePr w:type="band1Vert">
      <w:tcPr>
        <w:shd w:val="clear" w:color="ffffff" w:themeColor="accent1" w:themeTint="40" w:fill="d3e0ee" w:themeFill="accent1" w:themeFillTint="40"/>
      </w:tcPr>
    </w:tblStylePr>
    <w:tblStylePr w:type="band2Horz">
      <w:rPr>
        <w:rFonts w:ascii="Arial" w:hAnsi="Arial"/>
        <w:color w:val="404040" w:themeColor="accent1" w:themeShade="95"/>
        <w:sz w:val="22"/>
      </w:rPr>
    </w:tblStylePr>
    <w:tblStylePr w:type="firstCol">
      <w:rPr>
        <w:b/>
        <w:color w:val="2a4b71" w:themeColor="accent1" w:themeShade="95"/>
      </w:rPr>
    </w:tblStylePr>
    <w:tblStylePr w:type="firstRow">
      <w:rPr>
        <w:b/>
        <w:color w:val="2a4b71" w:themeColor="accent1" w:themeShade="95"/>
      </w:rPr>
      <w:tcPr>
        <w:tcBorders>
          <w:bottom w:val="single" w:color="000000" w:themeColor="accent1" w:sz="4" w:space="0"/>
        </w:tcBorders>
      </w:tcPr>
    </w:tblStylePr>
    <w:tblStylePr w:type="lastCol">
      <w:rPr>
        <w:b/>
        <w:color w:val="2a4b71" w:themeColor="accent1" w:themeShade="95"/>
      </w:rPr>
    </w:tblStylePr>
    <w:tblStylePr w:type="lastRow">
      <w:rPr>
        <w:b/>
        <w:color w:val="2a4b71" w:themeColor="accent1" w:themeShade="95"/>
      </w:rPr>
      <w:tcPr>
        <w:tcBorders>
          <w:top w:val="single" w:color="000000" w:themeColor="accent1" w:sz="4" w:space="0"/>
        </w:tcBorders>
      </w:tcPr>
    </w:tblStylePr>
  </w:style>
  <w:style w:type="table" w:styleId="1189">
    <w:name w:val="List Table 6 Colorful - Accent 2"/>
    <w:basedOn w:val="1235"/>
    <w:uiPriority w:val="99"/>
    <w:pPr>
      <w:spacing w:after="0" w:line="240" w:lineRule="auto"/>
    </w:pPr>
    <w:tblPr>
      <w:tblStyleRowBandSize w:val="1"/>
      <w:tblStyleColBandSize w:val="1"/>
      <w:tblInd w:w="0" w:type="dxa"/>
      <w:tblBorders>
        <w:top w:val="single" w:color="000000" w:themeColor="accent2" w:themeTint="97" w:sz="4" w:space="0"/>
        <w:bottom w:val="single" w:color="000000" w:themeColor="accent2" w:themeTint="97" w:sz="4" w:space="0"/>
      </w:tblBorders>
    </w:tblPr>
    <w:tblStylePr w:type="band1Horz">
      <w:rPr>
        <w:rFonts w:ascii="Arial" w:hAnsi="Arial"/>
        <w:color w:val="404040" w:themeColor="accent2" w:themeTint="97" w:themeShade="95"/>
        <w:sz w:val="22"/>
      </w:rPr>
      <w:tcPr>
        <w:shd w:val="clear" w:color="ffffff" w:themeColor="accent2" w:themeTint="40" w:fill="efd3d2" w:themeFill="accent2" w:themeFillTint="40"/>
      </w:tcPr>
    </w:tblStylePr>
    <w:tblStylePr w:type="band1Vert">
      <w:tcPr>
        <w:shd w:val="clear" w:color="ffffff" w:themeColor="accent2" w:themeTint="40" w:fill="efd3d2" w:themeFill="accent2" w:themeFillTint="40"/>
      </w:tcPr>
    </w:tblStylePr>
    <w:tblStylePr w:type="band2Horz">
      <w:rPr>
        <w:rFonts w:ascii="Arial" w:hAnsi="Arial"/>
        <w:color w:val="404040" w:themeColor="accent2" w:themeTint="97" w:themeShade="95"/>
        <w:sz w:val="22"/>
      </w:rPr>
    </w:tblStylePr>
    <w:tblStylePr w:type="firstCol">
      <w:rPr>
        <w:b/>
        <w:color w:val="9c3a37" w:themeColor="accent2" w:themeTint="97" w:themeShade="95"/>
      </w:rPr>
    </w:tblStylePr>
    <w:tblStylePr w:type="firstRow">
      <w:rPr>
        <w:b/>
        <w:color w:val="9c3a37" w:themeColor="accent2" w:themeTint="97" w:themeShade="95"/>
      </w:rPr>
      <w:tcPr>
        <w:tcBorders>
          <w:bottom w:val="single" w:color="000000" w:themeColor="accent2" w:themeTint="97" w:sz="4" w:space="0"/>
        </w:tcBorders>
      </w:tcPr>
    </w:tblStylePr>
    <w:tblStylePr w:type="lastCol">
      <w:rPr>
        <w:b/>
        <w:color w:val="9c3a37" w:themeColor="accent2" w:themeTint="97" w:themeShade="95"/>
      </w:rPr>
    </w:tblStylePr>
    <w:tblStylePr w:type="lastRow">
      <w:rPr>
        <w:b/>
        <w:color w:val="9c3a37" w:themeColor="accent2" w:themeTint="97" w:themeShade="95"/>
      </w:rPr>
      <w:tcPr>
        <w:tcBorders>
          <w:top w:val="single" w:color="000000" w:themeColor="accent2" w:themeTint="97" w:sz="4" w:space="0"/>
        </w:tcBorders>
      </w:tcPr>
    </w:tblStylePr>
  </w:style>
  <w:style w:type="table" w:styleId="1190">
    <w:name w:val="List Table 6 Colorful - Accent 3"/>
    <w:basedOn w:val="1235"/>
    <w:uiPriority w:val="99"/>
    <w:pPr>
      <w:spacing w:after="0" w:line="240" w:lineRule="auto"/>
    </w:pPr>
    <w:tblPr>
      <w:tblStyleRowBandSize w:val="1"/>
      <w:tblStyleColBandSize w:val="1"/>
      <w:tblInd w:w="0" w:type="dxa"/>
      <w:tblBorders>
        <w:top w:val="single" w:color="000000" w:themeColor="accent3" w:themeTint="98" w:sz="4" w:space="0"/>
        <w:bottom w:val="single" w:color="000000" w:themeColor="accent3" w:themeTint="98" w:sz="4" w:space="0"/>
      </w:tblBorders>
    </w:tblPr>
    <w:tblStylePr w:type="band1Horz">
      <w:rPr>
        <w:rFonts w:ascii="Arial" w:hAnsi="Arial"/>
        <w:color w:val="404040" w:themeColor="accent3" w:themeTint="98" w:themeShade="95"/>
        <w:sz w:val="22"/>
      </w:rPr>
      <w:tcPr>
        <w:shd w:val="clear" w:color="ffffff" w:themeColor="accent3" w:themeTint="40" w:fill="e6eed5" w:themeFill="accent3" w:themeFillTint="40"/>
      </w:tcPr>
    </w:tblStylePr>
    <w:tblStylePr w:type="band1Vert">
      <w:tcPr>
        <w:shd w:val="clear" w:color="ffffff" w:themeColor="accent3" w:themeTint="40" w:fill="e6eed5" w:themeFill="accent3" w:themeFillTint="40"/>
      </w:tcPr>
    </w:tblStylePr>
    <w:tblStylePr w:type="band2Horz">
      <w:rPr>
        <w:rFonts w:ascii="Arial" w:hAnsi="Arial"/>
        <w:color w:val="404040" w:themeColor="accent3" w:themeTint="98" w:themeShade="95"/>
        <w:sz w:val="22"/>
      </w:rPr>
    </w:tblStylePr>
    <w:tblStylePr w:type="firstCol">
      <w:rPr>
        <w:b/>
        <w:color w:val="7c983f" w:themeColor="accent3" w:themeTint="98" w:themeShade="95"/>
      </w:rPr>
    </w:tblStylePr>
    <w:tblStylePr w:type="firstRow">
      <w:rPr>
        <w:b/>
        <w:color w:val="7c983f" w:themeColor="accent3" w:themeTint="98" w:themeShade="95"/>
      </w:rPr>
      <w:tcPr>
        <w:tcBorders>
          <w:bottom w:val="single" w:color="000000" w:themeColor="accent3" w:themeTint="98" w:sz="4" w:space="0"/>
        </w:tcBorders>
      </w:tcPr>
    </w:tblStylePr>
    <w:tblStylePr w:type="lastCol">
      <w:rPr>
        <w:b/>
        <w:color w:val="7c983f" w:themeColor="accent3" w:themeTint="98" w:themeShade="95"/>
      </w:rPr>
    </w:tblStylePr>
    <w:tblStylePr w:type="lastRow">
      <w:rPr>
        <w:b/>
        <w:color w:val="7c983f" w:themeColor="accent3" w:themeTint="98" w:themeShade="95"/>
      </w:rPr>
      <w:tcPr>
        <w:tcBorders>
          <w:top w:val="single" w:color="000000" w:themeColor="accent3" w:themeTint="98" w:sz="4" w:space="0"/>
        </w:tcBorders>
      </w:tcPr>
    </w:tblStylePr>
  </w:style>
  <w:style w:type="table" w:styleId="1191">
    <w:name w:val="List Table 6 Colorful - Accent 4"/>
    <w:basedOn w:val="1235"/>
    <w:uiPriority w:val="99"/>
    <w:pPr>
      <w:spacing w:after="0" w:line="240" w:lineRule="auto"/>
    </w:pPr>
    <w:tblPr>
      <w:tblStyleRowBandSize w:val="1"/>
      <w:tblStyleColBandSize w:val="1"/>
      <w:tblInd w:w="0" w:type="dxa"/>
      <w:tblBorders>
        <w:top w:val="single" w:color="000000" w:themeColor="accent4" w:themeTint="9A" w:sz="4" w:space="0"/>
        <w:bottom w:val="single" w:color="000000" w:themeColor="accent4" w:themeTint="9A" w:sz="4" w:space="0"/>
      </w:tblBorders>
    </w:tblPr>
    <w:tblStylePr w:type="band1Horz">
      <w:rPr>
        <w:rFonts w:ascii="Arial" w:hAnsi="Arial"/>
        <w:color w:val="404040" w:themeColor="accent4" w:themeTint="9A" w:themeShade="95"/>
        <w:sz w:val="22"/>
      </w:rPr>
      <w:tcPr>
        <w:shd w:val="clear" w:color="ffffff" w:themeColor="accent4" w:themeTint="40" w:fill="dfd8e7" w:themeFill="accent4" w:themeFillTint="40"/>
      </w:tcPr>
    </w:tblStylePr>
    <w:tblStylePr w:type="band1Vert">
      <w:tcPr>
        <w:shd w:val="clear" w:color="ffffff" w:themeColor="accent4" w:themeTint="40" w:fill="dfd8e7" w:themeFill="accent4" w:themeFillTint="40"/>
      </w:tcPr>
    </w:tblStylePr>
    <w:tblStylePr w:type="band2Horz">
      <w:rPr>
        <w:rFonts w:ascii="Arial" w:hAnsi="Arial"/>
        <w:color w:val="404040" w:themeColor="accent4" w:themeTint="9A" w:themeShade="95"/>
        <w:sz w:val="22"/>
      </w:rPr>
    </w:tblStylePr>
    <w:tblStylePr w:type="firstCol">
      <w:rPr>
        <w:b/>
        <w:color w:val="664f82" w:themeColor="accent4" w:themeTint="9A" w:themeShade="95"/>
      </w:rPr>
    </w:tblStylePr>
    <w:tblStylePr w:type="firstRow">
      <w:rPr>
        <w:b/>
        <w:color w:val="664f82" w:themeColor="accent4" w:themeTint="9A" w:themeShade="95"/>
      </w:rPr>
      <w:tcPr>
        <w:tcBorders>
          <w:bottom w:val="single" w:color="000000" w:themeColor="accent4" w:themeTint="9A" w:sz="4" w:space="0"/>
        </w:tcBorders>
      </w:tcPr>
    </w:tblStylePr>
    <w:tblStylePr w:type="lastCol">
      <w:rPr>
        <w:b/>
        <w:color w:val="664f82" w:themeColor="accent4" w:themeTint="9A" w:themeShade="95"/>
      </w:rPr>
    </w:tblStylePr>
    <w:tblStylePr w:type="lastRow">
      <w:rPr>
        <w:b/>
        <w:color w:val="664f82" w:themeColor="accent4" w:themeTint="9A" w:themeShade="95"/>
      </w:rPr>
      <w:tcPr>
        <w:tcBorders>
          <w:top w:val="single" w:color="000000" w:themeColor="accent4" w:themeTint="9A" w:sz="4" w:space="0"/>
        </w:tcBorders>
      </w:tcPr>
    </w:tblStylePr>
  </w:style>
  <w:style w:type="table" w:styleId="1192">
    <w:name w:val="List Table 6 Colorful - Accent 5"/>
    <w:basedOn w:val="1235"/>
    <w:uiPriority w:val="99"/>
    <w:pPr>
      <w:spacing w:after="0" w:line="240" w:lineRule="auto"/>
    </w:pPr>
    <w:tblPr>
      <w:tblStyleRowBandSize w:val="1"/>
      <w:tblStyleColBandSize w:val="1"/>
      <w:tblInd w:w="0" w:type="dxa"/>
      <w:tblBorders>
        <w:top w:val="single" w:color="000000" w:themeColor="accent5" w:themeTint="9A" w:sz="4" w:space="0"/>
        <w:bottom w:val="single" w:color="000000" w:themeColor="accent5" w:themeTint="9A" w:sz="4" w:space="0"/>
      </w:tblBorders>
    </w:tblPr>
    <w:tblStylePr w:type="band1Horz">
      <w:rPr>
        <w:rFonts w:ascii="Arial" w:hAnsi="Arial"/>
        <w:color w:val="404040" w:themeColor="accent5" w:themeTint="9A" w:themeShade="95"/>
        <w:sz w:val="22"/>
      </w:rPr>
      <w:tcPr>
        <w:shd w:val="clear" w:color="ffffff" w:themeColor="accent5" w:themeTint="40" w:fill="d1eaf0" w:themeFill="accent5" w:themeFillTint="40"/>
      </w:tcPr>
    </w:tblStylePr>
    <w:tblStylePr w:type="band1Vert">
      <w:tcPr>
        <w:shd w:val="clear" w:color="ffffff" w:themeColor="accent5" w:themeTint="40" w:fill="d1eaf0" w:themeFill="accent5" w:themeFillTint="40"/>
      </w:tcPr>
    </w:tblStylePr>
    <w:tblStylePr w:type="band2Horz">
      <w:rPr>
        <w:rFonts w:ascii="Arial" w:hAnsi="Arial"/>
        <w:color w:val="404040" w:themeColor="accent5" w:themeTint="9A" w:themeShade="95"/>
        <w:sz w:val="22"/>
      </w:rPr>
    </w:tblStylePr>
    <w:tblStylePr w:type="firstCol">
      <w:rPr>
        <w:b/>
        <w:color w:val="338aa0" w:themeColor="accent5" w:themeTint="9A" w:themeShade="95"/>
      </w:rPr>
    </w:tblStylePr>
    <w:tblStylePr w:type="firstRow">
      <w:rPr>
        <w:b/>
        <w:color w:val="338aa0" w:themeColor="accent5" w:themeTint="9A" w:themeShade="95"/>
      </w:rPr>
      <w:tcPr>
        <w:tcBorders>
          <w:bottom w:val="single" w:color="000000" w:themeColor="accent5" w:themeTint="9A" w:sz="4" w:space="0"/>
        </w:tcBorders>
      </w:tcPr>
    </w:tblStylePr>
    <w:tblStylePr w:type="lastCol">
      <w:rPr>
        <w:b/>
        <w:color w:val="338aa0" w:themeColor="accent5" w:themeTint="9A" w:themeShade="95"/>
      </w:rPr>
    </w:tblStylePr>
    <w:tblStylePr w:type="lastRow">
      <w:rPr>
        <w:b/>
        <w:color w:val="338aa0" w:themeColor="accent5" w:themeTint="9A" w:themeShade="95"/>
      </w:rPr>
      <w:tcPr>
        <w:tcBorders>
          <w:top w:val="single" w:color="000000" w:themeColor="accent5" w:themeTint="9A" w:sz="4" w:space="0"/>
        </w:tcBorders>
      </w:tcPr>
    </w:tblStylePr>
  </w:style>
  <w:style w:type="table" w:styleId="1193">
    <w:name w:val="List Table 6 Colorful - Accent 6"/>
    <w:basedOn w:val="1235"/>
    <w:uiPriority w:val="99"/>
    <w:pPr>
      <w:spacing w:after="0" w:line="240" w:lineRule="auto"/>
    </w:pPr>
    <w:tblPr>
      <w:tblStyleRowBandSize w:val="1"/>
      <w:tblStyleColBandSize w:val="1"/>
      <w:tblInd w:w="0" w:type="dxa"/>
      <w:tblBorders>
        <w:top w:val="single" w:color="000000" w:themeColor="accent6" w:themeTint="98" w:sz="4" w:space="0"/>
        <w:bottom w:val="single" w:color="000000" w:themeColor="accent6" w:themeTint="98" w:sz="4" w:space="0"/>
      </w:tblBorders>
    </w:tblPr>
    <w:tblStylePr w:type="band1Horz">
      <w:rPr>
        <w:rFonts w:ascii="Arial" w:hAnsi="Arial"/>
        <w:color w:val="404040" w:themeColor="accent6" w:themeTint="98" w:themeShade="95"/>
        <w:sz w:val="22"/>
      </w:rPr>
      <w:tcPr>
        <w:shd w:val="clear" w:color="ffffff" w:themeColor="accent6" w:themeTint="40" w:fill="fce4d1" w:themeFill="accent6" w:themeFillTint="40"/>
      </w:tcPr>
    </w:tblStylePr>
    <w:tblStylePr w:type="band1Vert">
      <w:tcPr>
        <w:shd w:val="clear" w:color="ffffff" w:themeColor="accent6" w:themeTint="40" w:fill="fce4d1" w:themeFill="accent6" w:themeFillTint="40"/>
      </w:tcPr>
    </w:tblStylePr>
    <w:tblStylePr w:type="band2Horz">
      <w:rPr>
        <w:rFonts w:ascii="Arial" w:hAnsi="Arial"/>
        <w:color w:val="404040" w:themeColor="accent6" w:themeTint="98" w:themeShade="95"/>
        <w:sz w:val="22"/>
      </w:rPr>
    </w:tblStylePr>
    <w:tblStylePr w:type="firstCol">
      <w:rPr>
        <w:b/>
        <w:color w:val="d9680c" w:themeColor="accent6" w:themeTint="98" w:themeShade="95"/>
      </w:rPr>
    </w:tblStylePr>
    <w:tblStylePr w:type="firstRow">
      <w:rPr>
        <w:b/>
        <w:color w:val="d9680c" w:themeColor="accent6" w:themeTint="98" w:themeShade="95"/>
      </w:rPr>
      <w:tcPr>
        <w:tcBorders>
          <w:bottom w:val="single" w:color="000000" w:themeColor="accent6" w:themeTint="98" w:sz="4" w:space="0"/>
        </w:tcBorders>
      </w:tcPr>
    </w:tblStylePr>
    <w:tblStylePr w:type="lastCol">
      <w:rPr>
        <w:b/>
        <w:color w:val="d9680c" w:themeColor="accent6" w:themeTint="98" w:themeShade="95"/>
      </w:rPr>
    </w:tblStylePr>
    <w:tblStylePr w:type="lastRow">
      <w:rPr>
        <w:b/>
        <w:color w:val="d9680c" w:themeColor="accent6" w:themeTint="98" w:themeShade="95"/>
      </w:rPr>
      <w:tcPr>
        <w:tcBorders>
          <w:top w:val="single" w:color="000000" w:themeColor="accent6" w:themeTint="98" w:sz="4" w:space="0"/>
        </w:tcBorders>
      </w:tcPr>
    </w:tblStylePr>
  </w:style>
  <w:style w:type="table" w:styleId="1194">
    <w:name w:val="List Table 7 Colorful"/>
    <w:basedOn w:val="1235"/>
    <w:uiPriority w:val="99"/>
    <w:pPr>
      <w:spacing w:after="0" w:line="240" w:lineRule="auto"/>
    </w:pPr>
    <w:tblPr>
      <w:tblStyleRowBandSize w:val="1"/>
      <w:tblStyleColBandSize w:val="1"/>
      <w:tblInd w:w="0" w:type="dxa"/>
      <w:tblBorders>
        <w:right w:val="single" w:color="000000" w:themeColor="text1" w:themeTint="80" w:sz="4" w:space="0"/>
      </w:tblBorders>
    </w:tblPr>
    <w:tblStylePr w:type="band1Horz">
      <w:rPr>
        <w:rFonts w:ascii="Arial" w:hAnsi="Arial"/>
        <w:color w:val="4a4a4a" w:themeColor="text1" w:themeTint="80" w:themeShade="95"/>
        <w:sz w:val="22"/>
      </w:rPr>
      <w:tcPr>
        <w:shd w:val="clear" w:color="ffffff" w:themeColor="text1" w:themeTint="40" w:fill="bfbfbf" w:themeFill="text1" w:themeFillTint="40"/>
      </w:tcPr>
    </w:tblStylePr>
    <w:tblStylePr w:type="band1Vert">
      <w:tcPr>
        <w:shd w:val="clear" w:color="ffffff" w:themeColor="text1" w:themeTint="40" w:fill="bfbfbf" w:themeFill="text1" w:themeFillTint="40"/>
      </w:tcPr>
    </w:tblStylePr>
    <w:tblStylePr w:type="band2Horz">
      <w:rPr>
        <w:rFonts w:ascii="Arial" w:hAnsi="Arial"/>
        <w:color w:val="4a4a4a" w:themeColor="text1" w:themeTint="80" w:themeShade="95"/>
        <w:sz w:val="22"/>
      </w:rPr>
    </w:tblStylePr>
    <w:tblStylePr w:type="firstCol">
      <w:rPr>
        <w:rFonts w:ascii="Arial" w:hAnsi="Arial"/>
        <w:i/>
        <w:color w:val="4a4a4a" w:themeColor="text1" w:themeTint="80" w:themeShade="95"/>
        <w:sz w:val="22"/>
      </w:rPr>
      <w:pPr>
        <w:jc w:val="right"/>
      </w:pPr>
      <w:tcPr>
        <w:shd w:val="clear" w:color="ffffff"/>
        <w:tcBorders>
          <w:top w:val="none" w:color="000000" w:sz="4" w:space="0"/>
          <w:left w:val="none" w:color="000000" w:sz="4" w:space="0"/>
          <w:bottom w:val="none" w:color="000000" w:sz="4" w:space="0"/>
          <w:right w:val="single" w:color="000000" w:themeColor="text1" w:themeTint="80" w:sz="4" w:space="0"/>
        </w:tcBorders>
      </w:tcPr>
    </w:tblStylePr>
    <w:tblStylePr w:type="firstRow">
      <w:rPr>
        <w:rFonts w:ascii="Arial" w:hAnsi="Arial"/>
        <w:i/>
        <w:color w:val="4a4a4a" w:themeColor="text1" w:themeTint="80" w:themeShade="95"/>
        <w:sz w:val="22"/>
      </w:rPr>
      <w:tcPr>
        <w:shd w:val="clear" w:color="ffffff" w:themeColor="light1" w:fill="ffffff" w:themeFill="light1"/>
        <w:tcBorders>
          <w:top w:val="none" w:color="000000" w:sz="4" w:space="0"/>
          <w:left w:val="none" w:color="000000" w:sz="4" w:space="0"/>
          <w:bottom w:val="single" w:color="000000" w:themeColor="text1" w:themeTint="80" w:sz="4" w:space="0"/>
          <w:right w:val="none" w:color="000000" w:sz="4" w:space="0"/>
        </w:tcBorders>
      </w:tcPr>
    </w:tblStylePr>
    <w:tblStylePr w:type="lastCol">
      <w:rPr>
        <w:rFonts w:ascii="Arial" w:hAnsi="Arial"/>
        <w:i/>
        <w:color w:val="4a4a4a" w:themeColor="text1" w:themeTint="80" w:themeShade="95"/>
        <w:sz w:val="22"/>
      </w:rPr>
      <w:tcPr>
        <w:shd w:val="clear" w:color="ffffff"/>
        <w:tcBorders>
          <w:top w:val="none" w:color="000000" w:sz="4" w:space="0"/>
          <w:left w:val="single" w:color="000000" w:themeColor="text1" w:themeTint="80" w:sz="4" w:space="0"/>
          <w:bottom w:val="none" w:color="000000" w:sz="4" w:space="0"/>
          <w:right w:val="none" w:color="000000" w:sz="4" w:space="0"/>
        </w:tcBorders>
      </w:tcPr>
    </w:tblStylePr>
    <w:tblStylePr w:type="lastRow">
      <w:rPr>
        <w:rFonts w:ascii="Arial" w:hAnsi="Arial"/>
        <w:i/>
        <w:color w:val="4a4a4a" w:themeColor="text1" w:themeTint="80" w:themeShade="95"/>
        <w:sz w:val="22"/>
      </w:rPr>
      <w:tcPr>
        <w:shd w:val="clear" w:color="ffffff" w:themeColor="light1" w:fill="ffffff" w:themeFill="light1"/>
        <w:tcBorders>
          <w:top w:val="single" w:color="000000" w:themeColor="text1" w:themeTint="80" w:sz="4" w:space="0"/>
          <w:left w:val="none" w:color="000000" w:sz="4" w:space="0"/>
          <w:bottom w:val="none" w:color="000000" w:sz="4" w:space="0"/>
          <w:right w:val="none" w:color="000000" w:sz="4" w:space="0"/>
        </w:tcBorders>
      </w:tcPr>
    </w:tblStylePr>
    <w:tblStylePr w:type="wholeTable">
      <w:rPr>
        <w:rFonts w:ascii="Arial" w:hAnsi="Arial"/>
        <w:color w:val="4a4a4a" w:themeColor="text1" w:themeTint="80" w:themeShade="95"/>
        <w:sz w:val="22"/>
      </w:rPr>
    </w:tblStylePr>
  </w:style>
  <w:style w:type="table" w:styleId="1195">
    <w:name w:val="List Table 7 Colorful - Accent 1"/>
    <w:basedOn w:val="1235"/>
    <w:uiPriority w:val="99"/>
    <w:pPr>
      <w:spacing w:after="0" w:line="240" w:lineRule="auto"/>
    </w:pPr>
    <w:tblPr>
      <w:tblStyleRowBandSize w:val="1"/>
      <w:tblStyleColBandSize w:val="1"/>
      <w:tblInd w:w="0" w:type="dxa"/>
      <w:tblBorders>
        <w:right w:val="single" w:color="000000" w:themeColor="accent1" w:sz="4" w:space="0"/>
      </w:tblBorders>
    </w:tblPr>
    <w:tblStylePr w:type="band1Horz">
      <w:rPr>
        <w:rFonts w:ascii="Arial" w:hAnsi="Arial"/>
        <w:color w:val="2a4b71" w:themeColor="accent1" w:themeShade="95"/>
        <w:sz w:val="22"/>
      </w:rPr>
      <w:tcPr>
        <w:shd w:val="clear" w:color="ffffff" w:themeColor="accent1" w:themeTint="40" w:fill="d3e0ee" w:themeFill="accent1" w:themeFillTint="40"/>
      </w:tcPr>
    </w:tblStylePr>
    <w:tblStylePr w:type="band1Vert">
      <w:tcPr>
        <w:shd w:val="clear" w:color="ffffff" w:themeColor="accent1" w:themeTint="40" w:fill="d3e0ee" w:themeFill="accent1" w:themeFillTint="40"/>
      </w:tcPr>
    </w:tblStylePr>
    <w:tblStylePr w:type="band2Horz">
      <w:rPr>
        <w:rFonts w:ascii="Arial" w:hAnsi="Arial"/>
        <w:color w:val="2a4b71" w:themeColor="accent1" w:themeShade="95"/>
        <w:sz w:val="22"/>
      </w:rPr>
    </w:tblStylePr>
    <w:tblStylePr w:type="firstCol">
      <w:rPr>
        <w:rFonts w:ascii="Arial" w:hAnsi="Arial"/>
        <w:i/>
        <w:color w:val="2a4b71" w:themeColor="accent1" w:themeShade="95"/>
        <w:sz w:val="22"/>
      </w:rPr>
      <w:pPr>
        <w:jc w:val="right"/>
      </w:pPr>
      <w:tcPr>
        <w:shd w:val="clear" w:color="ffffff"/>
        <w:tcBorders>
          <w:top w:val="none" w:color="000000" w:sz="4" w:space="0"/>
          <w:left w:val="none" w:color="000000" w:sz="4" w:space="0"/>
          <w:bottom w:val="none" w:color="000000" w:sz="4" w:space="0"/>
          <w:right w:val="single" w:color="000000" w:themeColor="accent1" w:sz="4" w:space="0"/>
        </w:tcBorders>
      </w:tcPr>
    </w:tblStylePr>
    <w:tblStylePr w:type="firstRow">
      <w:rPr>
        <w:rFonts w:ascii="Arial" w:hAnsi="Arial"/>
        <w:i/>
        <w:color w:val="2a4b71" w:themeColor="accent1" w:themeShade="95"/>
        <w:sz w:val="22"/>
      </w:rPr>
      <w:tcPr>
        <w:shd w:val="clear" w:color="ffffff" w:themeColor="light1" w:fill="ffffff" w:themeFill="light1"/>
        <w:tcBorders>
          <w:top w:val="none" w:color="000000" w:sz="4" w:space="0"/>
          <w:left w:val="none" w:color="000000" w:sz="4" w:space="0"/>
          <w:bottom w:val="single" w:color="000000" w:themeColor="accent1" w:sz="4" w:space="0"/>
          <w:right w:val="none" w:color="000000" w:sz="4" w:space="0"/>
        </w:tcBorders>
      </w:tcPr>
    </w:tblStylePr>
    <w:tblStylePr w:type="lastCol">
      <w:rPr>
        <w:rFonts w:ascii="Arial" w:hAnsi="Arial"/>
        <w:i/>
        <w:color w:val="2a4b71" w:themeColor="accent1" w:themeShade="95"/>
        <w:sz w:val="22"/>
      </w:rPr>
      <w:tcPr>
        <w:shd w:val="clear" w:color="ffffff"/>
        <w:tcBorders>
          <w:top w:val="none" w:color="000000" w:sz="4" w:space="0"/>
          <w:left w:val="single" w:color="000000" w:themeColor="accent1" w:sz="4" w:space="0"/>
          <w:bottom w:val="none" w:color="000000" w:sz="4" w:space="0"/>
          <w:right w:val="none" w:color="000000" w:sz="4" w:space="0"/>
        </w:tcBorders>
      </w:tcPr>
    </w:tblStylePr>
    <w:tblStylePr w:type="lastRow">
      <w:rPr>
        <w:rFonts w:ascii="Arial" w:hAnsi="Arial"/>
        <w:i/>
        <w:color w:val="2a4b71" w:themeColor="accent1" w:themeShade="95"/>
        <w:sz w:val="22"/>
      </w:rPr>
      <w:tcPr>
        <w:shd w:val="clear" w:color="ffffff" w:themeColor="light1" w:fill="ffffff" w:themeFill="light1"/>
        <w:tcBorders>
          <w:top w:val="single" w:color="000000" w:themeColor="accent1" w:sz="4" w:space="0"/>
          <w:left w:val="none" w:color="000000" w:sz="4" w:space="0"/>
          <w:bottom w:val="none" w:color="000000" w:sz="4" w:space="0"/>
          <w:right w:val="none" w:color="000000" w:sz="4" w:space="0"/>
        </w:tcBorders>
      </w:tcPr>
    </w:tblStylePr>
    <w:tblStylePr w:type="wholeTable">
      <w:rPr>
        <w:rFonts w:ascii="Arial" w:hAnsi="Arial"/>
        <w:color w:val="2a4b71" w:themeColor="accent1" w:themeShade="95"/>
        <w:sz w:val="22"/>
      </w:rPr>
    </w:tblStylePr>
  </w:style>
  <w:style w:type="table" w:styleId="1196">
    <w:name w:val="List Table 7 Colorful - Accent 2"/>
    <w:basedOn w:val="1235"/>
    <w:uiPriority w:val="99"/>
    <w:pPr>
      <w:spacing w:after="0" w:line="240" w:lineRule="auto"/>
    </w:pPr>
    <w:tblPr>
      <w:tblStyleRowBandSize w:val="1"/>
      <w:tblStyleColBandSize w:val="1"/>
      <w:tblInd w:w="0" w:type="dxa"/>
      <w:tblBorders>
        <w:right w:val="single" w:color="000000" w:themeColor="accent2" w:themeTint="97" w:sz="4" w:space="0"/>
      </w:tblBorders>
    </w:tblPr>
    <w:tblStylePr w:type="band1Horz">
      <w:rPr>
        <w:rFonts w:ascii="Arial" w:hAnsi="Arial"/>
        <w:color w:val="9c3a37" w:themeColor="accent2" w:themeTint="97" w:themeShade="95"/>
        <w:sz w:val="22"/>
      </w:rPr>
      <w:tcPr>
        <w:shd w:val="clear" w:color="ffffff" w:themeColor="accent2" w:themeTint="40" w:fill="efd3d2" w:themeFill="accent2" w:themeFillTint="40"/>
      </w:tcPr>
    </w:tblStylePr>
    <w:tblStylePr w:type="band1Vert">
      <w:tcPr>
        <w:shd w:val="clear" w:color="ffffff" w:themeColor="accent2" w:themeTint="40" w:fill="efd3d2" w:themeFill="accent2" w:themeFillTint="40"/>
      </w:tcPr>
    </w:tblStylePr>
    <w:tblStylePr w:type="band2Horz">
      <w:rPr>
        <w:rFonts w:ascii="Arial" w:hAnsi="Arial"/>
        <w:color w:val="9c3a37" w:themeColor="accent2" w:themeTint="97" w:themeShade="95"/>
        <w:sz w:val="22"/>
      </w:rPr>
    </w:tblStylePr>
    <w:tblStylePr w:type="firstCol">
      <w:rPr>
        <w:rFonts w:ascii="Arial" w:hAnsi="Arial"/>
        <w:i/>
        <w:color w:val="9c3a37" w:themeColor="accent2" w:themeTint="97" w:themeShade="95"/>
        <w:sz w:val="22"/>
      </w:rPr>
      <w:pPr>
        <w:jc w:val="right"/>
      </w:pPr>
      <w:tcPr>
        <w:shd w:val="clear" w:color="ffffff"/>
        <w:tcBorders>
          <w:top w:val="none" w:color="000000" w:sz="4" w:space="0"/>
          <w:left w:val="none" w:color="000000" w:sz="4" w:space="0"/>
          <w:bottom w:val="none" w:color="000000" w:sz="4" w:space="0"/>
          <w:right w:val="single" w:color="000000" w:themeColor="accent2" w:themeTint="97" w:sz="4" w:space="0"/>
        </w:tcBorders>
      </w:tcPr>
    </w:tblStylePr>
    <w:tblStylePr w:type="firstRow">
      <w:rPr>
        <w:rFonts w:ascii="Arial" w:hAnsi="Arial"/>
        <w:i/>
        <w:color w:val="9c3a37" w:themeColor="accent2" w:themeTint="97" w:themeShade="95"/>
        <w:sz w:val="22"/>
      </w:rPr>
      <w:tcPr>
        <w:shd w:val="clear" w:color="ffffff" w:themeColor="light1" w:fill="ffffff" w:themeFill="light1"/>
        <w:tcBorders>
          <w:top w:val="none" w:color="000000" w:sz="4" w:space="0"/>
          <w:left w:val="none" w:color="000000" w:sz="4" w:space="0"/>
          <w:bottom w:val="single" w:color="000000" w:themeColor="accent2" w:themeTint="97" w:sz="4" w:space="0"/>
          <w:right w:val="none" w:color="000000" w:sz="4" w:space="0"/>
        </w:tcBorders>
      </w:tcPr>
    </w:tblStylePr>
    <w:tblStylePr w:type="lastCol">
      <w:rPr>
        <w:rFonts w:ascii="Arial" w:hAnsi="Arial"/>
        <w:i/>
        <w:color w:val="9c3a37" w:themeColor="accent2" w:themeTint="97" w:themeShade="95"/>
        <w:sz w:val="22"/>
      </w:rPr>
      <w:tcPr>
        <w:shd w:val="clear" w:color="ffffff"/>
        <w:tcBorders>
          <w:top w:val="none" w:color="000000" w:sz="4" w:space="0"/>
          <w:left w:val="single" w:color="000000" w:themeColor="accent2" w:themeTint="97" w:sz="4" w:space="0"/>
          <w:bottom w:val="none" w:color="000000" w:sz="4" w:space="0"/>
          <w:right w:val="none" w:color="000000" w:sz="4" w:space="0"/>
        </w:tcBorders>
      </w:tcPr>
    </w:tblStylePr>
    <w:tblStylePr w:type="lastRow">
      <w:rPr>
        <w:rFonts w:ascii="Arial" w:hAnsi="Arial"/>
        <w:i/>
        <w:color w:val="9c3a37" w:themeColor="accent2" w:themeTint="97" w:themeShade="95"/>
        <w:sz w:val="22"/>
      </w:rPr>
      <w:tcPr>
        <w:shd w:val="clear" w:color="ffffff" w:themeColor="light1" w:fill="ffffff" w:themeFill="light1"/>
        <w:tcBorders>
          <w:top w:val="single" w:color="000000" w:themeColor="accent2" w:themeTint="97" w:sz="4" w:space="0"/>
          <w:left w:val="none" w:color="000000" w:sz="4" w:space="0"/>
          <w:bottom w:val="none" w:color="000000" w:sz="4" w:space="0"/>
          <w:right w:val="none" w:color="000000" w:sz="4" w:space="0"/>
        </w:tcBorders>
      </w:tcPr>
    </w:tblStylePr>
    <w:tblStylePr w:type="wholeTable">
      <w:rPr>
        <w:rFonts w:ascii="Arial" w:hAnsi="Arial"/>
        <w:color w:val="9c3a37" w:themeColor="accent2" w:themeTint="97" w:themeShade="95"/>
        <w:sz w:val="22"/>
      </w:rPr>
    </w:tblStylePr>
  </w:style>
  <w:style w:type="table" w:styleId="1197">
    <w:name w:val="List Table 7 Colorful - Accent 3"/>
    <w:basedOn w:val="1235"/>
    <w:uiPriority w:val="99"/>
    <w:pPr>
      <w:spacing w:after="0" w:line="240" w:lineRule="auto"/>
    </w:pPr>
    <w:tblPr>
      <w:tblStyleRowBandSize w:val="1"/>
      <w:tblStyleColBandSize w:val="1"/>
      <w:tblInd w:w="0" w:type="dxa"/>
      <w:tblBorders>
        <w:right w:val="single" w:color="000000" w:themeColor="accent3" w:themeTint="98" w:sz="4" w:space="0"/>
      </w:tblBorders>
    </w:tblPr>
    <w:tblStylePr w:type="band1Horz">
      <w:rPr>
        <w:rFonts w:ascii="Arial" w:hAnsi="Arial"/>
        <w:color w:val="7c983f" w:themeColor="accent3" w:themeTint="98" w:themeShade="95"/>
        <w:sz w:val="22"/>
      </w:rPr>
      <w:tcPr>
        <w:shd w:val="clear" w:color="ffffff" w:themeColor="accent3" w:themeTint="40" w:fill="e6eed5" w:themeFill="accent3" w:themeFillTint="40"/>
      </w:tcPr>
    </w:tblStylePr>
    <w:tblStylePr w:type="band1Vert">
      <w:tcPr>
        <w:shd w:val="clear" w:color="ffffff" w:themeColor="accent3" w:themeTint="40" w:fill="e6eed5" w:themeFill="accent3" w:themeFillTint="40"/>
      </w:tcPr>
    </w:tblStylePr>
    <w:tblStylePr w:type="band2Horz">
      <w:rPr>
        <w:rFonts w:ascii="Arial" w:hAnsi="Arial"/>
        <w:color w:val="7c983f" w:themeColor="accent3" w:themeTint="98" w:themeShade="95"/>
        <w:sz w:val="22"/>
      </w:rPr>
    </w:tblStylePr>
    <w:tblStylePr w:type="firstCol">
      <w:rPr>
        <w:rFonts w:ascii="Arial" w:hAnsi="Arial"/>
        <w:i/>
        <w:color w:val="7c983f" w:themeColor="accent3" w:themeTint="98" w:themeShade="95"/>
        <w:sz w:val="22"/>
      </w:rPr>
      <w:pPr>
        <w:jc w:val="right"/>
      </w:pPr>
      <w:tcPr>
        <w:shd w:val="clear" w:color="ffffff"/>
        <w:tcBorders>
          <w:top w:val="none" w:color="000000" w:sz="4" w:space="0"/>
          <w:left w:val="none" w:color="000000" w:sz="4" w:space="0"/>
          <w:bottom w:val="none" w:color="000000" w:sz="4" w:space="0"/>
          <w:right w:val="single" w:color="000000" w:themeColor="accent3" w:themeTint="98" w:sz="4" w:space="0"/>
        </w:tcBorders>
      </w:tcPr>
    </w:tblStylePr>
    <w:tblStylePr w:type="firstRow">
      <w:rPr>
        <w:rFonts w:ascii="Arial" w:hAnsi="Arial"/>
        <w:i/>
        <w:color w:val="7c983f" w:themeColor="accent3" w:themeTint="98" w:themeShade="95"/>
        <w:sz w:val="22"/>
      </w:rPr>
      <w:tcPr>
        <w:shd w:val="clear" w:color="ffffff" w:themeColor="light1" w:fill="ffffff" w:themeFill="light1"/>
        <w:tcBorders>
          <w:top w:val="none" w:color="000000" w:sz="4" w:space="0"/>
          <w:left w:val="none" w:color="000000" w:sz="4" w:space="0"/>
          <w:bottom w:val="single" w:color="000000" w:themeColor="accent3" w:themeTint="98" w:sz="4" w:space="0"/>
          <w:right w:val="none" w:color="000000" w:sz="4" w:space="0"/>
        </w:tcBorders>
      </w:tcPr>
    </w:tblStylePr>
    <w:tblStylePr w:type="lastCol">
      <w:rPr>
        <w:rFonts w:ascii="Arial" w:hAnsi="Arial"/>
        <w:i/>
        <w:color w:val="7c983f" w:themeColor="accent3" w:themeTint="98" w:themeShade="95"/>
        <w:sz w:val="22"/>
      </w:rPr>
      <w:tcPr>
        <w:shd w:val="clear" w:color="ffffff"/>
        <w:tcBorders>
          <w:top w:val="none" w:color="000000" w:sz="4" w:space="0"/>
          <w:left w:val="single" w:color="000000" w:themeColor="accent3" w:themeTint="98" w:sz="4" w:space="0"/>
          <w:bottom w:val="none" w:color="000000" w:sz="4" w:space="0"/>
          <w:right w:val="none" w:color="000000" w:sz="4" w:space="0"/>
        </w:tcBorders>
      </w:tcPr>
    </w:tblStylePr>
    <w:tblStylePr w:type="lastRow">
      <w:rPr>
        <w:rFonts w:ascii="Arial" w:hAnsi="Arial"/>
        <w:i/>
        <w:color w:val="7c983f" w:themeColor="accent3" w:themeTint="98" w:themeShade="95"/>
        <w:sz w:val="22"/>
      </w:rPr>
      <w:tcPr>
        <w:shd w:val="clear" w:color="ffffff" w:themeColor="light1" w:fill="ffffff" w:themeFill="light1"/>
        <w:tcBorders>
          <w:top w:val="single" w:color="000000" w:themeColor="accent3" w:themeTint="98" w:sz="4" w:space="0"/>
          <w:left w:val="none" w:color="000000" w:sz="4" w:space="0"/>
          <w:bottom w:val="none" w:color="000000" w:sz="4" w:space="0"/>
          <w:right w:val="none" w:color="000000" w:sz="4" w:space="0"/>
        </w:tcBorders>
      </w:tcPr>
    </w:tblStylePr>
    <w:tblStylePr w:type="wholeTable">
      <w:rPr>
        <w:rFonts w:ascii="Arial" w:hAnsi="Arial"/>
        <w:color w:val="7c983f" w:themeColor="accent3" w:themeTint="98" w:themeShade="95"/>
        <w:sz w:val="22"/>
      </w:rPr>
    </w:tblStylePr>
  </w:style>
  <w:style w:type="table" w:styleId="1198">
    <w:name w:val="List Table 7 Colorful - Accent 4"/>
    <w:basedOn w:val="1235"/>
    <w:uiPriority w:val="99"/>
    <w:pPr>
      <w:spacing w:after="0" w:line="240" w:lineRule="auto"/>
    </w:pPr>
    <w:tblPr>
      <w:tblStyleRowBandSize w:val="1"/>
      <w:tblStyleColBandSize w:val="1"/>
      <w:tblInd w:w="0" w:type="dxa"/>
      <w:tblBorders>
        <w:right w:val="single" w:color="000000" w:themeColor="accent4" w:themeTint="9A" w:sz="4" w:space="0"/>
      </w:tblBorders>
    </w:tblPr>
    <w:tblStylePr w:type="band1Horz">
      <w:rPr>
        <w:rFonts w:ascii="Arial" w:hAnsi="Arial"/>
        <w:color w:val="664f82" w:themeColor="accent4" w:themeTint="9A" w:themeShade="95"/>
        <w:sz w:val="22"/>
      </w:rPr>
      <w:tcPr>
        <w:shd w:val="clear" w:color="ffffff" w:themeColor="accent4" w:themeTint="40" w:fill="dfd8e7" w:themeFill="accent4" w:themeFillTint="40"/>
      </w:tcPr>
    </w:tblStylePr>
    <w:tblStylePr w:type="band1Vert">
      <w:tcPr>
        <w:shd w:val="clear" w:color="ffffff" w:themeColor="accent4" w:themeTint="40" w:fill="dfd8e7" w:themeFill="accent4" w:themeFillTint="40"/>
      </w:tcPr>
    </w:tblStylePr>
    <w:tblStylePr w:type="band2Horz">
      <w:rPr>
        <w:rFonts w:ascii="Arial" w:hAnsi="Arial"/>
        <w:color w:val="664f82" w:themeColor="accent4" w:themeTint="9A" w:themeShade="95"/>
        <w:sz w:val="22"/>
      </w:rPr>
    </w:tblStylePr>
    <w:tblStylePr w:type="firstCol">
      <w:rPr>
        <w:rFonts w:ascii="Arial" w:hAnsi="Arial"/>
        <w:i/>
        <w:color w:val="664f82" w:themeColor="accent4" w:themeTint="9A" w:themeShade="95"/>
        <w:sz w:val="22"/>
      </w:rPr>
      <w:pPr>
        <w:jc w:val="right"/>
      </w:pPr>
      <w:tcPr>
        <w:shd w:val="clear" w:color="ffffff"/>
        <w:tcBorders>
          <w:top w:val="none" w:color="000000" w:sz="4" w:space="0"/>
          <w:left w:val="none" w:color="000000" w:sz="4" w:space="0"/>
          <w:bottom w:val="none" w:color="000000" w:sz="4" w:space="0"/>
          <w:right w:val="single" w:color="000000" w:themeColor="accent4" w:themeTint="9A" w:sz="4" w:space="0"/>
        </w:tcBorders>
      </w:tcPr>
    </w:tblStylePr>
    <w:tblStylePr w:type="firstRow">
      <w:rPr>
        <w:rFonts w:ascii="Arial" w:hAnsi="Arial"/>
        <w:i/>
        <w:color w:val="664f82" w:themeColor="accent4" w:themeTint="9A" w:themeShade="95"/>
        <w:sz w:val="22"/>
      </w:rPr>
      <w:tcPr>
        <w:shd w:val="clear" w:color="ffffff" w:themeColor="light1" w:fill="ffffff" w:themeFill="light1"/>
        <w:tcBorders>
          <w:top w:val="none" w:color="000000" w:sz="4" w:space="0"/>
          <w:left w:val="none" w:color="000000" w:sz="4" w:space="0"/>
          <w:bottom w:val="single" w:color="000000" w:themeColor="accent4" w:themeTint="9A" w:sz="4" w:space="0"/>
          <w:right w:val="none" w:color="000000" w:sz="4" w:space="0"/>
        </w:tcBorders>
      </w:tcPr>
    </w:tblStylePr>
    <w:tblStylePr w:type="lastCol">
      <w:rPr>
        <w:rFonts w:ascii="Arial" w:hAnsi="Arial"/>
        <w:i/>
        <w:color w:val="664f82" w:themeColor="accent4" w:themeTint="9A" w:themeShade="95"/>
        <w:sz w:val="22"/>
      </w:rPr>
      <w:tcPr>
        <w:shd w:val="clear" w:color="ffffff"/>
        <w:tcBorders>
          <w:top w:val="none" w:color="000000" w:sz="4" w:space="0"/>
          <w:left w:val="single" w:color="000000" w:themeColor="accent4" w:themeTint="9A" w:sz="4" w:space="0"/>
          <w:bottom w:val="none" w:color="000000" w:sz="4" w:space="0"/>
          <w:right w:val="none" w:color="000000" w:sz="4" w:space="0"/>
        </w:tcBorders>
      </w:tcPr>
    </w:tblStylePr>
    <w:tblStylePr w:type="lastRow">
      <w:rPr>
        <w:rFonts w:ascii="Arial" w:hAnsi="Arial"/>
        <w:i/>
        <w:color w:val="664f82" w:themeColor="accent4" w:themeTint="9A" w:themeShade="95"/>
        <w:sz w:val="22"/>
      </w:rPr>
      <w:tcPr>
        <w:shd w:val="clear" w:color="ffffff" w:themeColor="light1" w:fill="ffffff" w:themeFill="light1"/>
        <w:tcBorders>
          <w:top w:val="single" w:color="000000" w:themeColor="accent4" w:themeTint="9A" w:sz="4" w:space="0"/>
          <w:left w:val="none" w:color="000000" w:sz="4" w:space="0"/>
          <w:bottom w:val="none" w:color="000000" w:sz="4" w:space="0"/>
          <w:right w:val="none" w:color="000000" w:sz="4" w:space="0"/>
        </w:tcBorders>
      </w:tcPr>
    </w:tblStylePr>
    <w:tblStylePr w:type="wholeTable">
      <w:rPr>
        <w:rFonts w:ascii="Arial" w:hAnsi="Arial"/>
        <w:color w:val="664f82" w:themeColor="accent4" w:themeTint="9A" w:themeShade="95"/>
        <w:sz w:val="22"/>
      </w:rPr>
    </w:tblStylePr>
  </w:style>
  <w:style w:type="table" w:styleId="1199">
    <w:name w:val="List Table 7 Colorful - Accent 5"/>
    <w:basedOn w:val="1235"/>
    <w:uiPriority w:val="99"/>
    <w:pPr>
      <w:spacing w:after="0" w:line="240" w:lineRule="auto"/>
    </w:pPr>
    <w:tblPr>
      <w:tblStyleRowBandSize w:val="1"/>
      <w:tblStyleColBandSize w:val="1"/>
      <w:tblInd w:w="0" w:type="dxa"/>
      <w:tblBorders>
        <w:right w:val="single" w:color="000000" w:themeColor="accent5" w:themeTint="9A" w:sz="4" w:space="0"/>
      </w:tblBorders>
    </w:tblPr>
    <w:tblStylePr w:type="band1Horz">
      <w:rPr>
        <w:rFonts w:ascii="Arial" w:hAnsi="Arial"/>
        <w:color w:val="338aa0" w:themeColor="accent5" w:themeTint="9A" w:themeShade="95"/>
        <w:sz w:val="22"/>
      </w:rPr>
      <w:tcPr>
        <w:shd w:val="clear" w:color="ffffff" w:themeColor="accent5" w:themeTint="40" w:fill="d1eaf0" w:themeFill="accent5" w:themeFillTint="40"/>
      </w:tcPr>
    </w:tblStylePr>
    <w:tblStylePr w:type="band1Vert">
      <w:tcPr>
        <w:shd w:val="clear" w:color="ffffff" w:themeColor="accent5" w:themeTint="40" w:fill="d1eaf0" w:themeFill="accent5" w:themeFillTint="40"/>
      </w:tcPr>
    </w:tblStylePr>
    <w:tblStylePr w:type="band2Horz">
      <w:rPr>
        <w:rFonts w:ascii="Arial" w:hAnsi="Arial"/>
        <w:color w:val="338aa0" w:themeColor="accent5" w:themeTint="9A" w:themeShade="95"/>
        <w:sz w:val="22"/>
      </w:rPr>
    </w:tblStylePr>
    <w:tblStylePr w:type="firstCol">
      <w:rPr>
        <w:rFonts w:ascii="Arial" w:hAnsi="Arial"/>
        <w:i/>
        <w:color w:val="338aa0" w:themeColor="accent5" w:themeTint="9A" w:themeShade="95"/>
        <w:sz w:val="22"/>
      </w:rPr>
      <w:pPr>
        <w:jc w:val="right"/>
      </w:pPr>
      <w:tcPr>
        <w:shd w:val="clear" w:color="ffffff"/>
        <w:tcBorders>
          <w:top w:val="none" w:color="000000" w:sz="4" w:space="0"/>
          <w:left w:val="none" w:color="000000" w:sz="4" w:space="0"/>
          <w:bottom w:val="none" w:color="000000" w:sz="4" w:space="0"/>
          <w:right w:val="single" w:color="000000" w:themeColor="accent5" w:themeTint="9A" w:sz="4" w:space="0"/>
        </w:tcBorders>
      </w:tcPr>
    </w:tblStylePr>
    <w:tblStylePr w:type="firstRow">
      <w:rPr>
        <w:rFonts w:ascii="Arial" w:hAnsi="Arial"/>
        <w:i/>
        <w:color w:val="338aa0" w:themeColor="accent5" w:themeTint="9A" w:themeShade="95"/>
        <w:sz w:val="22"/>
      </w:rPr>
      <w:tcPr>
        <w:shd w:val="clear" w:color="ffffff" w:themeColor="light1" w:fill="ffffff" w:themeFill="light1"/>
        <w:tcBorders>
          <w:top w:val="none" w:color="000000" w:sz="4" w:space="0"/>
          <w:left w:val="none" w:color="000000" w:sz="4" w:space="0"/>
          <w:bottom w:val="single" w:color="000000" w:themeColor="accent5" w:themeTint="9A" w:sz="4" w:space="0"/>
          <w:right w:val="none" w:color="000000" w:sz="4" w:space="0"/>
        </w:tcBorders>
      </w:tcPr>
    </w:tblStylePr>
    <w:tblStylePr w:type="lastCol">
      <w:rPr>
        <w:rFonts w:ascii="Arial" w:hAnsi="Arial"/>
        <w:i/>
        <w:color w:val="338aa0" w:themeColor="accent5" w:themeTint="9A" w:themeShade="95"/>
        <w:sz w:val="22"/>
      </w:rPr>
      <w:tcPr>
        <w:shd w:val="clear" w:color="ffffff"/>
        <w:tcBorders>
          <w:top w:val="none" w:color="000000" w:sz="4" w:space="0"/>
          <w:left w:val="single" w:color="000000" w:themeColor="accent5" w:themeTint="9A" w:sz="4" w:space="0"/>
          <w:bottom w:val="none" w:color="000000" w:sz="4" w:space="0"/>
          <w:right w:val="none" w:color="000000" w:sz="4" w:space="0"/>
        </w:tcBorders>
      </w:tcPr>
    </w:tblStylePr>
    <w:tblStylePr w:type="lastRow">
      <w:rPr>
        <w:rFonts w:ascii="Arial" w:hAnsi="Arial"/>
        <w:i/>
        <w:color w:val="338aa0" w:themeColor="accent5" w:themeTint="9A" w:themeShade="95"/>
        <w:sz w:val="22"/>
      </w:rPr>
      <w:tcPr>
        <w:shd w:val="clear" w:color="ffffff" w:themeColor="light1" w:fill="ffffff" w:themeFill="light1"/>
        <w:tcBorders>
          <w:top w:val="single" w:color="000000" w:themeColor="accent5" w:themeTint="9A" w:sz="4" w:space="0"/>
          <w:left w:val="none" w:color="000000" w:sz="4" w:space="0"/>
          <w:bottom w:val="none" w:color="000000" w:sz="4" w:space="0"/>
          <w:right w:val="none" w:color="000000" w:sz="4" w:space="0"/>
        </w:tcBorders>
      </w:tcPr>
    </w:tblStylePr>
    <w:tblStylePr w:type="wholeTable">
      <w:rPr>
        <w:rFonts w:ascii="Arial" w:hAnsi="Arial"/>
        <w:color w:val="338aa0" w:themeColor="accent5" w:themeTint="9A" w:themeShade="95"/>
        <w:sz w:val="22"/>
      </w:rPr>
    </w:tblStylePr>
  </w:style>
  <w:style w:type="table" w:styleId="1200">
    <w:name w:val="List Table 7 Colorful - Accent 6"/>
    <w:basedOn w:val="1235"/>
    <w:uiPriority w:val="99"/>
    <w:pPr>
      <w:spacing w:after="0" w:line="240" w:lineRule="auto"/>
    </w:pPr>
    <w:tblPr>
      <w:tblStyleRowBandSize w:val="1"/>
      <w:tblStyleColBandSize w:val="1"/>
      <w:tblInd w:w="0" w:type="dxa"/>
      <w:tblBorders>
        <w:right w:val="single" w:color="000000" w:themeColor="accent6" w:themeTint="98" w:sz="4" w:space="0"/>
      </w:tblBorders>
    </w:tblPr>
    <w:tblStylePr w:type="band1Horz">
      <w:rPr>
        <w:rFonts w:ascii="Arial" w:hAnsi="Arial"/>
        <w:color w:val="d9680c" w:themeColor="accent6" w:themeTint="98" w:themeShade="95"/>
        <w:sz w:val="22"/>
      </w:rPr>
      <w:tcPr>
        <w:shd w:val="clear" w:color="ffffff" w:themeColor="accent6" w:themeTint="40" w:fill="fce4d1" w:themeFill="accent6" w:themeFillTint="40"/>
      </w:tcPr>
    </w:tblStylePr>
    <w:tblStylePr w:type="band1Vert">
      <w:tcPr>
        <w:shd w:val="clear" w:color="ffffff" w:themeColor="accent6" w:themeTint="40" w:fill="fce4d1" w:themeFill="accent6" w:themeFillTint="40"/>
      </w:tcPr>
    </w:tblStylePr>
    <w:tblStylePr w:type="band2Horz">
      <w:rPr>
        <w:rFonts w:ascii="Arial" w:hAnsi="Arial"/>
        <w:color w:val="d9680c" w:themeColor="accent6" w:themeTint="98" w:themeShade="95"/>
        <w:sz w:val="22"/>
      </w:rPr>
    </w:tblStylePr>
    <w:tblStylePr w:type="firstCol">
      <w:rPr>
        <w:rFonts w:ascii="Arial" w:hAnsi="Arial"/>
        <w:i/>
        <w:color w:val="d9680c" w:themeColor="accent6" w:themeTint="98" w:themeShade="95"/>
        <w:sz w:val="22"/>
      </w:rPr>
      <w:pPr>
        <w:jc w:val="right"/>
      </w:pPr>
      <w:tcPr>
        <w:shd w:val="clear" w:color="ffffff"/>
        <w:tcBorders>
          <w:top w:val="none" w:color="000000" w:sz="4" w:space="0"/>
          <w:left w:val="none" w:color="000000" w:sz="4" w:space="0"/>
          <w:bottom w:val="none" w:color="000000" w:sz="4" w:space="0"/>
          <w:right w:val="single" w:color="000000" w:themeColor="accent6" w:themeTint="98" w:sz="4" w:space="0"/>
        </w:tcBorders>
      </w:tcPr>
    </w:tblStylePr>
    <w:tblStylePr w:type="firstRow">
      <w:rPr>
        <w:rFonts w:ascii="Arial" w:hAnsi="Arial"/>
        <w:i/>
        <w:color w:val="d9680c" w:themeColor="accent6" w:themeTint="98" w:themeShade="95"/>
        <w:sz w:val="22"/>
      </w:rPr>
      <w:tcPr>
        <w:shd w:val="clear" w:color="ffffff" w:themeColor="light1" w:fill="ffffff" w:themeFill="light1"/>
        <w:tcBorders>
          <w:top w:val="none" w:color="000000" w:sz="4" w:space="0"/>
          <w:left w:val="none" w:color="000000" w:sz="4" w:space="0"/>
          <w:bottom w:val="single" w:color="000000" w:themeColor="accent6" w:themeTint="98" w:sz="4" w:space="0"/>
          <w:right w:val="none" w:color="000000" w:sz="4" w:space="0"/>
        </w:tcBorders>
      </w:tcPr>
    </w:tblStylePr>
    <w:tblStylePr w:type="lastCol">
      <w:rPr>
        <w:rFonts w:ascii="Arial" w:hAnsi="Arial"/>
        <w:i/>
        <w:color w:val="d9680c" w:themeColor="accent6" w:themeTint="98" w:themeShade="95"/>
        <w:sz w:val="22"/>
      </w:rPr>
      <w:tcPr>
        <w:shd w:val="clear" w:color="ffffff"/>
        <w:tcBorders>
          <w:top w:val="none" w:color="000000" w:sz="4" w:space="0"/>
          <w:left w:val="single" w:color="000000" w:themeColor="accent6" w:themeTint="98" w:sz="4" w:space="0"/>
          <w:bottom w:val="none" w:color="000000" w:sz="4" w:space="0"/>
          <w:right w:val="none" w:color="000000" w:sz="4" w:space="0"/>
        </w:tcBorders>
      </w:tcPr>
    </w:tblStylePr>
    <w:tblStylePr w:type="lastRow">
      <w:rPr>
        <w:rFonts w:ascii="Arial" w:hAnsi="Arial"/>
        <w:i/>
        <w:color w:val="d9680c" w:themeColor="accent6" w:themeTint="98" w:themeShade="95"/>
        <w:sz w:val="22"/>
      </w:rPr>
      <w:tcPr>
        <w:shd w:val="clear" w:color="ffffff" w:themeColor="light1" w:fill="ffffff" w:themeFill="light1"/>
        <w:tcBorders>
          <w:top w:val="single" w:color="000000" w:themeColor="accent6" w:themeTint="98" w:sz="4" w:space="0"/>
          <w:left w:val="none" w:color="000000" w:sz="4" w:space="0"/>
          <w:bottom w:val="none" w:color="000000" w:sz="4" w:space="0"/>
          <w:right w:val="none" w:color="000000" w:sz="4" w:space="0"/>
        </w:tcBorders>
      </w:tcPr>
    </w:tblStylePr>
    <w:tblStylePr w:type="wholeTable">
      <w:rPr>
        <w:rFonts w:ascii="Arial" w:hAnsi="Arial"/>
        <w:color w:val="d9680c" w:themeColor="accent6" w:themeTint="98" w:themeShade="95"/>
        <w:sz w:val="22"/>
      </w:rPr>
    </w:tblStylePr>
  </w:style>
  <w:style w:type="table" w:styleId="1201">
    <w:name w:val="Lined - Accent"/>
    <w:basedOn w:val="1235"/>
    <w:uiPriority w:val="99"/>
    <w:pPr>
      <w:spacing w:after="0" w:line="240" w:lineRule="auto"/>
    </w:pPr>
    <w:rPr>
      <w:color w:val="404040"/>
    </w:rPr>
    <w:tblPr>
      <w:tblStyleRowBandSize w:val="1"/>
      <w:tblStyleColBandSize w:val="1"/>
      <w:tblInd w:w="0" w:type="dxa"/>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text1" w:themeTint="0D" w:fill="f2f2f2" w:themeFill="text1" w:themeFillTint="0D"/>
      </w:tcPr>
    </w:tblStylePr>
    <w:tblStylePr w:type="band2Vert">
      <w:rPr>
        <w:rFonts w:ascii="Arial" w:hAnsi="Arial"/>
        <w:color w:val="404040"/>
        <w:sz w:val="22"/>
      </w:rPr>
      <w:tcPr>
        <w:shd w:val="clear" w:color="ffffff" w:themeColor="text1" w:themeTint="0D" w:fill="f2f2f2" w:themeFill="text1" w:themeFillTint="0D"/>
      </w:tcPr>
    </w:tblStylePr>
    <w:tblStylePr w:type="firstCol">
      <w:rPr>
        <w:rFonts w:ascii="Arial" w:hAnsi="Arial"/>
        <w:color w:val="f2f2f2"/>
        <w:sz w:val="22"/>
      </w:rPr>
      <w:tcPr>
        <w:shd w:val="clear" w:color="ffffff" w:themeColor="text1" w:themeTint="80" w:fill="7f7f7f" w:themeFill="text1" w:themeFillTint="80"/>
      </w:tcPr>
    </w:tblStylePr>
    <w:tblStylePr w:type="firstRow">
      <w:rPr>
        <w:rFonts w:ascii="Arial" w:hAnsi="Arial"/>
        <w:color w:val="f2f2f2"/>
        <w:sz w:val="22"/>
      </w:rPr>
      <w:tcPr>
        <w:shd w:val="clear" w:color="ffffff" w:themeColor="text1" w:themeTint="80" w:fill="7f7f7f" w:themeFill="text1" w:themeFillTint="80"/>
      </w:tcPr>
    </w:tblStylePr>
    <w:tblStylePr w:type="lastCol">
      <w:rPr>
        <w:rFonts w:ascii="Arial" w:hAnsi="Arial"/>
        <w:color w:val="f2f2f2"/>
        <w:sz w:val="22"/>
      </w:rPr>
      <w:tcPr>
        <w:shd w:val="clear" w:color="ffffff" w:themeColor="text1" w:themeTint="80" w:fill="7f7f7f" w:themeFill="text1" w:themeFillTint="80"/>
      </w:tcPr>
    </w:tblStylePr>
    <w:tblStylePr w:type="lastRow">
      <w:rPr>
        <w:rFonts w:ascii="Arial" w:hAnsi="Arial"/>
        <w:color w:val="f2f2f2"/>
        <w:sz w:val="22"/>
      </w:rPr>
      <w:tcPr>
        <w:shd w:val="clear" w:color="ffffff" w:themeColor="text1" w:themeTint="80" w:fill="7f7f7f" w:themeFill="text1" w:themeFillTint="80"/>
      </w:tcPr>
    </w:tblStylePr>
  </w:style>
  <w:style w:type="table" w:styleId="1202">
    <w:name w:val="Lined - Accent 1"/>
    <w:basedOn w:val="1235"/>
    <w:uiPriority w:val="99"/>
    <w:pPr>
      <w:spacing w:after="0" w:line="240" w:lineRule="auto"/>
    </w:pPr>
    <w:rPr>
      <w:color w:val="404040"/>
    </w:rPr>
    <w:tblPr>
      <w:tblStyleRowBandSize w:val="1"/>
      <w:tblStyleColBandSize w:val="1"/>
      <w:tblInd w:w="0" w:type="dxa"/>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1" w:themeTint="50" w:fill="c7d7ea" w:themeFill="accent1" w:themeFillTint="50"/>
      </w:tcPr>
    </w:tblStylePr>
    <w:tblStylePr w:type="band2Vert">
      <w:rPr>
        <w:rFonts w:ascii="Arial" w:hAnsi="Arial"/>
        <w:color w:val="404040"/>
        <w:sz w:val="22"/>
      </w:rPr>
      <w:tcPr>
        <w:shd w:val="clear" w:color="ffffff" w:themeColor="accent1" w:themeTint="50" w:fill="c7d7ea" w:themeFill="accent1" w:themeFillTint="50"/>
      </w:tcPr>
    </w:tblStylePr>
    <w:tblStylePr w:type="firstCol">
      <w:rPr>
        <w:rFonts w:ascii="Arial" w:hAnsi="Arial"/>
        <w:color w:val="f2f2f2"/>
        <w:sz w:val="22"/>
      </w:rPr>
      <w:tcPr>
        <w:shd w:val="clear" w:color="ffffff" w:themeColor="accent1" w:themeTint="EA" w:fill="5d8dc2" w:themeFill="accent1" w:themeFillTint="EA"/>
      </w:tcPr>
    </w:tblStylePr>
    <w:tblStylePr w:type="firstRow">
      <w:rPr>
        <w:rFonts w:ascii="Arial" w:hAnsi="Arial"/>
        <w:color w:val="f2f2f2"/>
        <w:sz w:val="22"/>
      </w:rPr>
      <w:tcPr>
        <w:shd w:val="clear" w:color="ffffff" w:themeColor="accent1" w:themeTint="EA" w:fill="5d8dc2" w:themeFill="accent1" w:themeFillTint="EA"/>
      </w:tcPr>
    </w:tblStylePr>
    <w:tblStylePr w:type="lastCol">
      <w:rPr>
        <w:rFonts w:ascii="Arial" w:hAnsi="Arial"/>
        <w:color w:val="f2f2f2"/>
        <w:sz w:val="22"/>
      </w:rPr>
      <w:tcPr>
        <w:shd w:val="clear" w:color="ffffff" w:themeColor="accent1" w:themeTint="EA" w:fill="5d8dc2" w:themeFill="accent1" w:themeFillTint="EA"/>
      </w:tcPr>
    </w:tblStylePr>
    <w:tblStylePr w:type="lastRow">
      <w:rPr>
        <w:rFonts w:ascii="Arial" w:hAnsi="Arial"/>
        <w:color w:val="f2f2f2"/>
        <w:sz w:val="22"/>
      </w:rPr>
      <w:tcPr>
        <w:shd w:val="clear" w:color="ffffff" w:themeColor="accent1" w:themeTint="EA" w:fill="5d8dc2" w:themeFill="accent1" w:themeFillTint="EA"/>
      </w:tcPr>
    </w:tblStylePr>
  </w:style>
  <w:style w:type="table" w:styleId="1203">
    <w:name w:val="Lined - Accent 2"/>
    <w:basedOn w:val="1235"/>
    <w:uiPriority w:val="99"/>
    <w:pPr>
      <w:spacing w:after="0" w:line="240" w:lineRule="auto"/>
    </w:pPr>
    <w:rPr>
      <w:color w:val="404040"/>
    </w:rPr>
    <w:tblPr>
      <w:tblStyleRowBandSize w:val="1"/>
      <w:tblStyleColBandSize w:val="1"/>
      <w:tblInd w:w="0" w:type="dxa"/>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2" w:themeTint="32" w:fill="f2dcdb" w:themeFill="accent2" w:themeFillTint="32"/>
      </w:tcPr>
    </w:tblStylePr>
    <w:tblStylePr w:type="band2Vert">
      <w:rPr>
        <w:rFonts w:ascii="Arial" w:hAnsi="Arial"/>
        <w:color w:val="404040"/>
        <w:sz w:val="22"/>
      </w:rPr>
      <w:tcPr>
        <w:shd w:val="clear" w:color="ffffff" w:themeColor="accent2" w:themeTint="32" w:fill="f2dcdb" w:themeFill="accent2" w:themeFillTint="32"/>
      </w:tcPr>
    </w:tblStylePr>
    <w:tblStylePr w:type="firstCol">
      <w:rPr>
        <w:rFonts w:ascii="Arial" w:hAnsi="Arial"/>
        <w:color w:val="f2f2f2"/>
        <w:sz w:val="22"/>
      </w:rPr>
      <w:tcPr>
        <w:shd w:val="clear" w:color="ffffff" w:themeColor="accent2" w:themeTint="97" w:fill="d99694" w:themeFill="accent2" w:themeFillTint="97"/>
      </w:tcPr>
    </w:tblStylePr>
    <w:tblStylePr w:type="firstRow">
      <w:rPr>
        <w:rFonts w:ascii="Arial" w:hAnsi="Arial"/>
        <w:color w:val="f2f2f2"/>
        <w:sz w:val="22"/>
      </w:rPr>
      <w:tcPr>
        <w:shd w:val="clear" w:color="ffffff" w:themeColor="accent2" w:themeTint="97" w:fill="d99694" w:themeFill="accent2" w:themeFillTint="97"/>
      </w:tcPr>
    </w:tblStylePr>
    <w:tblStylePr w:type="lastCol">
      <w:rPr>
        <w:rFonts w:ascii="Arial" w:hAnsi="Arial"/>
        <w:color w:val="f2f2f2"/>
        <w:sz w:val="22"/>
      </w:rPr>
      <w:tcPr>
        <w:shd w:val="clear" w:color="ffffff" w:themeColor="accent2" w:themeTint="97" w:fill="d99694" w:themeFill="accent2" w:themeFillTint="97"/>
      </w:tcPr>
    </w:tblStylePr>
    <w:tblStylePr w:type="lastRow">
      <w:rPr>
        <w:rFonts w:ascii="Arial" w:hAnsi="Arial"/>
        <w:color w:val="f2f2f2"/>
        <w:sz w:val="22"/>
      </w:rPr>
      <w:tcPr>
        <w:shd w:val="clear" w:color="ffffff" w:themeColor="accent2" w:themeTint="97" w:fill="d99694" w:themeFill="accent2" w:themeFillTint="97"/>
      </w:tcPr>
    </w:tblStylePr>
  </w:style>
  <w:style w:type="table" w:styleId="1204">
    <w:name w:val="Lined - Accent 3"/>
    <w:basedOn w:val="1235"/>
    <w:uiPriority w:val="99"/>
    <w:pPr>
      <w:spacing w:after="0" w:line="240" w:lineRule="auto"/>
    </w:pPr>
    <w:rPr>
      <w:color w:val="404040"/>
    </w:rPr>
    <w:tblPr>
      <w:tblStyleRowBandSize w:val="1"/>
      <w:tblStyleColBandSize w:val="1"/>
      <w:tblInd w:w="0" w:type="dxa"/>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3" w:themeTint="34" w:fill="eaf0dd" w:themeFill="accent3" w:themeFillTint="34"/>
      </w:tcPr>
    </w:tblStylePr>
    <w:tblStylePr w:type="band2Vert">
      <w:rPr>
        <w:rFonts w:ascii="Arial" w:hAnsi="Arial"/>
        <w:color w:val="404040"/>
        <w:sz w:val="22"/>
      </w:rPr>
      <w:tcPr>
        <w:shd w:val="clear" w:color="ffffff" w:themeColor="accent3" w:themeTint="34" w:fill="eaf0dd" w:themeFill="accent3" w:themeFillTint="34"/>
      </w:tcPr>
    </w:tblStylePr>
    <w:tblStylePr w:type="firstCol">
      <w:rPr>
        <w:rFonts w:ascii="Arial" w:hAnsi="Arial"/>
        <w:color w:val="f2f2f2"/>
        <w:sz w:val="22"/>
      </w:rPr>
      <w:tcPr>
        <w:shd w:val="clear" w:color="ffffff" w:themeColor="accent3" w:themeTint="FE" w:fill="9bba59" w:themeFill="accent3" w:themeFillTint="FE"/>
      </w:tcPr>
    </w:tblStylePr>
    <w:tblStylePr w:type="firstRow">
      <w:rPr>
        <w:rFonts w:ascii="Arial" w:hAnsi="Arial"/>
        <w:color w:val="f2f2f2"/>
        <w:sz w:val="22"/>
      </w:rPr>
      <w:tcPr>
        <w:shd w:val="clear" w:color="ffffff" w:themeColor="accent3" w:themeTint="FE" w:fill="9bba59" w:themeFill="accent3" w:themeFillTint="FE"/>
      </w:tcPr>
    </w:tblStylePr>
    <w:tblStylePr w:type="lastCol">
      <w:rPr>
        <w:rFonts w:ascii="Arial" w:hAnsi="Arial"/>
        <w:color w:val="f2f2f2"/>
        <w:sz w:val="22"/>
      </w:rPr>
      <w:tcPr>
        <w:shd w:val="clear" w:color="ffffff" w:themeColor="accent3" w:themeTint="FE" w:fill="9bba59" w:themeFill="accent3" w:themeFillTint="FE"/>
      </w:tcPr>
    </w:tblStylePr>
    <w:tblStylePr w:type="lastRow">
      <w:rPr>
        <w:rFonts w:ascii="Arial" w:hAnsi="Arial"/>
        <w:color w:val="f2f2f2"/>
        <w:sz w:val="22"/>
      </w:rPr>
      <w:tcPr>
        <w:shd w:val="clear" w:color="ffffff" w:themeColor="accent3" w:themeTint="FE" w:fill="9bba59" w:themeFill="accent3" w:themeFillTint="FE"/>
      </w:tcPr>
    </w:tblStylePr>
  </w:style>
  <w:style w:type="table" w:styleId="1205">
    <w:name w:val="Lined - Accent 4"/>
    <w:basedOn w:val="1235"/>
    <w:uiPriority w:val="99"/>
    <w:pPr>
      <w:spacing w:after="0" w:line="240" w:lineRule="auto"/>
    </w:pPr>
    <w:rPr>
      <w:color w:val="404040"/>
    </w:rPr>
    <w:tblPr>
      <w:tblStyleRowBandSize w:val="1"/>
      <w:tblStyleColBandSize w:val="1"/>
      <w:tblInd w:w="0" w:type="dxa"/>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4" w:themeTint="34" w:fill="e5dfec" w:themeFill="accent4" w:themeFillTint="34"/>
      </w:tcPr>
    </w:tblStylePr>
    <w:tblStylePr w:type="band2Vert">
      <w:rPr>
        <w:rFonts w:ascii="Arial" w:hAnsi="Arial"/>
        <w:color w:val="404040"/>
        <w:sz w:val="22"/>
      </w:rPr>
      <w:tcPr>
        <w:shd w:val="clear" w:color="ffffff" w:themeColor="accent4" w:themeTint="34" w:fill="e5dfec" w:themeFill="accent4" w:themeFillTint="34"/>
      </w:tcPr>
    </w:tblStylePr>
    <w:tblStylePr w:type="firstCol">
      <w:rPr>
        <w:rFonts w:ascii="Arial" w:hAnsi="Arial"/>
        <w:color w:val="f2f2f2"/>
        <w:sz w:val="22"/>
      </w:rPr>
      <w:tcPr>
        <w:shd w:val="clear" w:color="ffffff" w:themeColor="accent4" w:themeTint="9A" w:fill="b2a1c6" w:themeFill="accent4" w:themeFillTint="9A"/>
      </w:tcPr>
    </w:tblStylePr>
    <w:tblStylePr w:type="firstRow">
      <w:rPr>
        <w:rFonts w:ascii="Arial" w:hAnsi="Arial"/>
        <w:color w:val="f2f2f2"/>
        <w:sz w:val="22"/>
      </w:rPr>
      <w:tcPr>
        <w:shd w:val="clear" w:color="ffffff" w:themeColor="accent4" w:themeTint="9A" w:fill="b2a1c6" w:themeFill="accent4" w:themeFillTint="9A"/>
      </w:tcPr>
    </w:tblStylePr>
    <w:tblStylePr w:type="lastCol">
      <w:rPr>
        <w:rFonts w:ascii="Arial" w:hAnsi="Arial"/>
        <w:color w:val="f2f2f2"/>
        <w:sz w:val="22"/>
      </w:rPr>
      <w:tcPr>
        <w:shd w:val="clear" w:color="ffffff" w:themeColor="accent4" w:themeTint="9A" w:fill="b2a1c6" w:themeFill="accent4" w:themeFillTint="9A"/>
      </w:tcPr>
    </w:tblStylePr>
    <w:tblStylePr w:type="lastRow">
      <w:rPr>
        <w:rFonts w:ascii="Arial" w:hAnsi="Arial"/>
        <w:color w:val="f2f2f2"/>
        <w:sz w:val="22"/>
      </w:rPr>
      <w:tcPr>
        <w:shd w:val="clear" w:color="ffffff" w:themeColor="accent4" w:themeTint="9A" w:fill="b2a1c6" w:themeFill="accent4" w:themeFillTint="9A"/>
      </w:tcPr>
    </w:tblStylePr>
  </w:style>
  <w:style w:type="table" w:styleId="1206">
    <w:name w:val="Lined - Accent 5"/>
    <w:basedOn w:val="1235"/>
    <w:uiPriority w:val="99"/>
    <w:pPr>
      <w:spacing w:after="0" w:line="240" w:lineRule="auto"/>
    </w:pPr>
    <w:rPr>
      <w:color w:val="404040"/>
    </w:rPr>
    <w:tblPr>
      <w:tblStyleRowBandSize w:val="1"/>
      <w:tblStyleColBandSize w:val="1"/>
      <w:tblInd w:w="0" w:type="dxa"/>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5" w:themeTint="34" w:fill="daeef3" w:themeFill="accent5" w:themeFillTint="34"/>
      </w:tcPr>
    </w:tblStylePr>
    <w:tblStylePr w:type="band2Vert">
      <w:rPr>
        <w:rFonts w:ascii="Arial" w:hAnsi="Arial"/>
        <w:color w:val="404040"/>
        <w:sz w:val="22"/>
      </w:rPr>
      <w:tcPr>
        <w:shd w:val="clear" w:color="ffffff" w:themeColor="accent5" w:themeTint="34" w:fill="daeef3" w:themeFill="accent5" w:themeFillTint="34"/>
      </w:tcPr>
    </w:tblStylePr>
    <w:tblStylePr w:type="firstCol">
      <w:rPr>
        <w:rFonts w:ascii="Arial" w:hAnsi="Arial"/>
        <w:color w:val="f2f2f2"/>
        <w:sz w:val="22"/>
      </w:rPr>
      <w:tcPr>
        <w:shd w:val="clear" w:color="ffffff" w:themeColor="accent5" w:fill="4bacc6" w:themeFill="accent5"/>
      </w:tcPr>
    </w:tblStylePr>
    <w:tblStylePr w:type="firstRow">
      <w:rPr>
        <w:rFonts w:ascii="Arial" w:hAnsi="Arial"/>
        <w:color w:val="f2f2f2"/>
        <w:sz w:val="22"/>
      </w:rPr>
      <w:tcPr>
        <w:shd w:val="clear" w:color="ffffff" w:themeColor="accent5" w:fill="4bacc6" w:themeFill="accent5"/>
      </w:tcPr>
    </w:tblStylePr>
    <w:tblStylePr w:type="lastCol">
      <w:rPr>
        <w:rFonts w:ascii="Arial" w:hAnsi="Arial"/>
        <w:color w:val="f2f2f2"/>
        <w:sz w:val="22"/>
      </w:rPr>
      <w:tcPr>
        <w:shd w:val="clear" w:color="ffffff" w:themeColor="accent5" w:fill="4bacc6" w:themeFill="accent5"/>
      </w:tcPr>
    </w:tblStylePr>
    <w:tblStylePr w:type="lastRow">
      <w:rPr>
        <w:rFonts w:ascii="Arial" w:hAnsi="Arial"/>
        <w:color w:val="f2f2f2"/>
        <w:sz w:val="22"/>
      </w:rPr>
      <w:tcPr>
        <w:shd w:val="clear" w:color="ffffff" w:themeColor="accent5" w:fill="4bacc6" w:themeFill="accent5"/>
      </w:tcPr>
    </w:tblStylePr>
  </w:style>
  <w:style w:type="table" w:styleId="1207">
    <w:name w:val="Lined - Accent 6"/>
    <w:basedOn w:val="1235"/>
    <w:uiPriority w:val="99"/>
    <w:pPr>
      <w:spacing w:after="0" w:line="240" w:lineRule="auto"/>
    </w:pPr>
    <w:rPr>
      <w:color w:val="404040"/>
    </w:rPr>
    <w:tblPr>
      <w:tblStyleRowBandSize w:val="1"/>
      <w:tblStyleColBandSize w:val="1"/>
      <w:tblInd w:w="0" w:type="dxa"/>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6" w:themeTint="34" w:fill="fde9d8" w:themeFill="accent6" w:themeFillTint="34"/>
      </w:tcPr>
    </w:tblStylePr>
    <w:tblStylePr w:type="band2Vert">
      <w:rPr>
        <w:rFonts w:ascii="Arial" w:hAnsi="Arial"/>
        <w:color w:val="404040"/>
        <w:sz w:val="22"/>
      </w:rPr>
      <w:tcPr>
        <w:shd w:val="clear" w:color="ffffff" w:themeColor="accent6" w:themeTint="34" w:fill="fde9d8" w:themeFill="accent6" w:themeFillTint="34"/>
      </w:tcPr>
    </w:tblStylePr>
    <w:tblStylePr w:type="firstCol">
      <w:rPr>
        <w:rFonts w:ascii="Arial" w:hAnsi="Arial"/>
        <w:color w:val="f2f2f2"/>
        <w:sz w:val="22"/>
      </w:rPr>
      <w:tcPr>
        <w:shd w:val="clear" w:color="ffffff" w:themeColor="accent6" w:fill="f79646" w:themeFill="accent6"/>
      </w:tcPr>
    </w:tblStylePr>
    <w:tblStylePr w:type="firstRow">
      <w:rPr>
        <w:rFonts w:ascii="Arial" w:hAnsi="Arial"/>
        <w:color w:val="f2f2f2"/>
        <w:sz w:val="22"/>
      </w:rPr>
      <w:tcPr>
        <w:shd w:val="clear" w:color="ffffff" w:themeColor="accent6" w:fill="f79646" w:themeFill="accent6"/>
      </w:tcPr>
    </w:tblStylePr>
    <w:tblStylePr w:type="lastCol">
      <w:rPr>
        <w:rFonts w:ascii="Arial" w:hAnsi="Arial"/>
        <w:color w:val="f2f2f2"/>
        <w:sz w:val="22"/>
      </w:rPr>
      <w:tcPr>
        <w:shd w:val="clear" w:color="ffffff" w:themeColor="accent6" w:fill="f79646" w:themeFill="accent6"/>
      </w:tcPr>
    </w:tblStylePr>
    <w:tblStylePr w:type="lastRow">
      <w:rPr>
        <w:rFonts w:ascii="Arial" w:hAnsi="Arial"/>
        <w:color w:val="f2f2f2"/>
        <w:sz w:val="22"/>
      </w:rPr>
      <w:tcPr>
        <w:shd w:val="clear" w:color="ffffff" w:themeColor="accent6" w:fill="f79646" w:themeFill="accent6"/>
      </w:tcPr>
    </w:tblStylePr>
  </w:style>
  <w:style w:type="table" w:styleId="1208">
    <w:name w:val="Bordered &amp; Lined - Accent"/>
    <w:basedOn w:val="1235"/>
    <w:uiPriority w:val="99"/>
    <w:pPr>
      <w:spacing w:after="0" w:line="240" w:lineRule="auto"/>
    </w:pPr>
    <w:rPr>
      <w:color w:val="404040"/>
    </w:rPr>
    <w:tblPr>
      <w:tblStyleRowBandSize w:val="1"/>
      <w:tblStyleColBandSize w:val="1"/>
      <w:tblInd w:w="0" w:type="dxa"/>
      <w:tblBorders>
        <w:top w:val="single" w:color="000000" w:themeColor="text1" w:themeTint="A6" w:sz="4" w:space="0"/>
        <w:left w:val="single" w:color="000000" w:themeColor="text1" w:themeTint="A6" w:sz="4" w:space="0"/>
        <w:bottom w:val="single" w:color="000000" w:themeColor="text1" w:themeTint="A6" w:sz="4" w:space="0"/>
        <w:right w:val="single" w:color="000000" w:themeColor="text1" w:themeTint="A6" w:sz="4" w:space="0"/>
        <w:insideH w:val="single" w:color="000000" w:themeColor="text1" w:themeTint="A6" w:sz="4" w:space="0"/>
        <w:insideV w:val="single" w:color="000000" w:themeColor="text1" w:themeTint="A6" w:sz="4" w:space="0"/>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text1" w:themeTint="0D" w:fill="f2f2f2" w:themeFill="text1" w:themeFillTint="0D"/>
      </w:tcPr>
    </w:tblStylePr>
    <w:tblStylePr w:type="band2Vert">
      <w:rPr>
        <w:rFonts w:ascii="Arial" w:hAnsi="Arial"/>
        <w:color w:val="404040"/>
        <w:sz w:val="22"/>
      </w:rPr>
      <w:tcPr>
        <w:shd w:val="clear" w:color="ffffff" w:themeColor="text1" w:themeTint="0D" w:fill="f2f2f2" w:themeFill="text1" w:themeFillTint="0D"/>
      </w:tcPr>
    </w:tblStylePr>
    <w:tblStylePr w:type="firstCol">
      <w:rPr>
        <w:rFonts w:ascii="Arial" w:hAnsi="Arial"/>
        <w:color w:val="f2f2f2"/>
        <w:sz w:val="22"/>
      </w:rPr>
      <w:tcPr>
        <w:shd w:val="clear" w:color="ffffff" w:themeColor="text1" w:themeTint="80" w:fill="7f7f7f" w:themeFill="text1" w:themeFillTint="80"/>
      </w:tcPr>
    </w:tblStylePr>
    <w:tblStylePr w:type="firstRow">
      <w:rPr>
        <w:rFonts w:ascii="Arial" w:hAnsi="Arial"/>
        <w:color w:val="f2f2f2"/>
        <w:sz w:val="22"/>
      </w:rPr>
      <w:tcPr>
        <w:shd w:val="clear" w:color="ffffff" w:themeColor="text1" w:themeTint="80" w:fill="7f7f7f" w:themeFill="text1" w:themeFillTint="80"/>
      </w:tcPr>
    </w:tblStylePr>
    <w:tblStylePr w:type="lastCol">
      <w:rPr>
        <w:rFonts w:ascii="Arial" w:hAnsi="Arial"/>
        <w:color w:val="f2f2f2"/>
        <w:sz w:val="22"/>
      </w:rPr>
      <w:tcPr>
        <w:shd w:val="clear" w:color="ffffff" w:themeColor="text1" w:themeTint="80" w:fill="7f7f7f" w:themeFill="text1" w:themeFillTint="80"/>
      </w:tcPr>
    </w:tblStylePr>
    <w:tblStylePr w:type="lastRow">
      <w:rPr>
        <w:rFonts w:ascii="Arial" w:hAnsi="Arial"/>
        <w:color w:val="f2f2f2"/>
        <w:sz w:val="22"/>
      </w:rPr>
      <w:tcPr>
        <w:shd w:val="clear" w:color="ffffff" w:themeColor="text1" w:themeTint="80" w:fill="7f7f7f" w:themeFill="text1" w:themeFillTint="80"/>
      </w:tcPr>
    </w:tblStylePr>
  </w:style>
  <w:style w:type="table" w:styleId="1209">
    <w:name w:val="Bordered &amp; Lined - Accent 1"/>
    <w:basedOn w:val="1235"/>
    <w:uiPriority w:val="99"/>
    <w:pPr>
      <w:spacing w:after="0" w:line="240" w:lineRule="auto"/>
    </w:pPr>
    <w:rPr>
      <w:color w:val="404040"/>
    </w:rPr>
    <w:tblPr>
      <w:tblStyleRowBandSize w:val="1"/>
      <w:tblStyleColBandSize w:val="1"/>
      <w:tblInd w:w="0" w:type="dxa"/>
      <w:tblBorders>
        <w:top w:val="single" w:color="000000" w:themeColor="accent1" w:themeShade="95" w:sz="4" w:space="0"/>
        <w:left w:val="single" w:color="000000" w:themeColor="accent1" w:themeShade="95" w:sz="4" w:space="0"/>
        <w:bottom w:val="single" w:color="000000" w:themeColor="accent1" w:themeShade="95" w:sz="4" w:space="0"/>
        <w:right w:val="single" w:color="000000" w:themeColor="accent1" w:themeShade="95" w:sz="4" w:space="0"/>
        <w:insideH w:val="single" w:color="000000" w:themeColor="accent1" w:themeShade="95" w:sz="4" w:space="0"/>
        <w:insideV w:val="single" w:color="000000" w:themeColor="accent1" w:themeShade="95" w:sz="4" w:space="0"/>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1" w:themeTint="50" w:fill="c7d7ea" w:themeFill="accent1" w:themeFillTint="50"/>
      </w:tcPr>
    </w:tblStylePr>
    <w:tblStylePr w:type="band2Vert">
      <w:rPr>
        <w:rFonts w:ascii="Arial" w:hAnsi="Arial"/>
        <w:color w:val="404040"/>
        <w:sz w:val="22"/>
      </w:rPr>
      <w:tcPr>
        <w:shd w:val="clear" w:color="ffffff" w:themeColor="accent1" w:themeTint="50" w:fill="c7d7ea" w:themeFill="accent1" w:themeFillTint="50"/>
      </w:tcPr>
    </w:tblStylePr>
    <w:tblStylePr w:type="firstCol">
      <w:rPr>
        <w:rFonts w:ascii="Arial" w:hAnsi="Arial"/>
        <w:color w:val="f2f2f2"/>
        <w:sz w:val="22"/>
      </w:rPr>
      <w:tcPr>
        <w:shd w:val="clear" w:color="ffffff" w:themeColor="accent1" w:themeTint="EA" w:fill="5d8dc2" w:themeFill="accent1" w:themeFillTint="EA"/>
      </w:tcPr>
    </w:tblStylePr>
    <w:tblStylePr w:type="firstRow">
      <w:rPr>
        <w:rFonts w:ascii="Arial" w:hAnsi="Arial"/>
        <w:color w:val="f2f2f2"/>
        <w:sz w:val="22"/>
      </w:rPr>
      <w:tcPr>
        <w:shd w:val="clear" w:color="ffffff" w:themeColor="accent1" w:themeTint="EA" w:fill="5d8dc2" w:themeFill="accent1" w:themeFillTint="EA"/>
      </w:tcPr>
    </w:tblStylePr>
    <w:tblStylePr w:type="lastCol">
      <w:rPr>
        <w:rFonts w:ascii="Arial" w:hAnsi="Arial"/>
        <w:color w:val="f2f2f2"/>
        <w:sz w:val="22"/>
      </w:rPr>
      <w:tcPr>
        <w:shd w:val="clear" w:color="ffffff" w:themeColor="accent1" w:themeTint="EA" w:fill="5d8dc2" w:themeFill="accent1" w:themeFillTint="EA"/>
      </w:tcPr>
    </w:tblStylePr>
    <w:tblStylePr w:type="lastRow">
      <w:rPr>
        <w:rFonts w:ascii="Arial" w:hAnsi="Arial"/>
        <w:color w:val="f2f2f2"/>
        <w:sz w:val="22"/>
      </w:rPr>
      <w:tcPr>
        <w:shd w:val="clear" w:color="ffffff" w:themeColor="accent1" w:themeTint="EA" w:fill="5d8dc2" w:themeFill="accent1" w:themeFillTint="EA"/>
      </w:tcPr>
    </w:tblStylePr>
  </w:style>
  <w:style w:type="table" w:styleId="1210">
    <w:name w:val="Bordered &amp; Lined - Accent 2"/>
    <w:basedOn w:val="1235"/>
    <w:uiPriority w:val="99"/>
    <w:pPr>
      <w:spacing w:after="0" w:line="240" w:lineRule="auto"/>
    </w:pPr>
    <w:rPr>
      <w:color w:val="404040"/>
    </w:rPr>
    <w:tblPr>
      <w:tblStyleRowBandSize w:val="1"/>
      <w:tblStyleColBandSize w:val="1"/>
      <w:tblInd w:w="0" w:type="dxa"/>
      <w:tblBorders>
        <w:top w:val="single" w:color="000000" w:themeColor="accent2" w:themeShade="95" w:sz="4" w:space="0"/>
        <w:left w:val="single" w:color="000000" w:themeColor="accent2" w:themeShade="95" w:sz="4" w:space="0"/>
        <w:bottom w:val="single" w:color="000000" w:themeColor="accent2" w:themeShade="95" w:sz="4" w:space="0"/>
        <w:right w:val="single" w:color="000000" w:themeColor="accent2" w:themeShade="95" w:sz="4" w:space="0"/>
        <w:insideH w:val="single" w:color="000000" w:themeColor="accent2" w:themeShade="95" w:sz="4" w:space="0"/>
        <w:insideV w:val="single" w:color="000000" w:themeColor="accent2" w:themeShade="95" w:sz="4" w:space="0"/>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2" w:themeTint="32" w:fill="f2dcdb" w:themeFill="accent2" w:themeFillTint="32"/>
      </w:tcPr>
    </w:tblStylePr>
    <w:tblStylePr w:type="band2Vert">
      <w:rPr>
        <w:rFonts w:ascii="Arial" w:hAnsi="Arial"/>
        <w:color w:val="404040"/>
        <w:sz w:val="22"/>
      </w:rPr>
      <w:tcPr>
        <w:shd w:val="clear" w:color="ffffff" w:themeColor="accent2" w:themeTint="32" w:fill="f2dcdb" w:themeFill="accent2" w:themeFillTint="32"/>
      </w:tcPr>
    </w:tblStylePr>
    <w:tblStylePr w:type="firstCol">
      <w:rPr>
        <w:rFonts w:ascii="Arial" w:hAnsi="Arial"/>
        <w:color w:val="f2f2f2"/>
        <w:sz w:val="22"/>
      </w:rPr>
      <w:tcPr>
        <w:shd w:val="clear" w:color="ffffff" w:themeColor="accent2" w:themeTint="97" w:fill="d99694" w:themeFill="accent2" w:themeFillTint="97"/>
      </w:tcPr>
    </w:tblStylePr>
    <w:tblStylePr w:type="firstRow">
      <w:rPr>
        <w:rFonts w:ascii="Arial" w:hAnsi="Arial"/>
        <w:color w:val="f2f2f2"/>
        <w:sz w:val="22"/>
      </w:rPr>
      <w:tcPr>
        <w:shd w:val="clear" w:color="ffffff" w:themeColor="accent2" w:themeTint="97" w:fill="d99694" w:themeFill="accent2" w:themeFillTint="97"/>
      </w:tcPr>
    </w:tblStylePr>
    <w:tblStylePr w:type="lastCol">
      <w:rPr>
        <w:rFonts w:ascii="Arial" w:hAnsi="Arial"/>
        <w:color w:val="f2f2f2"/>
        <w:sz w:val="22"/>
      </w:rPr>
      <w:tcPr>
        <w:shd w:val="clear" w:color="ffffff" w:themeColor="accent2" w:themeTint="97" w:fill="d99694" w:themeFill="accent2" w:themeFillTint="97"/>
      </w:tcPr>
    </w:tblStylePr>
    <w:tblStylePr w:type="lastRow">
      <w:rPr>
        <w:rFonts w:ascii="Arial" w:hAnsi="Arial"/>
        <w:color w:val="f2f2f2"/>
        <w:sz w:val="22"/>
      </w:rPr>
      <w:tcPr>
        <w:shd w:val="clear" w:color="ffffff" w:themeColor="accent2" w:themeTint="97" w:fill="d99694" w:themeFill="accent2" w:themeFillTint="97"/>
      </w:tcPr>
    </w:tblStylePr>
  </w:style>
  <w:style w:type="table" w:styleId="1211">
    <w:name w:val="Bordered &amp; Lined - Accent 3"/>
    <w:basedOn w:val="1235"/>
    <w:uiPriority w:val="99"/>
    <w:pPr>
      <w:spacing w:after="0" w:line="240" w:lineRule="auto"/>
    </w:pPr>
    <w:rPr>
      <w:color w:val="404040"/>
    </w:rPr>
    <w:tblPr>
      <w:tblStyleRowBandSize w:val="1"/>
      <w:tblStyleColBandSize w:val="1"/>
      <w:tblInd w:w="0" w:type="dxa"/>
      <w:tblBorders>
        <w:top w:val="single" w:color="000000" w:themeColor="accent3" w:themeShade="95" w:sz="4" w:space="0"/>
        <w:left w:val="single" w:color="000000" w:themeColor="accent3" w:themeShade="95" w:sz="4" w:space="0"/>
        <w:bottom w:val="single" w:color="000000" w:themeColor="accent3" w:themeShade="95" w:sz="4" w:space="0"/>
        <w:right w:val="single" w:color="000000" w:themeColor="accent3" w:themeShade="95" w:sz="4" w:space="0"/>
        <w:insideH w:val="single" w:color="000000" w:themeColor="accent3" w:themeShade="95" w:sz="4" w:space="0"/>
        <w:insideV w:val="single" w:color="000000" w:themeColor="accent3" w:themeShade="95" w:sz="4" w:space="0"/>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3" w:themeTint="34" w:fill="eaf0dd" w:themeFill="accent3" w:themeFillTint="34"/>
      </w:tcPr>
    </w:tblStylePr>
    <w:tblStylePr w:type="band2Vert">
      <w:rPr>
        <w:rFonts w:ascii="Arial" w:hAnsi="Arial"/>
        <w:color w:val="404040"/>
        <w:sz w:val="22"/>
      </w:rPr>
      <w:tcPr>
        <w:shd w:val="clear" w:color="ffffff" w:themeColor="accent3" w:themeTint="34" w:fill="eaf0dd" w:themeFill="accent3" w:themeFillTint="34"/>
      </w:tcPr>
    </w:tblStylePr>
    <w:tblStylePr w:type="firstCol">
      <w:rPr>
        <w:rFonts w:ascii="Arial" w:hAnsi="Arial"/>
        <w:color w:val="f2f2f2"/>
        <w:sz w:val="22"/>
      </w:rPr>
      <w:tcPr>
        <w:shd w:val="clear" w:color="ffffff" w:themeColor="accent3" w:themeTint="FE" w:fill="9bba59" w:themeFill="accent3" w:themeFillTint="FE"/>
      </w:tcPr>
    </w:tblStylePr>
    <w:tblStylePr w:type="firstRow">
      <w:rPr>
        <w:rFonts w:ascii="Arial" w:hAnsi="Arial"/>
        <w:color w:val="f2f2f2"/>
        <w:sz w:val="22"/>
      </w:rPr>
      <w:tcPr>
        <w:shd w:val="clear" w:color="ffffff" w:themeColor="accent3" w:themeTint="FE" w:fill="9bba59" w:themeFill="accent3" w:themeFillTint="FE"/>
      </w:tcPr>
    </w:tblStylePr>
    <w:tblStylePr w:type="lastCol">
      <w:rPr>
        <w:rFonts w:ascii="Arial" w:hAnsi="Arial"/>
        <w:color w:val="f2f2f2"/>
        <w:sz w:val="22"/>
      </w:rPr>
      <w:tcPr>
        <w:shd w:val="clear" w:color="ffffff" w:themeColor="accent3" w:themeTint="FE" w:fill="9bba59" w:themeFill="accent3" w:themeFillTint="FE"/>
      </w:tcPr>
    </w:tblStylePr>
    <w:tblStylePr w:type="lastRow">
      <w:rPr>
        <w:rFonts w:ascii="Arial" w:hAnsi="Arial"/>
        <w:color w:val="f2f2f2"/>
        <w:sz w:val="22"/>
      </w:rPr>
      <w:tcPr>
        <w:shd w:val="clear" w:color="ffffff" w:themeColor="accent3" w:themeTint="FE" w:fill="9bba59" w:themeFill="accent3" w:themeFillTint="FE"/>
      </w:tcPr>
    </w:tblStylePr>
  </w:style>
  <w:style w:type="table" w:styleId="1212">
    <w:name w:val="Bordered &amp; Lined - Accent 4"/>
    <w:basedOn w:val="1235"/>
    <w:uiPriority w:val="99"/>
    <w:pPr>
      <w:spacing w:after="0" w:line="240" w:lineRule="auto"/>
    </w:pPr>
    <w:rPr>
      <w:color w:val="404040"/>
    </w:rPr>
    <w:tblPr>
      <w:tblStyleRowBandSize w:val="1"/>
      <w:tblStyleColBandSize w:val="1"/>
      <w:tblInd w:w="0" w:type="dxa"/>
      <w:tblBorders>
        <w:top w:val="single" w:color="000000" w:themeColor="accent4" w:themeShade="95" w:sz="4" w:space="0"/>
        <w:left w:val="single" w:color="000000" w:themeColor="accent4" w:themeShade="95" w:sz="4" w:space="0"/>
        <w:bottom w:val="single" w:color="000000" w:themeColor="accent4" w:themeShade="95" w:sz="4" w:space="0"/>
        <w:right w:val="single" w:color="000000" w:themeColor="accent4" w:themeShade="95" w:sz="4" w:space="0"/>
        <w:insideH w:val="single" w:color="000000" w:themeColor="accent4" w:themeShade="95" w:sz="4" w:space="0"/>
        <w:insideV w:val="single" w:color="000000" w:themeColor="accent4" w:themeShade="95" w:sz="4" w:space="0"/>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4" w:themeTint="34" w:fill="e5dfec" w:themeFill="accent4" w:themeFillTint="34"/>
      </w:tcPr>
    </w:tblStylePr>
    <w:tblStylePr w:type="band2Vert">
      <w:rPr>
        <w:rFonts w:ascii="Arial" w:hAnsi="Arial"/>
        <w:color w:val="404040"/>
        <w:sz w:val="22"/>
      </w:rPr>
      <w:tcPr>
        <w:shd w:val="clear" w:color="ffffff" w:themeColor="accent4" w:themeTint="34" w:fill="e5dfec" w:themeFill="accent4" w:themeFillTint="34"/>
      </w:tcPr>
    </w:tblStylePr>
    <w:tblStylePr w:type="firstCol">
      <w:rPr>
        <w:rFonts w:ascii="Arial" w:hAnsi="Arial"/>
        <w:color w:val="f2f2f2"/>
        <w:sz w:val="22"/>
      </w:rPr>
      <w:tcPr>
        <w:shd w:val="clear" w:color="ffffff" w:themeColor="accent4" w:themeTint="9A" w:fill="b2a1c6" w:themeFill="accent4" w:themeFillTint="9A"/>
      </w:tcPr>
    </w:tblStylePr>
    <w:tblStylePr w:type="firstRow">
      <w:rPr>
        <w:rFonts w:ascii="Arial" w:hAnsi="Arial"/>
        <w:color w:val="f2f2f2"/>
        <w:sz w:val="22"/>
      </w:rPr>
      <w:tcPr>
        <w:shd w:val="clear" w:color="ffffff" w:themeColor="accent4" w:themeTint="9A" w:fill="b2a1c6" w:themeFill="accent4" w:themeFillTint="9A"/>
      </w:tcPr>
    </w:tblStylePr>
    <w:tblStylePr w:type="lastCol">
      <w:rPr>
        <w:rFonts w:ascii="Arial" w:hAnsi="Arial"/>
        <w:color w:val="f2f2f2"/>
        <w:sz w:val="22"/>
      </w:rPr>
      <w:tcPr>
        <w:shd w:val="clear" w:color="ffffff" w:themeColor="accent4" w:themeTint="9A" w:fill="b2a1c6" w:themeFill="accent4" w:themeFillTint="9A"/>
      </w:tcPr>
    </w:tblStylePr>
    <w:tblStylePr w:type="lastRow">
      <w:rPr>
        <w:rFonts w:ascii="Arial" w:hAnsi="Arial"/>
        <w:color w:val="f2f2f2"/>
        <w:sz w:val="22"/>
      </w:rPr>
      <w:tcPr>
        <w:shd w:val="clear" w:color="ffffff" w:themeColor="accent4" w:themeTint="9A" w:fill="b2a1c6" w:themeFill="accent4" w:themeFillTint="9A"/>
      </w:tcPr>
    </w:tblStylePr>
  </w:style>
  <w:style w:type="table" w:styleId="1213">
    <w:name w:val="Bordered &amp; Lined - Accent 5"/>
    <w:basedOn w:val="1235"/>
    <w:uiPriority w:val="99"/>
    <w:pPr>
      <w:spacing w:after="0" w:line="240" w:lineRule="auto"/>
    </w:pPr>
    <w:rPr>
      <w:color w:val="404040"/>
    </w:rPr>
    <w:tblPr>
      <w:tblStyleRowBandSize w:val="1"/>
      <w:tblStyleColBandSize w:val="1"/>
      <w:tblInd w:w="0" w:type="dxa"/>
      <w:tblBorders>
        <w:top w:val="single" w:color="000000" w:themeColor="accent5" w:themeShade="95" w:sz="4" w:space="0"/>
        <w:left w:val="single" w:color="000000" w:themeColor="accent5" w:themeShade="95" w:sz="4" w:space="0"/>
        <w:bottom w:val="single" w:color="000000" w:themeColor="accent5" w:themeShade="95" w:sz="4" w:space="0"/>
        <w:right w:val="single" w:color="000000" w:themeColor="accent5" w:themeShade="95" w:sz="4" w:space="0"/>
        <w:insideH w:val="single" w:color="000000" w:themeColor="accent5" w:themeShade="95" w:sz="4" w:space="0"/>
        <w:insideV w:val="single" w:color="000000" w:themeColor="accent5" w:themeShade="95" w:sz="4" w:space="0"/>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5" w:themeTint="34" w:fill="daeef3" w:themeFill="accent5" w:themeFillTint="34"/>
      </w:tcPr>
    </w:tblStylePr>
    <w:tblStylePr w:type="band2Vert">
      <w:rPr>
        <w:rFonts w:ascii="Arial" w:hAnsi="Arial"/>
        <w:color w:val="404040"/>
        <w:sz w:val="22"/>
      </w:rPr>
      <w:tcPr>
        <w:shd w:val="clear" w:color="ffffff" w:themeColor="accent5" w:themeTint="34" w:fill="daeef3" w:themeFill="accent5" w:themeFillTint="34"/>
      </w:tcPr>
    </w:tblStylePr>
    <w:tblStylePr w:type="firstCol">
      <w:rPr>
        <w:rFonts w:ascii="Arial" w:hAnsi="Arial"/>
        <w:color w:val="f2f2f2"/>
        <w:sz w:val="22"/>
      </w:rPr>
      <w:tcPr>
        <w:shd w:val="clear" w:color="ffffff" w:themeColor="accent5" w:fill="4bacc6" w:themeFill="accent5"/>
      </w:tcPr>
    </w:tblStylePr>
    <w:tblStylePr w:type="firstRow">
      <w:rPr>
        <w:rFonts w:ascii="Arial" w:hAnsi="Arial"/>
        <w:color w:val="f2f2f2"/>
        <w:sz w:val="22"/>
      </w:rPr>
      <w:tcPr>
        <w:shd w:val="clear" w:color="ffffff" w:themeColor="accent5" w:fill="4bacc6" w:themeFill="accent5"/>
      </w:tcPr>
    </w:tblStylePr>
    <w:tblStylePr w:type="lastCol">
      <w:rPr>
        <w:rFonts w:ascii="Arial" w:hAnsi="Arial"/>
        <w:color w:val="f2f2f2"/>
        <w:sz w:val="22"/>
      </w:rPr>
      <w:tcPr>
        <w:shd w:val="clear" w:color="ffffff" w:themeColor="accent5" w:fill="4bacc6" w:themeFill="accent5"/>
      </w:tcPr>
    </w:tblStylePr>
    <w:tblStylePr w:type="lastRow">
      <w:rPr>
        <w:rFonts w:ascii="Arial" w:hAnsi="Arial"/>
        <w:color w:val="f2f2f2"/>
        <w:sz w:val="22"/>
      </w:rPr>
      <w:tcPr>
        <w:shd w:val="clear" w:color="ffffff" w:themeColor="accent5" w:fill="4bacc6" w:themeFill="accent5"/>
      </w:tcPr>
    </w:tblStylePr>
  </w:style>
  <w:style w:type="table" w:styleId="1214">
    <w:name w:val="Bordered &amp; Lined - Accent 6"/>
    <w:basedOn w:val="1235"/>
    <w:uiPriority w:val="99"/>
    <w:pPr>
      <w:spacing w:after="0" w:line="240" w:lineRule="auto"/>
    </w:pPr>
    <w:rPr>
      <w:color w:val="404040"/>
    </w:rPr>
    <w:tblPr>
      <w:tblStyleRowBandSize w:val="1"/>
      <w:tblStyleColBandSize w:val="1"/>
      <w:tblInd w:w="0" w:type="dxa"/>
      <w:tblBorders>
        <w:top w:val="single" w:color="000000" w:themeColor="accent6" w:themeShade="95" w:sz="4" w:space="0"/>
        <w:left w:val="single" w:color="000000" w:themeColor="accent6" w:themeShade="95" w:sz="4" w:space="0"/>
        <w:bottom w:val="single" w:color="000000" w:themeColor="accent6" w:themeShade="95" w:sz="4" w:space="0"/>
        <w:right w:val="single" w:color="000000" w:themeColor="accent6" w:themeShade="95" w:sz="4" w:space="0"/>
        <w:insideH w:val="single" w:color="000000" w:themeColor="accent6" w:themeShade="95" w:sz="4" w:space="0"/>
        <w:insideV w:val="single" w:color="000000" w:themeColor="accent6" w:themeShade="95" w:sz="4" w:space="0"/>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6" w:themeTint="34" w:fill="fde9d8" w:themeFill="accent6" w:themeFillTint="34"/>
      </w:tcPr>
    </w:tblStylePr>
    <w:tblStylePr w:type="band2Vert">
      <w:rPr>
        <w:rFonts w:ascii="Arial" w:hAnsi="Arial"/>
        <w:color w:val="404040"/>
        <w:sz w:val="22"/>
      </w:rPr>
      <w:tcPr>
        <w:shd w:val="clear" w:color="ffffff" w:themeColor="accent6" w:themeTint="34" w:fill="fde9d8" w:themeFill="accent6" w:themeFillTint="34"/>
      </w:tcPr>
    </w:tblStylePr>
    <w:tblStylePr w:type="firstCol">
      <w:rPr>
        <w:rFonts w:ascii="Arial" w:hAnsi="Arial"/>
        <w:color w:val="f2f2f2"/>
        <w:sz w:val="22"/>
      </w:rPr>
      <w:tcPr>
        <w:shd w:val="clear" w:color="ffffff" w:themeColor="accent6" w:fill="f79646" w:themeFill="accent6"/>
      </w:tcPr>
    </w:tblStylePr>
    <w:tblStylePr w:type="firstRow">
      <w:rPr>
        <w:rFonts w:ascii="Arial" w:hAnsi="Arial"/>
        <w:color w:val="f2f2f2"/>
        <w:sz w:val="22"/>
      </w:rPr>
      <w:tcPr>
        <w:shd w:val="clear" w:color="ffffff" w:themeColor="accent6" w:fill="f79646" w:themeFill="accent6"/>
      </w:tcPr>
    </w:tblStylePr>
    <w:tblStylePr w:type="lastCol">
      <w:rPr>
        <w:rFonts w:ascii="Arial" w:hAnsi="Arial"/>
        <w:color w:val="f2f2f2"/>
        <w:sz w:val="22"/>
      </w:rPr>
      <w:tcPr>
        <w:shd w:val="clear" w:color="ffffff" w:themeColor="accent6" w:fill="f79646" w:themeFill="accent6"/>
      </w:tcPr>
    </w:tblStylePr>
    <w:tblStylePr w:type="lastRow">
      <w:rPr>
        <w:rFonts w:ascii="Arial" w:hAnsi="Arial"/>
        <w:color w:val="f2f2f2"/>
        <w:sz w:val="22"/>
      </w:rPr>
      <w:tcPr>
        <w:shd w:val="clear" w:color="ffffff" w:themeColor="accent6" w:fill="f79646" w:themeFill="accent6"/>
      </w:tcPr>
    </w:tblStylePr>
  </w:style>
  <w:style w:type="table" w:styleId="1215">
    <w:name w:val="Bordered"/>
    <w:basedOn w:val="1235"/>
    <w:uiPriority w:val="99"/>
    <w:pPr>
      <w:spacing w:after="0" w:line="240" w:lineRule="auto"/>
    </w:pPr>
    <w:tblPr>
      <w:tblStyleRowBandSize w:val="1"/>
      <w:tblStyleColBandSize w:val="1"/>
      <w:tblInd w:w="0" w:type="dxa"/>
      <w:tblBorders>
        <w:top w:val="single" w:color="000000" w:themeColor="text1" w:themeTint="26" w:sz="4" w:space="0"/>
        <w:left w:val="single" w:color="000000" w:themeColor="text1" w:themeTint="26" w:sz="4" w:space="0"/>
        <w:bottom w:val="single" w:color="000000" w:themeColor="text1" w:themeTint="26" w:sz="4" w:space="0"/>
        <w:right w:val="single" w:color="000000" w:themeColor="text1" w:themeTint="26" w:sz="4" w:space="0"/>
        <w:insideH w:val="single" w:color="000000" w:themeColor="text1" w:themeTint="26" w:sz="4" w:space="0"/>
        <w:insideV w:val="single" w:color="000000" w:themeColor="text1" w:themeTint="26" w:sz="4" w:space="0"/>
      </w:tblBorders>
    </w:tblPr>
    <w:tblStylePr w:type="band1Horz">
      <w:rPr>
        <w:rFonts w:ascii="Arial" w:hAnsi="Arial"/>
        <w:color w:val="404040"/>
        <w:sz w:val="22"/>
      </w:rPr>
      <w:tcPr>
        <w:tcBorders>
          <w:top w:val="single" w:color="000000" w:themeColor="text1" w:themeTint="26" w:sz="4" w:space="0"/>
          <w:left w:val="single" w:color="000000" w:themeColor="text1" w:themeTint="26" w:sz="4" w:space="0"/>
          <w:bottom w:val="single" w:color="000000" w:themeColor="text1" w:themeTint="26" w:sz="4" w:space="0"/>
          <w:right w:val="single" w:color="000000" w:themeColor="text1" w:themeTint="26"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000000" w:themeColor="text1" w:themeTint="80" w:sz="12" w:space="0"/>
        </w:tcBorders>
      </w:tcPr>
    </w:tblStylePr>
    <w:tblStylePr w:type="lastCol">
      <w:rPr>
        <w:rFonts w:ascii="Arial" w:hAnsi="Arial"/>
        <w:color w:val="404040"/>
        <w:sz w:val="22"/>
      </w:rPr>
      <w:tcPr>
        <w:tcBorders>
          <w:left w:val="single" w:color="000000" w:themeColor="text1" w:themeTint="80" w:sz="12" w:space="0"/>
        </w:tcBorders>
      </w:tcPr>
    </w:tblStylePr>
    <w:tblStylePr w:type="lastRow">
      <w:rPr>
        <w:rFonts w:ascii="Arial" w:hAnsi="Arial"/>
        <w:color w:val="404040"/>
        <w:sz w:val="22"/>
      </w:rPr>
      <w:tcPr>
        <w:tcBorders>
          <w:top w:val="single" w:color="000000" w:themeColor="text1" w:themeTint="80" w:sz="12" w:space="0"/>
        </w:tcBorders>
      </w:tcPr>
    </w:tblStylePr>
  </w:style>
  <w:style w:type="table" w:styleId="1216">
    <w:name w:val="Bordered - Accent 1"/>
    <w:basedOn w:val="1235"/>
    <w:uiPriority w:val="99"/>
    <w:pPr>
      <w:spacing w:after="0" w:line="240" w:lineRule="auto"/>
    </w:pPr>
    <w:tblPr>
      <w:tblStyleRowBandSize w:val="1"/>
      <w:tblStyleColBandSize w:val="1"/>
      <w:tblInd w:w="0" w:type="dxa"/>
      <w:tblBorders>
        <w:top w:val="single" w:color="000000" w:themeColor="accent1" w:themeTint="67" w:sz="4" w:space="0"/>
        <w:left w:val="single" w:color="000000" w:themeColor="accent1" w:themeTint="67" w:sz="4" w:space="0"/>
        <w:bottom w:val="single" w:color="000000" w:themeColor="accent1" w:themeTint="67" w:sz="4" w:space="0"/>
        <w:right w:val="single" w:color="000000" w:themeColor="accent1" w:themeTint="67" w:sz="4" w:space="0"/>
        <w:insideH w:val="single" w:color="000000" w:themeColor="accent1" w:themeTint="67" w:sz="4" w:space="0"/>
        <w:insideV w:val="single" w:color="000000" w:themeColor="accent1" w:themeTint="67" w:sz="4" w:space="0"/>
      </w:tblBorders>
    </w:tblPr>
    <w:tblStylePr w:type="band1Horz">
      <w:rPr>
        <w:rFonts w:ascii="Arial" w:hAnsi="Arial"/>
        <w:color w:val="404040"/>
        <w:sz w:val="22"/>
      </w:rPr>
      <w:tcPr>
        <w:tcBorders>
          <w:top w:val="single" w:color="000000" w:themeColor="accent1" w:themeTint="67" w:sz="4" w:space="0"/>
          <w:left w:val="single" w:color="000000" w:themeColor="accent1" w:themeTint="67" w:sz="4" w:space="0"/>
          <w:bottom w:val="single" w:color="000000" w:themeColor="accent1" w:themeTint="67" w:sz="4" w:space="0"/>
          <w:right w:val="single" w:color="000000" w:themeColor="accent1"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000000" w:themeColor="accent1" w:sz="12" w:space="0"/>
        </w:tcBorders>
      </w:tcPr>
    </w:tblStylePr>
    <w:tblStylePr w:type="lastCol">
      <w:rPr>
        <w:rFonts w:ascii="Arial" w:hAnsi="Arial"/>
        <w:color w:val="404040"/>
        <w:sz w:val="22"/>
      </w:rPr>
      <w:tcPr>
        <w:tcBorders>
          <w:left w:val="single" w:color="000000" w:themeColor="accent1" w:sz="12" w:space="0"/>
        </w:tcBorders>
      </w:tcPr>
    </w:tblStylePr>
    <w:tblStylePr w:type="lastRow">
      <w:rPr>
        <w:rFonts w:ascii="Arial" w:hAnsi="Arial"/>
        <w:color w:val="404040"/>
        <w:sz w:val="22"/>
      </w:rPr>
      <w:tcPr>
        <w:tcBorders>
          <w:top w:val="single" w:color="000000" w:themeColor="accent1" w:sz="12" w:space="0"/>
        </w:tcBorders>
      </w:tcPr>
    </w:tblStylePr>
  </w:style>
  <w:style w:type="table" w:styleId="1217">
    <w:name w:val="Bordered - Accent 2"/>
    <w:basedOn w:val="1235"/>
    <w:uiPriority w:val="99"/>
    <w:pPr>
      <w:spacing w:after="0" w:line="240" w:lineRule="auto"/>
    </w:pPr>
    <w:tblPr>
      <w:tblStyleRowBandSize w:val="1"/>
      <w:tblStyleColBandSize w:val="1"/>
      <w:tblInd w:w="0" w:type="dxa"/>
      <w:tblBorders>
        <w:top w:val="single" w:color="000000" w:themeColor="accent2" w:themeTint="67" w:sz="4" w:space="0"/>
        <w:left w:val="single" w:color="000000" w:themeColor="accent2" w:themeTint="67" w:sz="4" w:space="0"/>
        <w:bottom w:val="single" w:color="000000" w:themeColor="accent2" w:themeTint="67" w:sz="4" w:space="0"/>
        <w:right w:val="single" w:color="000000" w:themeColor="accent2" w:themeTint="67" w:sz="4" w:space="0"/>
        <w:insideH w:val="single" w:color="000000" w:themeColor="accent2" w:themeTint="67" w:sz="4" w:space="0"/>
        <w:insideV w:val="single" w:color="000000" w:themeColor="accent2" w:themeTint="67" w:sz="4" w:space="0"/>
      </w:tblBorders>
    </w:tblPr>
    <w:tblStylePr w:type="band1Horz">
      <w:rPr>
        <w:rFonts w:ascii="Arial" w:hAnsi="Arial"/>
        <w:color w:val="404040"/>
        <w:sz w:val="22"/>
      </w:rPr>
      <w:tcPr>
        <w:tcBorders>
          <w:top w:val="single" w:color="000000" w:themeColor="accent2" w:themeTint="67" w:sz="4" w:space="0"/>
          <w:left w:val="single" w:color="000000" w:themeColor="accent2" w:themeTint="67" w:sz="4" w:space="0"/>
          <w:bottom w:val="single" w:color="000000" w:themeColor="accent2" w:themeTint="67" w:sz="4" w:space="0"/>
          <w:right w:val="single" w:color="000000" w:themeColor="accent2"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000000" w:themeColor="accent2" w:themeTint="97" w:sz="12" w:space="0"/>
        </w:tcBorders>
      </w:tcPr>
    </w:tblStylePr>
    <w:tblStylePr w:type="lastCol">
      <w:rPr>
        <w:rFonts w:ascii="Arial" w:hAnsi="Arial"/>
        <w:color w:val="404040"/>
        <w:sz w:val="22"/>
      </w:rPr>
      <w:tcPr>
        <w:tcBorders>
          <w:left w:val="single" w:color="000000" w:themeColor="accent2" w:themeTint="97" w:sz="12" w:space="0"/>
        </w:tcBorders>
      </w:tcPr>
    </w:tblStylePr>
    <w:tblStylePr w:type="lastRow">
      <w:rPr>
        <w:rFonts w:ascii="Arial" w:hAnsi="Arial"/>
        <w:color w:val="404040"/>
        <w:sz w:val="22"/>
      </w:rPr>
      <w:tcPr>
        <w:tcBorders>
          <w:top w:val="single" w:color="000000" w:themeColor="accent2" w:themeTint="97" w:sz="12" w:space="0"/>
        </w:tcBorders>
      </w:tcPr>
    </w:tblStylePr>
  </w:style>
  <w:style w:type="table" w:styleId="1218">
    <w:name w:val="Bordered - Accent 3"/>
    <w:basedOn w:val="1235"/>
    <w:uiPriority w:val="99"/>
    <w:pPr>
      <w:spacing w:after="0" w:line="240" w:lineRule="auto"/>
    </w:pPr>
    <w:tblPr>
      <w:tblStyleRowBandSize w:val="1"/>
      <w:tblStyleColBandSize w:val="1"/>
      <w:tblInd w:w="0" w:type="dxa"/>
      <w:tblBorders>
        <w:top w:val="single" w:color="000000" w:themeColor="accent3" w:themeTint="67" w:sz="4" w:space="0"/>
        <w:left w:val="single" w:color="000000" w:themeColor="accent3" w:themeTint="67" w:sz="4" w:space="0"/>
        <w:bottom w:val="single" w:color="000000" w:themeColor="accent3" w:themeTint="67" w:sz="4" w:space="0"/>
        <w:right w:val="single" w:color="000000" w:themeColor="accent3" w:themeTint="67" w:sz="4" w:space="0"/>
        <w:insideH w:val="single" w:color="000000" w:themeColor="accent3" w:themeTint="67" w:sz="4" w:space="0"/>
        <w:insideV w:val="single" w:color="000000" w:themeColor="accent3" w:themeTint="67" w:sz="4" w:space="0"/>
      </w:tblBorders>
    </w:tblPr>
    <w:tblStylePr w:type="band1Horz">
      <w:rPr>
        <w:rFonts w:ascii="Arial" w:hAnsi="Arial"/>
        <w:color w:val="404040"/>
        <w:sz w:val="22"/>
      </w:rPr>
      <w:tcPr>
        <w:tcBorders>
          <w:top w:val="single" w:color="000000" w:themeColor="accent3" w:themeTint="67" w:sz="4" w:space="0"/>
          <w:left w:val="single" w:color="000000" w:themeColor="accent3" w:themeTint="67" w:sz="4" w:space="0"/>
          <w:bottom w:val="single" w:color="000000" w:themeColor="accent3" w:themeTint="67" w:sz="4" w:space="0"/>
          <w:right w:val="single" w:color="000000" w:themeColor="accent3"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000000" w:themeColor="accent3" w:themeTint="98" w:sz="12" w:space="0"/>
        </w:tcBorders>
      </w:tcPr>
    </w:tblStylePr>
    <w:tblStylePr w:type="lastCol">
      <w:rPr>
        <w:rFonts w:ascii="Arial" w:hAnsi="Arial"/>
        <w:color w:val="404040"/>
        <w:sz w:val="22"/>
      </w:rPr>
      <w:tcPr>
        <w:tcBorders>
          <w:left w:val="single" w:color="000000" w:themeColor="accent3" w:themeTint="98" w:sz="12" w:space="0"/>
        </w:tcBorders>
      </w:tcPr>
    </w:tblStylePr>
    <w:tblStylePr w:type="lastRow">
      <w:rPr>
        <w:rFonts w:ascii="Arial" w:hAnsi="Arial"/>
        <w:color w:val="404040"/>
        <w:sz w:val="22"/>
      </w:rPr>
      <w:tcPr>
        <w:tcBorders>
          <w:top w:val="single" w:color="000000" w:themeColor="accent3" w:themeTint="98" w:sz="12" w:space="0"/>
        </w:tcBorders>
      </w:tcPr>
    </w:tblStylePr>
  </w:style>
  <w:style w:type="table" w:styleId="1219">
    <w:name w:val="Bordered - Accent 4"/>
    <w:basedOn w:val="1235"/>
    <w:uiPriority w:val="99"/>
    <w:pPr>
      <w:spacing w:after="0" w:line="240" w:lineRule="auto"/>
    </w:pPr>
    <w:tblPr>
      <w:tblStyleRowBandSize w:val="1"/>
      <w:tblStyleColBandSize w:val="1"/>
      <w:tblInd w:w="0" w:type="dxa"/>
      <w:tblBorders>
        <w:top w:val="single" w:color="000000" w:themeColor="accent4" w:themeTint="67" w:sz="4" w:space="0"/>
        <w:left w:val="single" w:color="000000" w:themeColor="accent4" w:themeTint="67" w:sz="4" w:space="0"/>
        <w:bottom w:val="single" w:color="000000" w:themeColor="accent4" w:themeTint="67" w:sz="4" w:space="0"/>
        <w:right w:val="single" w:color="000000" w:themeColor="accent4" w:themeTint="67" w:sz="4" w:space="0"/>
        <w:insideH w:val="single" w:color="000000" w:themeColor="accent4" w:themeTint="67" w:sz="4" w:space="0"/>
        <w:insideV w:val="single" w:color="000000" w:themeColor="accent4" w:themeTint="67" w:sz="4" w:space="0"/>
      </w:tblBorders>
    </w:tblPr>
    <w:tblStylePr w:type="band1Horz">
      <w:rPr>
        <w:rFonts w:ascii="Arial" w:hAnsi="Arial"/>
        <w:color w:val="404040"/>
        <w:sz w:val="22"/>
      </w:rPr>
      <w:tcPr>
        <w:tcBorders>
          <w:top w:val="single" w:color="000000" w:themeColor="accent4" w:themeTint="67" w:sz="4" w:space="0"/>
          <w:left w:val="single" w:color="000000" w:themeColor="accent4" w:themeTint="67" w:sz="4" w:space="0"/>
          <w:bottom w:val="single" w:color="000000" w:themeColor="accent4" w:themeTint="67" w:sz="4" w:space="0"/>
          <w:right w:val="single" w:color="000000" w:themeColor="accent4"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000000" w:themeColor="accent4" w:themeTint="9A" w:sz="12" w:space="0"/>
        </w:tcBorders>
      </w:tcPr>
    </w:tblStylePr>
    <w:tblStylePr w:type="lastCol">
      <w:rPr>
        <w:rFonts w:ascii="Arial" w:hAnsi="Arial"/>
        <w:color w:val="404040"/>
        <w:sz w:val="22"/>
      </w:rPr>
      <w:tcPr>
        <w:tcBorders>
          <w:left w:val="single" w:color="000000" w:themeColor="accent4" w:themeTint="9A" w:sz="12" w:space="0"/>
        </w:tcBorders>
      </w:tcPr>
    </w:tblStylePr>
    <w:tblStylePr w:type="lastRow">
      <w:rPr>
        <w:rFonts w:ascii="Arial" w:hAnsi="Arial"/>
        <w:color w:val="404040"/>
        <w:sz w:val="22"/>
      </w:rPr>
      <w:tcPr>
        <w:tcBorders>
          <w:top w:val="single" w:color="000000" w:themeColor="accent4" w:themeTint="9A" w:sz="12" w:space="0"/>
        </w:tcBorders>
      </w:tcPr>
    </w:tblStylePr>
  </w:style>
  <w:style w:type="table" w:styleId="1220">
    <w:name w:val="Bordered - Accent 5"/>
    <w:basedOn w:val="1235"/>
    <w:uiPriority w:val="99"/>
    <w:pPr>
      <w:spacing w:after="0" w:line="240" w:lineRule="auto"/>
    </w:pPr>
    <w:tblPr>
      <w:tblStyleRowBandSize w:val="1"/>
      <w:tblStyleColBandSize w:val="1"/>
      <w:tblInd w:w="0" w:type="dxa"/>
      <w:tblBorders>
        <w:top w:val="single" w:color="000000" w:themeColor="accent5" w:themeTint="67" w:sz="4" w:space="0"/>
        <w:left w:val="single" w:color="000000" w:themeColor="accent5" w:themeTint="67" w:sz="4" w:space="0"/>
        <w:bottom w:val="single" w:color="000000" w:themeColor="accent5" w:themeTint="67" w:sz="4" w:space="0"/>
        <w:right w:val="single" w:color="000000" w:themeColor="accent5" w:themeTint="67" w:sz="4" w:space="0"/>
        <w:insideH w:val="single" w:color="000000" w:themeColor="accent5" w:themeTint="67" w:sz="4" w:space="0"/>
        <w:insideV w:val="single" w:color="000000" w:themeColor="accent5" w:themeTint="67" w:sz="4" w:space="0"/>
      </w:tblBorders>
    </w:tblPr>
    <w:tblStylePr w:type="band1Horz">
      <w:rPr>
        <w:rFonts w:ascii="Arial" w:hAnsi="Arial"/>
        <w:color w:val="404040"/>
        <w:sz w:val="22"/>
      </w:rPr>
      <w:tcPr>
        <w:tcBorders>
          <w:top w:val="single" w:color="000000" w:themeColor="accent5" w:themeTint="67" w:sz="4" w:space="0"/>
          <w:left w:val="single" w:color="000000" w:themeColor="accent5" w:themeTint="67" w:sz="4" w:space="0"/>
          <w:bottom w:val="single" w:color="000000" w:themeColor="accent5" w:themeTint="67" w:sz="4" w:space="0"/>
          <w:right w:val="single" w:color="000000" w:themeColor="accent5"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000000" w:themeColor="accent5" w:themeTint="9A" w:sz="12" w:space="0"/>
        </w:tcBorders>
      </w:tcPr>
    </w:tblStylePr>
    <w:tblStylePr w:type="lastCol">
      <w:rPr>
        <w:rFonts w:ascii="Arial" w:hAnsi="Arial"/>
        <w:color w:val="404040"/>
        <w:sz w:val="22"/>
      </w:rPr>
      <w:tcPr>
        <w:tcBorders>
          <w:left w:val="single" w:color="000000" w:themeColor="accent5" w:themeTint="9A" w:sz="12" w:space="0"/>
        </w:tcBorders>
      </w:tcPr>
    </w:tblStylePr>
    <w:tblStylePr w:type="lastRow">
      <w:rPr>
        <w:rFonts w:ascii="Arial" w:hAnsi="Arial"/>
        <w:color w:val="404040"/>
        <w:sz w:val="22"/>
      </w:rPr>
      <w:tcPr>
        <w:tcBorders>
          <w:top w:val="single" w:color="000000" w:themeColor="accent5" w:themeTint="9A" w:sz="12" w:space="0"/>
        </w:tcBorders>
      </w:tcPr>
    </w:tblStylePr>
  </w:style>
  <w:style w:type="table" w:styleId="1221">
    <w:name w:val="Bordered - Accent 6"/>
    <w:basedOn w:val="1235"/>
    <w:uiPriority w:val="99"/>
    <w:pPr>
      <w:spacing w:after="0" w:line="240" w:lineRule="auto"/>
    </w:pPr>
    <w:tblPr>
      <w:tblStyleRowBandSize w:val="1"/>
      <w:tblStyleColBandSize w:val="1"/>
      <w:tblInd w:w="0" w:type="dxa"/>
      <w:tblBorders>
        <w:top w:val="single" w:color="000000" w:themeColor="accent6" w:themeTint="67" w:sz="4" w:space="0"/>
        <w:left w:val="single" w:color="000000" w:themeColor="accent6" w:themeTint="67" w:sz="4" w:space="0"/>
        <w:bottom w:val="single" w:color="000000" w:themeColor="accent6" w:themeTint="67" w:sz="4" w:space="0"/>
        <w:right w:val="single" w:color="000000" w:themeColor="accent6" w:themeTint="67" w:sz="4" w:space="0"/>
        <w:insideH w:val="single" w:color="000000" w:themeColor="accent6" w:themeTint="67" w:sz="4" w:space="0"/>
        <w:insideV w:val="single" w:color="000000" w:themeColor="accent6" w:themeTint="67" w:sz="4" w:space="0"/>
      </w:tblBorders>
    </w:tblPr>
    <w:tblStylePr w:type="band1Horz">
      <w:rPr>
        <w:rFonts w:ascii="Arial" w:hAnsi="Arial"/>
        <w:color w:val="404040"/>
        <w:sz w:val="22"/>
      </w:rPr>
      <w:tcPr>
        <w:tcBorders>
          <w:top w:val="single" w:color="000000" w:themeColor="accent6" w:themeTint="67" w:sz="4" w:space="0"/>
          <w:left w:val="single" w:color="000000" w:themeColor="accent6" w:themeTint="67" w:sz="4" w:space="0"/>
          <w:bottom w:val="single" w:color="000000" w:themeColor="accent6" w:themeTint="67" w:sz="4" w:space="0"/>
          <w:right w:val="single" w:color="000000" w:themeColor="accent6"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000000" w:themeColor="accent6" w:themeTint="98" w:sz="12" w:space="0"/>
        </w:tcBorders>
      </w:tcPr>
    </w:tblStylePr>
    <w:tblStylePr w:type="lastCol">
      <w:rPr>
        <w:rFonts w:ascii="Arial" w:hAnsi="Arial"/>
        <w:color w:val="404040"/>
        <w:sz w:val="22"/>
      </w:rPr>
      <w:tcPr>
        <w:tcBorders>
          <w:left w:val="single" w:color="000000" w:themeColor="accent6" w:themeTint="98" w:sz="12" w:space="0"/>
        </w:tcBorders>
      </w:tcPr>
    </w:tblStylePr>
    <w:tblStylePr w:type="lastRow">
      <w:rPr>
        <w:rFonts w:ascii="Arial" w:hAnsi="Arial"/>
        <w:color w:val="404040"/>
        <w:sz w:val="22"/>
      </w:rPr>
      <w:tcPr>
        <w:tcBorders>
          <w:top w:val="single" w:color="000000" w:themeColor="accent6" w:themeTint="98" w:sz="12" w:space="0"/>
        </w:tcBorders>
      </w:tcPr>
    </w:tblStylePr>
  </w:style>
  <w:style w:type="character" w:styleId="1222">
    <w:name w:val="Footnote Text Char"/>
    <w:link w:val="1293"/>
    <w:uiPriority w:val="99"/>
    <w:rPr>
      <w:sz w:val="18"/>
    </w:rPr>
  </w:style>
  <w:style w:type="paragraph" w:styleId="1223">
    <w:name w:val="endnote text"/>
    <w:basedOn w:val="1226"/>
    <w:link w:val="1224"/>
    <w:uiPriority w:val="99"/>
    <w:semiHidden/>
    <w:unhideWhenUsed/>
    <w:pPr>
      <w:spacing w:after="0" w:line="240" w:lineRule="auto"/>
    </w:pPr>
    <w:rPr>
      <w:sz w:val="20"/>
    </w:rPr>
  </w:style>
  <w:style w:type="character" w:styleId="1224">
    <w:name w:val="Endnote Text Char"/>
    <w:link w:val="1223"/>
    <w:uiPriority w:val="99"/>
    <w:rPr>
      <w:sz w:val="20"/>
    </w:rPr>
  </w:style>
  <w:style w:type="character" w:styleId="1225">
    <w:name w:val="endnote reference"/>
    <w:basedOn w:val="1234"/>
    <w:uiPriority w:val="99"/>
    <w:semiHidden/>
    <w:unhideWhenUsed/>
    <w:rPr>
      <w:vertAlign w:val="superscript"/>
    </w:rPr>
  </w:style>
  <w:style w:type="paragraph" w:styleId="1226" w:default="1">
    <w:name w:val="Normal"/>
    <w:uiPriority w:val="1"/>
    <w:qFormat/>
    <w:rPr>
      <w:rFonts w:ascii="Times New Roman" w:hAnsi="Times New Roman" w:eastAsia="Times New Roman" w:cs="Times New Roman"/>
      <w:lang w:val="ru-RU"/>
    </w:rPr>
  </w:style>
  <w:style w:type="paragraph" w:styleId="1227">
    <w:name w:val="Heading 1"/>
    <w:basedOn w:val="1226"/>
    <w:next w:val="1226"/>
    <w:link w:val="1254"/>
    <w:uiPriority w:val="9"/>
    <w:qFormat/>
    <w:pPr>
      <w:numPr>
        <w:ilvl w:val="0"/>
        <w:numId w:val="16"/>
      </w:numPr>
      <w:ind w:firstLine="709"/>
      <w:jc w:val="both"/>
      <w:keepLines/>
      <w:keepNext/>
      <w:pageBreakBefore/>
      <w:spacing w:after="120"/>
      <w:widowControl/>
      <w:outlineLvl w:val="0"/>
    </w:pPr>
    <w:rPr>
      <w:rFonts w:eastAsiaTheme="majorEastAsia" w:cstheme="majorBidi"/>
      <w:b/>
      <w:bCs/>
      <w:sz w:val="24"/>
      <w:szCs w:val="28"/>
    </w:rPr>
  </w:style>
  <w:style w:type="paragraph" w:styleId="1228">
    <w:name w:val="Heading 2"/>
    <w:basedOn w:val="1226"/>
    <w:next w:val="1226"/>
    <w:link w:val="1255"/>
    <w:uiPriority w:val="9"/>
    <w:unhideWhenUsed/>
    <w:qFormat/>
    <w:pPr>
      <w:numPr>
        <w:ilvl w:val="1"/>
        <w:numId w:val="16"/>
      </w:numPr>
      <w:ind w:firstLine="709"/>
      <w:jc w:val="both"/>
      <w:keepLines/>
      <w:keepNext/>
      <w:spacing w:after="120"/>
      <w:outlineLvl w:val="1"/>
    </w:pPr>
    <w:rPr>
      <w:rFonts w:eastAsiaTheme="majorEastAsia" w:cstheme="majorBidi"/>
      <w:b/>
      <w:bCs/>
      <w:sz w:val="24"/>
      <w:szCs w:val="26"/>
    </w:rPr>
  </w:style>
  <w:style w:type="paragraph" w:styleId="1229">
    <w:name w:val="Heading 3"/>
    <w:basedOn w:val="1226"/>
    <w:next w:val="1226"/>
    <w:link w:val="1256"/>
    <w:uiPriority w:val="9"/>
    <w:unhideWhenUsed/>
    <w:qFormat/>
    <w:pPr>
      <w:numPr>
        <w:ilvl w:val="2"/>
        <w:numId w:val="16"/>
      </w:numPr>
      <w:ind w:firstLine="709"/>
      <w:jc w:val="both"/>
      <w:keepLines/>
      <w:keepNext/>
      <w:spacing w:before="120" w:after="120"/>
      <w:widowControl/>
      <w:outlineLvl w:val="2"/>
    </w:pPr>
    <w:rPr>
      <w:rFonts w:eastAsiaTheme="majorEastAsia"/>
      <w:b/>
      <w:bCs/>
      <w:sz w:val="24"/>
    </w:rPr>
  </w:style>
  <w:style w:type="paragraph" w:styleId="1230">
    <w:name w:val="Heading 4"/>
    <w:basedOn w:val="1226"/>
    <w:next w:val="1226"/>
    <w:link w:val="1303"/>
    <w:uiPriority w:val="9"/>
    <w:semiHidden/>
    <w:unhideWhenUsed/>
    <w:qFormat/>
    <w:pPr>
      <w:keepLines/>
      <w:keepNext/>
      <w:spacing w:before="40"/>
      <w:outlineLvl w:val="3"/>
    </w:pPr>
    <w:rPr>
      <w:rFonts w:asciiTheme="majorHAnsi" w:hAnsiTheme="majorHAnsi" w:eastAsiaTheme="majorEastAsia" w:cstheme="majorBidi"/>
      <w:i/>
      <w:iCs/>
      <w:color w:val="365f91" w:themeColor="accent1" w:themeShade="BF"/>
    </w:rPr>
  </w:style>
  <w:style w:type="paragraph" w:styleId="1231">
    <w:name w:val="Heading 5"/>
    <w:basedOn w:val="1226"/>
    <w:next w:val="1226"/>
    <w:link w:val="1291"/>
    <w:uiPriority w:val="9"/>
    <w:semiHidden/>
    <w:unhideWhenUsed/>
    <w:qFormat/>
    <w:pPr>
      <w:keepLines/>
      <w:keepNext/>
      <w:spacing w:before="40"/>
      <w:outlineLvl w:val="4"/>
    </w:pPr>
    <w:rPr>
      <w:rFonts w:asciiTheme="majorHAnsi" w:hAnsiTheme="majorHAnsi" w:eastAsiaTheme="majorEastAsia" w:cstheme="majorBidi"/>
      <w:color w:val="365f91" w:themeColor="accent1" w:themeShade="BF"/>
    </w:rPr>
  </w:style>
  <w:style w:type="paragraph" w:styleId="1232">
    <w:name w:val="Heading 6"/>
    <w:basedOn w:val="1226"/>
    <w:next w:val="1226"/>
    <w:link w:val="1301"/>
    <w:uiPriority w:val="9"/>
    <w:semiHidden/>
    <w:unhideWhenUsed/>
    <w:qFormat/>
    <w:pPr>
      <w:keepLines/>
      <w:keepNext/>
      <w:spacing w:before="40"/>
      <w:outlineLvl w:val="5"/>
    </w:pPr>
    <w:rPr>
      <w:rFonts w:asciiTheme="majorHAnsi" w:hAnsiTheme="majorHAnsi" w:eastAsiaTheme="majorEastAsia" w:cstheme="majorBidi"/>
      <w:color w:val="243f60" w:themeColor="accent1" w:themeShade="7F"/>
    </w:rPr>
  </w:style>
  <w:style w:type="paragraph" w:styleId="1233">
    <w:name w:val="Heading 9"/>
    <w:basedOn w:val="1226"/>
    <w:next w:val="1226"/>
    <w:link w:val="1287"/>
    <w:uiPriority w:val="9"/>
    <w:semiHidden/>
    <w:unhideWhenUsed/>
    <w:qFormat/>
    <w:pPr>
      <w:keepLines/>
      <w:keepNext/>
      <w:spacing w:before="40"/>
      <w:outlineLvl w:val="8"/>
    </w:pPr>
    <w:rPr>
      <w:rFonts w:asciiTheme="majorHAnsi" w:hAnsiTheme="majorHAnsi" w:eastAsiaTheme="majorEastAsia" w:cstheme="majorBidi"/>
      <w:i/>
      <w:iCs/>
      <w:color w:val="272727" w:themeColor="text1" w:themeTint="D8"/>
      <w:sz w:val="21"/>
      <w:szCs w:val="21"/>
    </w:rPr>
  </w:style>
  <w:style w:type="character" w:styleId="1234" w:default="1">
    <w:name w:val="Default Paragraph Font"/>
    <w:uiPriority w:val="1"/>
    <w:unhideWhenUsed/>
  </w:style>
  <w:style w:type="table" w:styleId="1235" w:default="1">
    <w:name w:val="Normal Table"/>
    <w:uiPriority w:val="99"/>
    <w:semiHidden/>
    <w:unhideWhenUsed/>
    <w:tblPr>
      <w:tblInd w:w="0" w:type="dxa"/>
      <w:tblCellMar>
        <w:left w:w="108" w:type="dxa"/>
        <w:top w:w="0" w:type="dxa"/>
        <w:right w:w="108" w:type="dxa"/>
        <w:bottom w:w="0" w:type="dxa"/>
      </w:tblCellMar>
    </w:tblPr>
  </w:style>
  <w:style w:type="numbering" w:styleId="1236" w:default="1">
    <w:name w:val="No List"/>
    <w:uiPriority w:val="99"/>
    <w:semiHidden/>
    <w:unhideWhenUsed/>
  </w:style>
  <w:style w:type="table" w:styleId="1237" w:customStyle="1">
    <w:name w:val="Table Normal"/>
    <w:uiPriority w:val="2"/>
    <w:semiHidden/>
    <w:unhideWhenUsed/>
    <w:qFormat/>
    <w:tblPr>
      <w:tblInd w:w="0" w:type="dxa"/>
      <w:tblCellMar>
        <w:left w:w="0" w:type="dxa"/>
        <w:top w:w="0" w:type="dxa"/>
        <w:right w:w="0" w:type="dxa"/>
        <w:bottom w:w="0" w:type="dxa"/>
      </w:tblCellMar>
    </w:tblPr>
  </w:style>
  <w:style w:type="paragraph" w:styleId="1238" w:customStyle="1">
    <w:name w:val="Оглавление 11"/>
    <w:basedOn w:val="1226"/>
    <w:uiPriority w:val="1"/>
    <w:qFormat/>
    <w:pPr>
      <w:ind w:left="118"/>
      <w:jc w:val="both"/>
      <w:spacing w:before="61"/>
    </w:pPr>
    <w:rPr>
      <w:sz w:val="20"/>
      <w:szCs w:val="20"/>
    </w:rPr>
  </w:style>
  <w:style w:type="paragraph" w:styleId="1239" w:customStyle="1">
    <w:name w:val="Оглавление 21"/>
    <w:basedOn w:val="1226"/>
    <w:uiPriority w:val="1"/>
    <w:qFormat/>
    <w:pPr>
      <w:ind w:left="162"/>
      <w:jc w:val="both"/>
      <w:spacing w:before="1"/>
    </w:pPr>
    <w:rPr>
      <w:sz w:val="20"/>
      <w:szCs w:val="20"/>
    </w:rPr>
  </w:style>
  <w:style w:type="paragraph" w:styleId="1240" w:customStyle="1">
    <w:name w:val="Оглавление 31"/>
    <w:basedOn w:val="1226"/>
    <w:uiPriority w:val="1"/>
    <w:qFormat/>
    <w:pPr>
      <w:ind w:left="118" w:right="112" w:firstLine="576"/>
      <w:jc w:val="both"/>
      <w:spacing w:before="60"/>
    </w:pPr>
    <w:rPr>
      <w:sz w:val="20"/>
      <w:szCs w:val="20"/>
    </w:rPr>
  </w:style>
  <w:style w:type="paragraph" w:styleId="1241" w:customStyle="1">
    <w:name w:val="Оглавление 41"/>
    <w:basedOn w:val="1226"/>
    <w:uiPriority w:val="1"/>
    <w:qFormat/>
    <w:pPr>
      <w:ind w:left="118"/>
      <w:jc w:val="both"/>
      <w:spacing w:before="61"/>
    </w:pPr>
    <w:rPr>
      <w:sz w:val="20"/>
      <w:szCs w:val="20"/>
    </w:rPr>
  </w:style>
  <w:style w:type="paragraph" w:styleId="1242" w:customStyle="1">
    <w:name w:val="Оглавление 51"/>
    <w:basedOn w:val="1226"/>
    <w:uiPriority w:val="1"/>
    <w:qFormat/>
    <w:pPr>
      <w:ind w:left="118" w:right="112"/>
      <w:jc w:val="both"/>
      <w:spacing w:before="61"/>
    </w:pPr>
    <w:rPr>
      <w:sz w:val="20"/>
      <w:szCs w:val="20"/>
    </w:rPr>
  </w:style>
  <w:style w:type="paragraph" w:styleId="1243" w:customStyle="1">
    <w:name w:val="Оглавление 61"/>
    <w:basedOn w:val="1226"/>
    <w:uiPriority w:val="1"/>
    <w:qFormat/>
    <w:pPr>
      <w:ind w:left="118" w:right="112" w:firstLine="751"/>
      <w:jc w:val="both"/>
      <w:spacing w:before="59"/>
    </w:pPr>
    <w:rPr>
      <w:sz w:val="20"/>
      <w:szCs w:val="20"/>
    </w:rPr>
  </w:style>
  <w:style w:type="paragraph" w:styleId="1244" w:customStyle="1">
    <w:name w:val="Оглавление 71"/>
    <w:basedOn w:val="1226"/>
    <w:uiPriority w:val="1"/>
    <w:qFormat/>
    <w:pPr>
      <w:ind w:left="118" w:right="112" w:firstLine="832"/>
      <w:jc w:val="both"/>
      <w:spacing w:before="58"/>
    </w:pPr>
    <w:rPr>
      <w:sz w:val="20"/>
      <w:szCs w:val="20"/>
    </w:rPr>
  </w:style>
  <w:style w:type="paragraph" w:styleId="1245" w:customStyle="1">
    <w:name w:val="Оглавление 81"/>
    <w:basedOn w:val="1226"/>
    <w:uiPriority w:val="1"/>
    <w:qFormat/>
    <w:pPr>
      <w:ind w:left="118"/>
      <w:jc w:val="both"/>
      <w:spacing w:before="61"/>
    </w:pPr>
    <w:rPr>
      <w:sz w:val="20"/>
      <w:szCs w:val="20"/>
    </w:rPr>
  </w:style>
  <w:style w:type="paragraph" w:styleId="1246" w:customStyle="1">
    <w:name w:val="Оглавление 91"/>
    <w:basedOn w:val="1226"/>
    <w:uiPriority w:val="1"/>
    <w:qFormat/>
    <w:pPr>
      <w:ind w:left="118" w:right="112"/>
      <w:jc w:val="both"/>
      <w:spacing w:before="61"/>
    </w:pPr>
    <w:rPr>
      <w:sz w:val="20"/>
      <w:szCs w:val="20"/>
    </w:rPr>
  </w:style>
  <w:style w:type="paragraph" w:styleId="1247">
    <w:name w:val="Body Text"/>
    <w:basedOn w:val="1226"/>
    <w:link w:val="1283"/>
    <w:uiPriority w:val="1"/>
    <w:qFormat/>
    <w:rPr>
      <w:sz w:val="24"/>
      <w:szCs w:val="24"/>
    </w:rPr>
  </w:style>
  <w:style w:type="paragraph" w:styleId="1248" w:customStyle="1">
    <w:name w:val="Заголовок 11"/>
    <w:basedOn w:val="1226"/>
    <w:uiPriority w:val="1"/>
    <w:qFormat/>
    <w:pPr>
      <w:ind w:left="118"/>
      <w:jc w:val="both"/>
      <w:spacing w:before="90"/>
      <w:outlineLvl w:val="1"/>
    </w:pPr>
    <w:rPr>
      <w:b/>
      <w:bCs/>
      <w:sz w:val="24"/>
      <w:szCs w:val="24"/>
    </w:rPr>
  </w:style>
  <w:style w:type="paragraph" w:styleId="1249">
    <w:name w:val="Title"/>
    <w:basedOn w:val="1226"/>
    <w:link w:val="1284"/>
    <w:uiPriority w:val="1"/>
    <w:qFormat/>
    <w:pPr>
      <w:ind w:left="277" w:right="73"/>
      <w:jc w:val="center"/>
      <w:spacing w:before="1"/>
    </w:pPr>
    <w:rPr>
      <w:b/>
      <w:bCs/>
      <w:sz w:val="40"/>
      <w:szCs w:val="40"/>
    </w:rPr>
  </w:style>
  <w:style w:type="paragraph" w:styleId="1250">
    <w:name w:val="List Paragraph"/>
    <w:basedOn w:val="1226"/>
    <w:uiPriority w:val="34"/>
    <w:qFormat/>
    <w:pPr>
      <w:ind w:left="966" w:hanging="140"/>
      <w:jc w:val="both"/>
    </w:pPr>
  </w:style>
  <w:style w:type="paragraph" w:styleId="1251" w:customStyle="1">
    <w:name w:val="Table Paragraph"/>
    <w:basedOn w:val="1226"/>
    <w:uiPriority w:val="1"/>
    <w:qFormat/>
    <w:pPr>
      <w:jc w:val="center"/>
    </w:pPr>
  </w:style>
  <w:style w:type="paragraph" w:styleId="1252">
    <w:name w:val="Balloon Text"/>
    <w:basedOn w:val="1226"/>
    <w:link w:val="1253"/>
    <w:uiPriority w:val="99"/>
    <w:semiHidden/>
    <w:unhideWhenUsed/>
    <w:rPr>
      <w:rFonts w:ascii="Tahoma" w:hAnsi="Tahoma" w:cs="Tahoma"/>
      <w:sz w:val="16"/>
      <w:szCs w:val="16"/>
    </w:rPr>
  </w:style>
  <w:style w:type="character" w:styleId="1253" w:customStyle="1">
    <w:name w:val="Текст выноски Знак"/>
    <w:basedOn w:val="1234"/>
    <w:link w:val="1252"/>
    <w:uiPriority w:val="99"/>
    <w:semiHidden/>
    <w:rPr>
      <w:rFonts w:ascii="Tahoma" w:hAnsi="Tahoma" w:eastAsia="Times New Roman" w:cs="Tahoma"/>
      <w:sz w:val="16"/>
      <w:szCs w:val="16"/>
      <w:lang w:val="ru-RU"/>
    </w:rPr>
  </w:style>
  <w:style w:type="character" w:styleId="1254" w:customStyle="1">
    <w:name w:val="Заголовок 1 Знак"/>
    <w:basedOn w:val="1234"/>
    <w:link w:val="1227"/>
    <w:uiPriority w:val="9"/>
    <w:rPr>
      <w:rFonts w:ascii="Times New Roman" w:hAnsi="Times New Roman" w:eastAsiaTheme="majorEastAsia" w:cstheme="majorBidi"/>
      <w:b/>
      <w:bCs/>
      <w:sz w:val="24"/>
      <w:szCs w:val="28"/>
      <w:lang w:val="ru-RU"/>
    </w:rPr>
  </w:style>
  <w:style w:type="character" w:styleId="1255" w:customStyle="1">
    <w:name w:val="Заголовок 2 Знак"/>
    <w:basedOn w:val="1234"/>
    <w:link w:val="1228"/>
    <w:uiPriority w:val="9"/>
    <w:rPr>
      <w:rFonts w:ascii="Times New Roman" w:hAnsi="Times New Roman" w:eastAsiaTheme="majorEastAsia" w:cstheme="majorBidi"/>
      <w:b/>
      <w:bCs/>
      <w:sz w:val="24"/>
      <w:szCs w:val="26"/>
      <w:lang w:val="ru-RU"/>
    </w:rPr>
  </w:style>
  <w:style w:type="character" w:styleId="1256" w:customStyle="1">
    <w:name w:val="Заголовок 3 Знак"/>
    <w:basedOn w:val="1234"/>
    <w:link w:val="1229"/>
    <w:uiPriority w:val="9"/>
    <w:rPr>
      <w:rFonts w:ascii="Times New Roman" w:hAnsi="Times New Roman" w:cs="Times New Roman" w:eastAsiaTheme="majorEastAsia"/>
      <w:b/>
      <w:bCs/>
      <w:sz w:val="24"/>
      <w:lang w:val="ru-RU"/>
    </w:rPr>
  </w:style>
  <w:style w:type="table" w:styleId="1257">
    <w:name w:val="Table Grid"/>
    <w:basedOn w:val="1235"/>
    <w:uiPriority w:val="59"/>
    <w:pPr>
      <w:jc w:val="center"/>
      <w:widowControl/>
    </w:pPr>
    <w:rPr>
      <w:rFonts w:ascii="Times New Roman" w:hAnsi="Times New Roman"/>
      <w:sz w:val="20"/>
      <w:lang w:val="ru-RU"/>
    </w:rPr>
    <w:tblPr>
      <w:jc w:val="center"/>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left w:w="108" w:type="dxa"/>
        <w:top w:w="0" w:type="dxa"/>
        <w:right w:w="108" w:type="dxa"/>
        <w:bottom w:w="0" w:type="dxa"/>
      </w:tblCellMar>
    </w:tblPr>
    <w:trPr>
      <w:jc w:val="center"/>
    </w:trPr>
    <w:tcPr>
      <w:vAlign w:val="center"/>
    </w:tcPr>
  </w:style>
  <w:style w:type="table" w:styleId="1258" w:customStyle="1">
    <w:name w:val="ТАБЛИЦА ДЛЯ ЗАПИСОК1"/>
    <w:basedOn w:val="1235"/>
    <w:next w:val="1257"/>
    <w:uiPriority w:val="59"/>
    <w:pPr>
      <w:jc w:val="center"/>
      <w:widowControl/>
    </w:pPr>
    <w:rPr>
      <w:rFonts w:ascii="Times New Roman" w:hAnsi="Times New Roman"/>
      <w:sz w:val="20"/>
      <w:lang w:val="ru-RU"/>
    </w:rPr>
    <w:tblPr>
      <w:jc w:val="center"/>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left w:w="108" w:type="dxa"/>
        <w:top w:w="0" w:type="dxa"/>
        <w:right w:w="108" w:type="dxa"/>
        <w:bottom w:w="0" w:type="dxa"/>
      </w:tblCellMar>
    </w:tblPr>
    <w:trPr>
      <w:jc w:val="center"/>
    </w:trPr>
    <w:tcPr>
      <w:vAlign w:val="center"/>
    </w:tcPr>
  </w:style>
  <w:style w:type="paragraph" w:styleId="1259">
    <w:name w:val="Header"/>
    <w:basedOn w:val="1226"/>
    <w:link w:val="1260"/>
    <w:unhideWhenUsed/>
    <w:pPr>
      <w:ind w:firstLine="709"/>
      <w:jc w:val="both"/>
      <w:tabs>
        <w:tab w:val="center" w:pos="4677" w:leader="none"/>
        <w:tab w:val="right" w:pos="9355" w:leader="none"/>
      </w:tabs>
    </w:pPr>
    <w:rPr>
      <w:rFonts w:eastAsiaTheme="minorHAnsi" w:cstheme="minorBidi"/>
      <w:sz w:val="24"/>
    </w:rPr>
  </w:style>
  <w:style w:type="character" w:styleId="1260" w:customStyle="1">
    <w:name w:val="Верхний колонтитул Знак"/>
    <w:basedOn w:val="1234"/>
    <w:link w:val="1259"/>
    <w:uiPriority w:val="99"/>
    <w:rPr>
      <w:rFonts w:ascii="Times New Roman" w:hAnsi="Times New Roman"/>
      <w:sz w:val="24"/>
      <w:lang w:val="ru-RU"/>
    </w:rPr>
  </w:style>
  <w:style w:type="paragraph" w:styleId="1261">
    <w:name w:val="Footer"/>
    <w:basedOn w:val="1226"/>
    <w:link w:val="1262"/>
    <w:unhideWhenUsed/>
    <w:pPr>
      <w:ind w:firstLine="709"/>
      <w:jc w:val="right"/>
      <w:tabs>
        <w:tab w:val="center" w:pos="4677" w:leader="none"/>
        <w:tab w:val="right" w:pos="9355" w:leader="none"/>
      </w:tabs>
    </w:pPr>
    <w:rPr>
      <w:rFonts w:eastAsiaTheme="minorHAnsi" w:cstheme="minorBidi"/>
    </w:rPr>
  </w:style>
  <w:style w:type="character" w:styleId="1262" w:customStyle="1">
    <w:name w:val="Нижний колонтитул Знак"/>
    <w:basedOn w:val="1234"/>
    <w:link w:val="1261"/>
    <w:qFormat/>
    <w:rPr>
      <w:rFonts w:ascii="Times New Roman" w:hAnsi="Times New Roman"/>
      <w:lang w:val="ru-RU"/>
    </w:rPr>
  </w:style>
  <w:style w:type="paragraph" w:styleId="1263">
    <w:name w:val="TOC Heading"/>
    <w:basedOn w:val="1227"/>
    <w:next w:val="1226"/>
    <w:uiPriority w:val="39"/>
    <w:unhideWhenUsed/>
    <w:pPr>
      <w:numPr>
        <w:ilvl w:val="0"/>
        <w:numId w:val="0"/>
      </w:numPr>
      <w:jc w:val="left"/>
      <w:pageBreakBefore w:val="0"/>
      <w:spacing w:before="240" w:after="0" w:line="259" w:lineRule="auto"/>
      <w:outlineLvl w:val="9"/>
    </w:pPr>
    <w:rPr>
      <w:rFonts w:asciiTheme="majorHAnsi" w:hAnsiTheme="majorHAnsi"/>
      <w:b w:val="0"/>
      <w:bCs w:val="0"/>
      <w:color w:val="365f91" w:themeColor="accent1" w:themeShade="BF"/>
      <w:sz w:val="32"/>
      <w:szCs w:val="32"/>
      <w:lang w:eastAsia="ru-RU"/>
    </w:rPr>
  </w:style>
  <w:style w:type="paragraph" w:styleId="1264">
    <w:name w:val="toc 1"/>
    <w:basedOn w:val="1226"/>
    <w:next w:val="1226"/>
    <w:uiPriority w:val="39"/>
    <w:unhideWhenUsed/>
    <w:pPr>
      <w:jc w:val="both"/>
      <w:spacing w:before="60" w:after="60"/>
      <w:widowControl/>
    </w:pPr>
    <w:rPr>
      <w:rFonts w:eastAsiaTheme="minorHAnsi" w:cstheme="minorBidi"/>
      <w:sz w:val="20"/>
    </w:rPr>
  </w:style>
  <w:style w:type="paragraph" w:styleId="1265">
    <w:name w:val="toc 2"/>
    <w:basedOn w:val="1226"/>
    <w:next w:val="1226"/>
    <w:uiPriority w:val="39"/>
    <w:unhideWhenUsed/>
    <w:pPr>
      <w:ind w:firstLine="284"/>
      <w:jc w:val="both"/>
      <w:spacing w:before="60" w:after="60"/>
      <w:widowControl/>
    </w:pPr>
    <w:rPr>
      <w:rFonts w:eastAsiaTheme="minorHAnsi" w:cstheme="minorBidi"/>
      <w:sz w:val="20"/>
    </w:rPr>
  </w:style>
  <w:style w:type="paragraph" w:styleId="1266">
    <w:name w:val="toc 3"/>
    <w:basedOn w:val="1226"/>
    <w:next w:val="1226"/>
    <w:uiPriority w:val="39"/>
    <w:unhideWhenUsed/>
    <w:pPr>
      <w:ind w:firstLine="567"/>
      <w:jc w:val="both"/>
      <w:spacing w:before="60" w:after="60"/>
      <w:widowControl/>
    </w:pPr>
    <w:rPr>
      <w:rFonts w:eastAsiaTheme="minorHAnsi" w:cstheme="minorBidi"/>
      <w:sz w:val="20"/>
    </w:rPr>
  </w:style>
  <w:style w:type="character" w:styleId="1267">
    <w:name w:val="Hyperlink"/>
    <w:basedOn w:val="1234"/>
    <w:uiPriority w:val="99"/>
    <w:unhideWhenUsed/>
    <w:rPr>
      <w:color w:val="0000ff" w:themeColor="hyperlink"/>
      <w:u w:val="single"/>
    </w:rPr>
  </w:style>
  <w:style w:type="paragraph" w:styleId="1268">
    <w:name w:val="toc 4"/>
    <w:basedOn w:val="1226"/>
    <w:next w:val="1226"/>
    <w:uiPriority w:val="39"/>
    <w:unhideWhenUsed/>
    <w:pPr>
      <w:ind w:left="660"/>
      <w:spacing w:after="100" w:line="259" w:lineRule="auto"/>
      <w:widowControl/>
    </w:pPr>
    <w:rPr>
      <w:rFonts w:asciiTheme="minorHAnsi" w:hAnsiTheme="minorHAnsi" w:eastAsiaTheme="minorEastAsia" w:cstheme="minorBidi"/>
      <w:lang w:eastAsia="ru-RU"/>
    </w:rPr>
  </w:style>
  <w:style w:type="paragraph" w:styleId="1269">
    <w:name w:val="toc 5"/>
    <w:basedOn w:val="1226"/>
    <w:next w:val="1226"/>
    <w:uiPriority w:val="39"/>
    <w:unhideWhenUsed/>
    <w:pPr>
      <w:ind w:left="880"/>
      <w:spacing w:after="100" w:line="259" w:lineRule="auto"/>
      <w:widowControl/>
    </w:pPr>
    <w:rPr>
      <w:rFonts w:asciiTheme="minorHAnsi" w:hAnsiTheme="minorHAnsi" w:eastAsiaTheme="minorEastAsia" w:cstheme="minorBidi"/>
      <w:lang w:eastAsia="ru-RU"/>
    </w:rPr>
  </w:style>
  <w:style w:type="paragraph" w:styleId="1270">
    <w:name w:val="toc 6"/>
    <w:basedOn w:val="1226"/>
    <w:next w:val="1226"/>
    <w:uiPriority w:val="39"/>
    <w:unhideWhenUsed/>
    <w:pPr>
      <w:ind w:left="1100"/>
      <w:spacing w:after="100" w:line="259" w:lineRule="auto"/>
      <w:widowControl/>
    </w:pPr>
    <w:rPr>
      <w:rFonts w:asciiTheme="minorHAnsi" w:hAnsiTheme="minorHAnsi" w:eastAsiaTheme="minorEastAsia" w:cstheme="minorBidi"/>
      <w:lang w:eastAsia="ru-RU"/>
    </w:rPr>
  </w:style>
  <w:style w:type="paragraph" w:styleId="1271">
    <w:name w:val="toc 7"/>
    <w:basedOn w:val="1226"/>
    <w:next w:val="1226"/>
    <w:uiPriority w:val="39"/>
    <w:unhideWhenUsed/>
    <w:pPr>
      <w:ind w:left="1320"/>
      <w:spacing w:after="100" w:line="259" w:lineRule="auto"/>
      <w:widowControl/>
    </w:pPr>
    <w:rPr>
      <w:rFonts w:asciiTheme="minorHAnsi" w:hAnsiTheme="minorHAnsi" w:eastAsiaTheme="minorEastAsia" w:cstheme="minorBidi"/>
      <w:lang w:eastAsia="ru-RU"/>
    </w:rPr>
  </w:style>
  <w:style w:type="paragraph" w:styleId="1272">
    <w:name w:val="toc 8"/>
    <w:basedOn w:val="1226"/>
    <w:next w:val="1226"/>
    <w:uiPriority w:val="39"/>
    <w:unhideWhenUsed/>
    <w:pPr>
      <w:ind w:left="1540"/>
      <w:spacing w:after="100" w:line="259" w:lineRule="auto"/>
      <w:widowControl/>
    </w:pPr>
    <w:rPr>
      <w:rFonts w:asciiTheme="minorHAnsi" w:hAnsiTheme="minorHAnsi" w:eastAsiaTheme="minorEastAsia" w:cstheme="minorBidi"/>
      <w:lang w:eastAsia="ru-RU"/>
    </w:rPr>
  </w:style>
  <w:style w:type="paragraph" w:styleId="1273">
    <w:name w:val="toc 9"/>
    <w:basedOn w:val="1226"/>
    <w:next w:val="1226"/>
    <w:uiPriority w:val="39"/>
    <w:unhideWhenUsed/>
    <w:pPr>
      <w:ind w:left="1760"/>
      <w:spacing w:after="100" w:line="259" w:lineRule="auto"/>
      <w:widowControl/>
    </w:pPr>
    <w:rPr>
      <w:rFonts w:asciiTheme="minorHAnsi" w:hAnsiTheme="minorHAnsi" w:eastAsiaTheme="minorEastAsia" w:cstheme="minorBidi"/>
      <w:lang w:eastAsia="ru-RU"/>
    </w:rPr>
  </w:style>
  <w:style w:type="paragraph" w:styleId="1274">
    <w:name w:val="Caption"/>
    <w:basedOn w:val="1226"/>
    <w:next w:val="1226"/>
    <w:link w:val="1292"/>
    <w:unhideWhenUsed/>
    <w:qFormat/>
    <w:pPr>
      <w:jc w:val="center"/>
      <w:spacing w:before="120" w:after="120"/>
      <w:widowControl/>
    </w:pPr>
    <w:rPr>
      <w:rFonts w:eastAsiaTheme="minorHAnsi" w:cstheme="minorBidi"/>
      <w:b/>
      <w:iCs/>
      <w:sz w:val="20"/>
      <w:szCs w:val="18"/>
    </w:rPr>
  </w:style>
  <w:style w:type="paragraph" w:styleId="1275">
    <w:name w:val="table of figures"/>
    <w:basedOn w:val="1226"/>
    <w:next w:val="1226"/>
    <w:uiPriority w:val="99"/>
    <w:unhideWhenUsed/>
    <w:pPr>
      <w:ind w:firstLine="709"/>
      <w:jc w:val="both"/>
      <w:spacing w:before="60" w:after="60"/>
      <w:widowControl/>
    </w:pPr>
    <w:rPr>
      <w:rFonts w:eastAsiaTheme="minorHAnsi" w:cstheme="minorBidi"/>
      <w:sz w:val="20"/>
    </w:rPr>
  </w:style>
  <w:style w:type="paragraph" w:styleId="1276" w:customStyle="1">
    <w:name w:val="Style1098"/>
    <w:basedOn w:val="1226"/>
    <w:pPr>
      <w:jc w:val="center"/>
      <w:spacing w:line="278" w:lineRule="exact"/>
      <w:widowControl/>
    </w:pPr>
    <w:rPr>
      <w:sz w:val="20"/>
      <w:szCs w:val="20"/>
      <w:lang w:eastAsia="ru-RU"/>
    </w:rPr>
  </w:style>
  <w:style w:type="character" w:styleId="1277" w:customStyle="1">
    <w:name w:val="CharStyle384"/>
    <w:basedOn w:val="1234"/>
    <w:rPr>
      <w:rFonts w:ascii="Times New Roman" w:hAnsi="Times New Roman" w:eastAsia="Times New Roman" w:cs="Times New Roman"/>
      <w:b w:val="0"/>
      <w:bCs w:val="0"/>
      <w:i w:val="0"/>
      <w:iCs w:val="0"/>
      <w:smallCaps w:val="0"/>
      <w:sz w:val="22"/>
      <w:szCs w:val="22"/>
    </w:rPr>
  </w:style>
  <w:style w:type="paragraph" w:styleId="1278" w:customStyle="1">
    <w:name w:val="Style3087"/>
    <w:basedOn w:val="1226"/>
    <w:pPr>
      <w:spacing w:line="259" w:lineRule="exact"/>
      <w:widowControl/>
    </w:pPr>
    <w:rPr>
      <w:sz w:val="20"/>
      <w:szCs w:val="20"/>
      <w:lang w:eastAsia="ru-RU"/>
    </w:rPr>
  </w:style>
  <w:style w:type="paragraph" w:styleId="1279" w:customStyle="1">
    <w:name w:val="Style1375"/>
    <w:basedOn w:val="1226"/>
    <w:pPr>
      <w:jc w:val="right"/>
      <w:widowControl/>
    </w:pPr>
    <w:rPr>
      <w:sz w:val="20"/>
      <w:szCs w:val="20"/>
      <w:lang w:eastAsia="ru-RU"/>
    </w:rPr>
  </w:style>
  <w:style w:type="character" w:styleId="1280" w:customStyle="1">
    <w:name w:val="CharStyle361"/>
    <w:basedOn w:val="1234"/>
    <w:rPr>
      <w:rFonts w:ascii="Times New Roman" w:hAnsi="Times New Roman" w:eastAsia="Times New Roman" w:cs="Times New Roman"/>
      <w:b w:val="0"/>
      <w:bCs w:val="0"/>
      <w:i w:val="0"/>
      <w:iCs w:val="0"/>
      <w:smallCaps w:val="0"/>
      <w:sz w:val="20"/>
      <w:szCs w:val="20"/>
    </w:rPr>
  </w:style>
  <w:style w:type="paragraph" w:styleId="1281" w:customStyle="1">
    <w:name w:val="Style281"/>
    <w:basedOn w:val="1226"/>
    <w:pPr>
      <w:jc w:val="center"/>
      <w:spacing w:line="230" w:lineRule="exact"/>
      <w:widowControl/>
    </w:pPr>
    <w:rPr>
      <w:sz w:val="20"/>
      <w:szCs w:val="20"/>
      <w:lang w:eastAsia="ru-RU"/>
    </w:rPr>
  </w:style>
  <w:style w:type="character" w:styleId="1282">
    <w:name w:val="Placeholder Text"/>
    <w:basedOn w:val="1234"/>
    <w:uiPriority w:val="99"/>
    <w:semiHidden/>
    <w:rPr>
      <w:color w:val="808080"/>
    </w:rPr>
  </w:style>
  <w:style w:type="character" w:styleId="1283" w:customStyle="1">
    <w:name w:val="Основной текст Знак"/>
    <w:basedOn w:val="1234"/>
    <w:link w:val="1247"/>
    <w:uiPriority w:val="1"/>
    <w:rPr>
      <w:rFonts w:ascii="Times New Roman" w:hAnsi="Times New Roman" w:eastAsia="Times New Roman" w:cs="Times New Roman"/>
      <w:sz w:val="24"/>
      <w:szCs w:val="24"/>
      <w:lang w:val="ru-RU"/>
    </w:rPr>
  </w:style>
  <w:style w:type="character" w:styleId="1284" w:customStyle="1">
    <w:name w:val="Название Знак"/>
    <w:basedOn w:val="1234"/>
    <w:link w:val="1249"/>
    <w:uiPriority w:val="1"/>
    <w:rPr>
      <w:rFonts w:ascii="Times New Roman" w:hAnsi="Times New Roman" w:eastAsia="Times New Roman" w:cs="Times New Roman"/>
      <w:b/>
      <w:bCs/>
      <w:sz w:val="40"/>
      <w:szCs w:val="40"/>
      <w:lang w:val="ru-RU"/>
    </w:rPr>
  </w:style>
  <w:style w:type="paragraph" w:styleId="1285" w:customStyle="1">
    <w:name w:val="7 МГП Таблица Нумерация"/>
    <w:basedOn w:val="1226"/>
    <w:link w:val="1286"/>
    <w:qFormat/>
    <w:pPr>
      <w:ind w:firstLine="709"/>
      <w:spacing w:line="276" w:lineRule="auto"/>
      <w:widowControl/>
    </w:pPr>
    <w:rPr>
      <w:color w:val="000000"/>
      <w:sz w:val="28"/>
      <w:szCs w:val="28"/>
      <w:lang w:eastAsia="ru-RU"/>
    </w:rPr>
  </w:style>
  <w:style w:type="character" w:styleId="1286" w:customStyle="1">
    <w:name w:val="7 МГП Таблица Нумерация Знак"/>
    <w:link w:val="1285"/>
    <w:rPr>
      <w:rFonts w:ascii="Times New Roman" w:hAnsi="Times New Roman" w:eastAsia="Times New Roman" w:cs="Times New Roman"/>
      <w:color w:val="000000"/>
      <w:sz w:val="28"/>
      <w:szCs w:val="28"/>
      <w:lang w:val="ru-RU" w:eastAsia="ru-RU"/>
    </w:rPr>
  </w:style>
  <w:style w:type="character" w:styleId="1287" w:customStyle="1">
    <w:name w:val="Заголовок 9 Знак"/>
    <w:basedOn w:val="1234"/>
    <w:link w:val="1233"/>
    <w:uiPriority w:val="9"/>
    <w:semiHidden/>
    <w:rPr>
      <w:rFonts w:asciiTheme="majorHAnsi" w:hAnsiTheme="majorHAnsi" w:eastAsiaTheme="majorEastAsia" w:cstheme="majorBidi"/>
      <w:i/>
      <w:iCs/>
      <w:color w:val="272727" w:themeColor="text1" w:themeTint="D8"/>
      <w:sz w:val="21"/>
      <w:szCs w:val="21"/>
      <w:lang w:val="ru-RU"/>
    </w:rPr>
  </w:style>
  <w:style w:type="paragraph" w:styleId="1288">
    <w:name w:val="Normal (Web)"/>
    <w:basedOn w:val="1226"/>
    <w:uiPriority w:val="99"/>
    <w:semiHidden/>
    <w:unhideWhenUsed/>
    <w:pPr>
      <w:spacing w:before="100" w:beforeAutospacing="1" w:after="100" w:afterAutospacing="1"/>
      <w:widowControl/>
    </w:pPr>
    <w:rPr>
      <w:sz w:val="24"/>
      <w:szCs w:val="24"/>
      <w:lang w:eastAsia="ru-RU"/>
    </w:rPr>
  </w:style>
  <w:style w:type="character" w:styleId="1289" w:customStyle="1">
    <w:name w:val="fw-light"/>
    <w:basedOn w:val="1234"/>
  </w:style>
  <w:style w:type="character" w:styleId="1290" w:customStyle="1">
    <w:name w:val="ff-u"/>
    <w:basedOn w:val="1234"/>
  </w:style>
  <w:style w:type="character" w:styleId="1291" w:customStyle="1">
    <w:name w:val="Заголовок 5 Знак"/>
    <w:basedOn w:val="1234"/>
    <w:link w:val="1231"/>
    <w:uiPriority w:val="9"/>
    <w:semiHidden/>
    <w:rPr>
      <w:rFonts w:asciiTheme="majorHAnsi" w:hAnsiTheme="majorHAnsi" w:eastAsiaTheme="majorEastAsia" w:cstheme="majorBidi"/>
      <w:color w:val="365f91" w:themeColor="accent1" w:themeShade="BF"/>
      <w:lang w:val="ru-RU"/>
    </w:rPr>
  </w:style>
  <w:style w:type="character" w:styleId="1292" w:customStyle="1">
    <w:name w:val="Название объекта Знак"/>
    <w:link w:val="1274"/>
    <w:rPr>
      <w:rFonts w:ascii="Times New Roman" w:hAnsi="Times New Roman"/>
      <w:b/>
      <w:iCs/>
      <w:sz w:val="20"/>
      <w:szCs w:val="18"/>
      <w:lang w:val="ru-RU"/>
    </w:rPr>
  </w:style>
  <w:style w:type="paragraph" w:styleId="1293">
    <w:name w:val="footnote text"/>
    <w:basedOn w:val="1226"/>
    <w:link w:val="1294"/>
    <w:uiPriority w:val="99"/>
    <w:semiHidden/>
    <w:pPr>
      <w:widowControl/>
    </w:pPr>
    <w:rPr>
      <w:sz w:val="20"/>
      <w:szCs w:val="20"/>
      <w:lang w:eastAsia="ru-RU"/>
    </w:rPr>
  </w:style>
  <w:style w:type="character" w:styleId="1294" w:customStyle="1">
    <w:name w:val="Текст сноски Знак"/>
    <w:basedOn w:val="1234"/>
    <w:link w:val="1293"/>
    <w:uiPriority w:val="99"/>
    <w:semiHidden/>
    <w:rPr>
      <w:rFonts w:ascii="Times New Roman" w:hAnsi="Times New Roman" w:eastAsia="Times New Roman" w:cs="Times New Roman"/>
      <w:sz w:val="20"/>
      <w:szCs w:val="20"/>
      <w:lang w:val="ru-RU" w:eastAsia="ru-RU"/>
    </w:rPr>
  </w:style>
  <w:style w:type="character" w:styleId="1295">
    <w:name w:val="footnote reference"/>
    <w:uiPriority w:val="99"/>
    <w:semiHidden/>
    <w:rPr>
      <w:vertAlign w:val="superscript"/>
    </w:rPr>
  </w:style>
  <w:style w:type="character" w:styleId="1296">
    <w:name w:val="Emphasis"/>
    <w:basedOn w:val="1234"/>
    <w:uiPriority w:val="20"/>
    <w:qFormat/>
    <w:rPr>
      <w:i/>
      <w:iCs/>
    </w:rPr>
  </w:style>
  <w:style w:type="character" w:styleId="1297" w:customStyle="1">
    <w:name w:val="entry-title"/>
    <w:basedOn w:val="1234"/>
  </w:style>
  <w:style w:type="character" w:styleId="1298" w:customStyle="1">
    <w:name w:val="стиль5"/>
    <w:basedOn w:val="1234"/>
  </w:style>
  <w:style w:type="paragraph" w:styleId="1299" w:customStyle="1">
    <w:name w:val="Aобычный текст"/>
    <w:basedOn w:val="1226"/>
    <w:link w:val="1300"/>
    <w:qFormat/>
    <w:pPr>
      <w:contextualSpacing/>
      <w:ind w:firstLine="567"/>
      <w:jc w:val="both"/>
      <w:widowControl/>
    </w:pPr>
    <w:rPr>
      <w:rFonts w:eastAsia="Calibri"/>
      <w:sz w:val="24"/>
      <w:szCs w:val="28"/>
    </w:rPr>
  </w:style>
  <w:style w:type="character" w:styleId="1300" w:customStyle="1">
    <w:name w:val="Aобычный текст Знак"/>
    <w:link w:val="1299"/>
    <w:rPr>
      <w:rFonts w:ascii="Times New Roman" w:hAnsi="Times New Roman" w:eastAsia="Calibri" w:cs="Times New Roman"/>
      <w:sz w:val="24"/>
      <w:szCs w:val="28"/>
      <w:lang w:val="ru-RU"/>
    </w:rPr>
  </w:style>
  <w:style w:type="character" w:styleId="1301" w:customStyle="1">
    <w:name w:val="Заголовок 6 Знак"/>
    <w:basedOn w:val="1234"/>
    <w:link w:val="1232"/>
    <w:uiPriority w:val="9"/>
    <w:semiHidden/>
    <w:rPr>
      <w:rFonts w:asciiTheme="majorHAnsi" w:hAnsiTheme="majorHAnsi" w:eastAsiaTheme="majorEastAsia" w:cstheme="majorBidi"/>
      <w:color w:val="243f60" w:themeColor="accent1" w:themeShade="7F"/>
      <w:lang w:val="ru-RU"/>
    </w:rPr>
  </w:style>
  <w:style w:type="paragraph" w:styleId="1302" w:customStyle="1">
    <w:name w:val="Основной текст.Body Text Char.Body Text Char1.Body Text Char Char.Body Text Char1 Char.Body Text Char2 Char.Body Text Char1 Char Char.Body Text Char Char Char Char.TabelTekst Char Char Char Char.text Char Char Char Char.Body Text2 Char Char Char Char"/>
    <w:basedOn w:val="1226"/>
    <w:pPr>
      <w:jc w:val="both"/>
      <w:spacing w:line="360" w:lineRule="auto"/>
      <w:widowControl/>
    </w:pPr>
    <w:rPr>
      <w:sz w:val="24"/>
      <w:szCs w:val="20"/>
      <w:lang w:eastAsia="ru-RU"/>
    </w:rPr>
  </w:style>
  <w:style w:type="character" w:styleId="1303" w:customStyle="1">
    <w:name w:val="Заголовок 4 Знак"/>
    <w:basedOn w:val="1234"/>
    <w:link w:val="1230"/>
    <w:uiPriority w:val="9"/>
    <w:semiHidden/>
    <w:rPr>
      <w:rFonts w:asciiTheme="majorHAnsi" w:hAnsiTheme="majorHAnsi" w:eastAsiaTheme="majorEastAsia" w:cstheme="majorBidi"/>
      <w:i/>
      <w:iCs/>
      <w:color w:val="365f91" w:themeColor="accent1" w:themeShade="BF"/>
      <w:lang w:val="ru-RU"/>
    </w:rPr>
  </w:style>
  <w:style w:type="paragraph" w:styleId="1304" w:customStyle="1">
    <w:name w:val="formattext"/>
    <w:basedOn w:val="1226"/>
    <w:pPr>
      <w:spacing w:before="100" w:beforeAutospacing="1" w:after="100" w:afterAutospacing="1"/>
      <w:widowControl/>
    </w:pPr>
    <w:rPr>
      <w:sz w:val="24"/>
      <w:szCs w:val="24"/>
      <w:lang w:eastAsia="ru-RU"/>
    </w:rPr>
  </w:style>
  <w:style w:type="paragraph" w:styleId="1305" w:customStyle="1">
    <w:name w:val="Default"/>
    <w:pPr>
      <w:widowControl/>
    </w:pPr>
    <w:rPr>
      <w:rFonts w:ascii="Times New Roman" w:hAnsi="Times New Roman" w:cs="Times New Roman"/>
      <w:color w:val="000000"/>
      <w:sz w:val="24"/>
      <w:szCs w:val="24"/>
      <w:lang w:val="ru-RU"/>
    </w:rPr>
  </w:style>
  <w:style w:type="paragraph" w:styleId="1306">
    <w:name w:val="No Spacing"/>
    <w:uiPriority w:val="1"/>
    <w:qFormat/>
    <w:pPr>
      <w:widowControl/>
    </w:pPr>
    <w:rPr>
      <w:lang w:val="ru-RU"/>
    </w:rPr>
  </w:style>
  <w:style w:type="character" w:styleId="1307" w:customStyle="1">
    <w:name w:val="search_result"/>
    <w:basedOn w:val="1234"/>
  </w:style>
</w:styles>
</file>

<file path=word/webSettings.xml><?xml version="1.0" encoding="utf-8"?>
<w:webSettings xmlns:w="http://schemas.openxmlformats.org/wordprocessingml/2006/main">
  <w:optimizeForBrowser/>
</w:webSettings>
</file>

<file path=word/_rels/comments.xml.rels><?xml version="1.0" encoding="UTF-8" standalone="yes"?><Relationships xmlns="http://schemas.openxmlformats.org/package/2006/relationships"></Relationships>
</file>

<file path=word/_rels/document.xml.rels><?xml version="1.0" encoding="UTF-8" standalone="yes"?><Relationships xmlns="http://schemas.openxmlformats.org/package/2006/relationships"><Relationship Id="rId1" Type="http://schemas.openxmlformats.org/officeDocument/2006/relationships/styles" Target="styles.xml" /><Relationship Id="rId2" Type="http://schemas.openxmlformats.org/officeDocument/2006/relationships/settings" Target="settings.xml" /><Relationship Id="rId3" Type="http://schemas.openxmlformats.org/officeDocument/2006/relationships/webSettings" Target="webSettings.xml" /><Relationship Id="rId4" Type="http://schemas.openxmlformats.org/officeDocument/2006/relationships/fontTable" Target="fontTable.xml" /><Relationship Id="rId5" Type="http://schemas.openxmlformats.org/officeDocument/2006/relationships/theme" Target="theme/theme1.xml" /><Relationship Id="rId6" Type="http://schemas.openxmlformats.org/officeDocument/2006/relationships/numbering" Target="numbering.xml" /><Relationship Id="rId7" Type="http://schemas.openxmlformats.org/officeDocument/2006/relationships/footnotes" Target="footnotes.xml" /><Relationship Id="rId8" Type="http://schemas.openxmlformats.org/officeDocument/2006/relationships/endnotes" Target="endnotes.xml" /><Relationship Id="rId9" Type="http://schemas.openxmlformats.org/officeDocument/2006/relationships/footer" Target="footer1.xml" /><Relationship Id="rId10" Type="http://schemas.openxmlformats.org/officeDocument/2006/relationships/footer" Target="footer2.xml" /><Relationship Id="rId11" Type="http://schemas.openxmlformats.org/officeDocument/2006/relationships/footer" Target="footer3.xml" /><Relationship Id="rId12" Type="http://schemas.openxmlformats.org/officeDocument/2006/relationships/footer" Target="footer4.xml" /><Relationship Id="rId13" Type="http://schemas.openxmlformats.org/officeDocument/2006/relationships/footer" Target="footer5.xml" /><Relationship Id="rId14" Type="http://schemas.openxmlformats.org/officeDocument/2006/relationships/footer" Target="footer6.xml" /><Relationship Id="rId15" Type="http://schemas.openxmlformats.org/officeDocument/2006/relationships/footer" Target="footer7.xml" /><Relationship Id="rId16" Type="http://schemas.openxmlformats.org/officeDocument/2006/relationships/footer" Target="footer8.xml" /><Relationship Id="rId17" Type="http://schemas.openxmlformats.org/officeDocument/2006/relationships/footer" Target="footer9.xml" /><Relationship Id="rId18" Type="http://schemas.openxmlformats.org/officeDocument/2006/relationships/customXml" Target="../customXml/item1.xml" /><Relationship Id="rId19" Type="http://schemas.openxmlformats.org/officeDocument/2006/relationships/hyperlink" Target="mailto:YUR-DTVU3@surw.ru" TargetMode="External"/><Relationship Id="rId20" Type="http://schemas.openxmlformats.org/officeDocument/2006/relationships/hyperlink" Target="mailto:kurgan-ngchvbuh@surw.ru" TargetMode="External"/><Relationship Id="rId21" Type="http://schemas.openxmlformats.org/officeDocument/2006/relationships/hyperlink" Target="https://docs.cntd.ru/document/901714421" TargetMode="External"/><Relationship Id="rId22" Type="http://schemas.openxmlformats.org/officeDocument/2006/relationships/hyperlink" Target="https://docs.cntd.ru/document/901714421" TargetMode="External"/><Relationship Id="rId23" Type="http://schemas.openxmlformats.org/officeDocument/2006/relationships/hyperlink" Target="https://docs.cntd.ru/document/901714421" TargetMode="External"/><Relationship Id="rId24" Type="http://schemas.openxmlformats.org/officeDocument/2006/relationships/hyperlink" Target="https://docs.cntd.ru/document/901714421" TargetMode="External"/><Relationship Id="rId25" Type="http://schemas.openxmlformats.org/officeDocument/2006/relationships/hyperlink" Target="https://docs.cntd.ru/document/901714421" TargetMode="External"/><Relationship Id="rId26" Type="http://schemas.openxmlformats.org/officeDocument/2006/relationships/hyperlink" Target="https://docs.cntd.ru/document/406988667" TargetMode="External"/><Relationship Id="rId27" Type="http://schemas.openxmlformats.org/officeDocument/2006/relationships/hyperlink" Target="https://docs.cntd.ru/document/406988667" TargetMode="External"/><Relationship Id="rId28" Type="http://schemas.openxmlformats.org/officeDocument/2006/relationships/hyperlink" Target="https://docs.cntd.ru/document/901765862" TargetMode="External"/><Relationship Id="rId29" Type="http://schemas.openxmlformats.org/officeDocument/2006/relationships/hyperlink" Target="https://docs.cntd.ru/document/901765862" TargetMode="External"/><Relationship Id="rId30" Type="http://schemas.openxmlformats.org/officeDocument/2006/relationships/hyperlink" Target="https://docs.cntd.ru/document/901765862" TargetMode="External"/><Relationship Id="rId31" Type="http://schemas.openxmlformats.org/officeDocument/2006/relationships/hyperlink" Target="https://docs.cntd.ru/document/901765862" TargetMode="External"/><Relationship Id="rId32" Type="http://schemas.openxmlformats.org/officeDocument/2006/relationships/hyperlink" Target="https://docs.cntd.ru/document/901765862" TargetMode="External"/><Relationship Id="rId33" Type="http://schemas.openxmlformats.org/officeDocument/2006/relationships/hyperlink" Target="https://docs.cntd.ru/document/901765862" TargetMode="External"/><Relationship Id="rId34" Type="http://schemas.openxmlformats.org/officeDocument/2006/relationships/image" Target="media/image1.png"/><Relationship Id="rId35" Type="http://schemas.openxmlformats.org/officeDocument/2006/relationships/image" Target="media/media1.svg"/><Relationship Id="rId36" Type="http://schemas.openxmlformats.org/officeDocument/2006/relationships/image" Target="media/image2.png"/><Relationship Id="rId37" Type="http://schemas.openxmlformats.org/officeDocument/2006/relationships/image" Target="media/media2.svg"/><Relationship Id="rId38" Type="http://schemas.openxmlformats.org/officeDocument/2006/relationships/image" Target="media/image3.png"/><Relationship Id="rId39" Type="http://schemas.openxmlformats.org/officeDocument/2006/relationships/image" Target="media/media3.svg"/><Relationship Id="rId40" Type="http://schemas.openxmlformats.org/officeDocument/2006/relationships/image" Target="media/image4.png"/><Relationship Id="rId41" Type="http://schemas.openxmlformats.org/officeDocument/2006/relationships/image" Target="media/media4.svg"/><Relationship Id="rId42" Type="http://schemas.openxmlformats.org/officeDocument/2006/relationships/image" Target="media/image5.png"/><Relationship Id="rId43" Type="http://schemas.openxmlformats.org/officeDocument/2006/relationships/image" Target="media/media5.svg"/><Relationship Id="rId44" Type="http://schemas.openxmlformats.org/officeDocument/2006/relationships/image" Target="media/image6.png"/><Relationship Id="rId45" Type="http://schemas.openxmlformats.org/officeDocument/2006/relationships/image" Target="media/media6.svg"/><Relationship Id="rId46" Type="http://schemas.openxmlformats.org/officeDocument/2006/relationships/image" Target="media/image7.png"/><Relationship Id="rId47" Type="http://schemas.openxmlformats.org/officeDocument/2006/relationships/image" Target="media/media7.svg"/><Relationship Id="rId48" Type="http://schemas.openxmlformats.org/officeDocument/2006/relationships/image" Target="media/image8.png"/><Relationship Id="rId49" Type="http://schemas.openxmlformats.org/officeDocument/2006/relationships/image" Target="media/media8.svg"/><Relationship Id="rId50" Type="http://schemas.openxmlformats.org/officeDocument/2006/relationships/image" Target="media/image9.png"/><Relationship Id="rId51" Type="http://schemas.openxmlformats.org/officeDocument/2006/relationships/image" Target="media/media9.svg"/><Relationship Id="rId52" Type="http://schemas.openxmlformats.org/officeDocument/2006/relationships/image" Target="media/image10.png"/><Relationship Id="rId53" Type="http://schemas.openxmlformats.org/officeDocument/2006/relationships/image" Target="media/media10.svg"/><Relationship Id="rId54" Type="http://schemas.openxmlformats.org/officeDocument/2006/relationships/image" Target="media/image11.png"/><Relationship Id="rId55" Type="http://schemas.openxmlformats.org/officeDocument/2006/relationships/image" Target="media/media11.svg"/><Relationship Id="rId56" Type="http://schemas.openxmlformats.org/officeDocument/2006/relationships/image" Target="media/image12.png"/><Relationship Id="rId57" Type="http://schemas.openxmlformats.org/officeDocument/2006/relationships/image" Target="media/media12.svg"/><Relationship Id="rId58" Type="http://schemas.openxmlformats.org/officeDocument/2006/relationships/image" Target="media/image13.png"/><Relationship Id="rId59" Type="http://schemas.openxmlformats.org/officeDocument/2006/relationships/image" Target="media/media13.svg"/><Relationship Id="rId60" Type="http://schemas.openxmlformats.org/officeDocument/2006/relationships/image" Target="media/image14.png"/><Relationship Id="rId61" Type="http://schemas.openxmlformats.org/officeDocument/2006/relationships/image" Target="media/media14.svg"/><Relationship Id="rId62" Type="http://schemas.openxmlformats.org/officeDocument/2006/relationships/image" Target="media/image15.png"/><Relationship Id="rId63" Type="http://schemas.openxmlformats.org/officeDocument/2006/relationships/image" Target="media/media15.svg"/><Relationship Id="rId64" Type="http://schemas.openxmlformats.org/officeDocument/2006/relationships/image" Target="media/image16.png"/><Relationship Id="rId65" Type="http://schemas.openxmlformats.org/officeDocument/2006/relationships/image" Target="media/media16.svg"/><Relationship Id="rId66" Type="http://schemas.openxmlformats.org/officeDocument/2006/relationships/image" Target="media/image17.png"/><Relationship Id="rId67" Type="http://schemas.openxmlformats.org/officeDocument/2006/relationships/image" Target="media/media17.svg"/><Relationship Id="rId68" Type="http://schemas.openxmlformats.org/officeDocument/2006/relationships/image" Target="media/image18.png"/><Relationship Id="rId69" Type="http://schemas.openxmlformats.org/officeDocument/2006/relationships/image" Target="media/media18.svg"/><Relationship Id="rId70" Type="http://schemas.openxmlformats.org/officeDocument/2006/relationships/image" Target="media/image19.png"/><Relationship Id="rId71" Type="http://schemas.openxmlformats.org/officeDocument/2006/relationships/image" Target="media/media19.svg"/><Relationship Id="rId72" Type="http://schemas.openxmlformats.org/officeDocument/2006/relationships/image" Target="media/image20.png"/><Relationship Id="rId73" Type="http://schemas.openxmlformats.org/officeDocument/2006/relationships/image" Target="media/media20.svg"/><Relationship Id="rId74" Type="http://schemas.openxmlformats.org/officeDocument/2006/relationships/image" Target="media/image21.png"/><Relationship Id="rId75" Type="http://schemas.openxmlformats.org/officeDocument/2006/relationships/image" Target="media/media21.svg"/><Relationship Id="rId76" Type="http://schemas.openxmlformats.org/officeDocument/2006/relationships/image" Target="media/image22.png"/><Relationship Id="rId77" Type="http://schemas.openxmlformats.org/officeDocument/2006/relationships/image" Target="media/media22.svg"/><Relationship Id="rId78" Type="http://schemas.openxmlformats.org/officeDocument/2006/relationships/image" Target="media/image23.png"/><Relationship Id="rId79" Type="http://schemas.openxmlformats.org/officeDocument/2006/relationships/image" Target="media/media23.svg"/><Relationship Id="rId80" Type="http://schemas.openxmlformats.org/officeDocument/2006/relationships/hyperlink" Target="consultantplus://offline/main?base=RLAW087%3Bn%3D29985%3Bfld%3D134%3Bdst%3D7" TargetMode="External"/><Relationship Id="rId81" Type="http://schemas.openxmlformats.org/officeDocument/2006/relationships/hyperlink" Target="consultantplus://offline/main?base=RLAW087%3Bn%3D29985%3Bfld%3D134%3Bdst%3D4" TargetMode="External"/><Relationship Id="rId82" Type="http://schemas.openxmlformats.org/officeDocument/2006/relationships/hyperlink" Target="consultantplus://offline/main?base=RLAW087%3Bn%3D29985%3Bfld%3D134%3Bdst%3D3" TargetMode="External"/><Relationship Id="rId83" Type="http://schemas.openxmlformats.org/officeDocument/2006/relationships/image" Target="media/image24.jpg"/><Relationship Id="rId84" Type="http://schemas.openxmlformats.org/officeDocument/2006/relationships/image" Target="media/image25.jpg"/><Relationship Id="rId85" Type="http://schemas.openxmlformats.org/officeDocument/2006/relationships/image" Target="media/image26.png"/><Relationship Id="rId86" Type="http://schemas.openxmlformats.org/officeDocument/2006/relationships/image" Target="media/image27.jpg"/><Relationship Id="rId87" Type="http://schemas.openxmlformats.org/officeDocument/2006/relationships/image" Target="media/image28.jpg"/><Relationship Id="rId88" Type="http://schemas.openxmlformats.org/officeDocument/2006/relationships/image" Target="media/image29.jpg"/></Relationships>
</file>

<file path=word/_rels/endnotes.xml.rels><?xml version="1.0" encoding="UTF-8" standalone="yes"?><Relationships xmlns="http://schemas.openxmlformats.org/package/2006/relationships"></Relationships>
</file>

<file path=word/_rels/footer1.xml.rels><?xml version="1.0" encoding="UTF-8" standalone="yes"?><Relationships xmlns="http://schemas.openxmlformats.org/package/2006/relationships"></Relationships>
</file>

<file path=word/_rels/footer2.xml.rels><?xml version="1.0" encoding="UTF-8" standalone="yes"?><Relationships xmlns="http://schemas.openxmlformats.org/package/2006/relationships"></Relationships>
</file>

<file path=word/_rels/footer3.xml.rels><?xml version="1.0" encoding="UTF-8" standalone="yes"?><Relationships xmlns="http://schemas.openxmlformats.org/package/2006/relationships"></Relationships>
</file>

<file path=word/_rels/footer4.xml.rels><?xml version="1.0" encoding="UTF-8" standalone="yes"?><Relationships xmlns="http://schemas.openxmlformats.org/package/2006/relationships"></Relationships>
</file>

<file path=word/_rels/footer5.xml.rels><?xml version="1.0" encoding="UTF-8" standalone="yes"?><Relationships xmlns="http://schemas.openxmlformats.org/package/2006/relationships"></Relationships>
</file>

<file path=word/_rels/footer6.xml.rels><?xml version="1.0" encoding="UTF-8" standalone="yes"?><Relationships xmlns="http://schemas.openxmlformats.org/package/2006/relationships"></Relationships>
</file>

<file path=word/_rels/footer7.xml.rels><?xml version="1.0" encoding="UTF-8" standalone="yes"?><Relationships xmlns="http://schemas.openxmlformats.org/package/2006/relationships"></Relationships>
</file>

<file path=word/_rels/footer8.xml.rels><?xml version="1.0" encoding="UTF-8" standalone="yes"?><Relationships xmlns="http://schemas.openxmlformats.org/package/2006/relationships"></Relationships>
</file>

<file path=word/_rels/footer9.xml.rels><?xml version="1.0" encoding="UTF-8" standalone="yes"?><Relationships xmlns="http://schemas.openxmlformats.org/package/2006/relationships"></Relationships>
</file>

<file path=word/_rels/footnotes.xml.rels><?xml version="1.0" encoding="UTF-8" standalone="yes"?><Relationships xmlns="http://schemas.openxmlformats.org/package/2006/relationships"></Relationships>
</file>

<file path=word/theme/theme1.xml><?xml version="1.0" encoding="utf-8"?>
<a:theme xmlns:a="http://schemas.openxmlformats.org/drawingml/2006/main" xmlns:r="http://schemas.openxmlformats.org/officeDocument/2006/relationships" xmlns:p="http://schemas.openxmlformats.org/presentation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Arial"/>
        <a:cs typeface="Arial"/>
      </a:majorFont>
      <a:minorFont>
        <a:latin typeface="Calibri"/>
        <a:ea typeface="Arial"/>
        <a:cs typeface="Arial"/>
      </a:minorFont>
    </a:fontScheme>
    <a:fmtScheme name="Offic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FC4B0D-2497-4DC6-ACC0-B36916DDBC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Application>Р7-Офис/2025.2.2.831</Application>
  <Company>Microsoft</Company>
  <DocSecurity>0</DocSecurity>
  <HyperlinksChanged>false</HyperlinksChanged>
  <LinksUpToDate>false</LinksUpToDate>
  <ScaleCrop>false</ScaleCrop>
  <SharedDoc>false</SharedDoc>
  <Template>Normal</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Michail P. Derid</dc:creator>
  <cp:keywords/>
  <dc:description/>
  <cp:lastModifiedBy>admin</cp:lastModifiedBy>
  <cp:revision>38</cp:revision>
  <dcterms:created xsi:type="dcterms:W3CDTF">2024-05-13T11:07:00Z</dcterms:created>
  <dcterms:modified xsi:type="dcterms:W3CDTF">2025-06-26T03:59:22Z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2022-04-13T00:00:00Z</vt:filetime>
  </property>
  <property fmtid="{D5CDD505-2E9C-101B-9397-08002B2CF9AE}" pid="3" name="Creator">
    <vt:lpwstr>Microsoft® Word 2013</vt:lpwstr>
  </property>
  <property fmtid="{D5CDD505-2E9C-101B-9397-08002B2CF9AE}" pid="4" name="LastSaved">
    <vt:filetime>2023-03-14T00:00:00Z</vt:filetime>
  </property>
  <property fmtid="{D5CDD505-2E9C-101B-9397-08002B2CF9AE}" pid="5" name="Producer">
    <vt:lpwstr>Microsoft® Word 2013</vt:lpwstr>
  </property>
</Properties>
</file>