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Документация об аукционе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года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«_____» _____________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№_____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u w:val="none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21.05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03.06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определения участников аукциона: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04.06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>аукциона (дата и время начала приема предложений от участников аукциона):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 xml:space="preserve"> 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06.06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FF0000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Cs/>
        </w:rPr>
        <w:t>(местного времени)</w:t>
      </w:r>
      <w:r>
        <w:rPr>
          <w:rStyle w:val="Style10"/>
          <w:rFonts w:cs="Liberation Serif" w:ascii="Liberation Serif" w:hAnsi="Liberation Serif"/>
          <w:bCs/>
        </w:rPr>
        <w:t xml:space="preserve">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2"/>
        <w:jc w:val="center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Предмет аукциона 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Пушкина, 14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1951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443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3940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двадцать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три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тысячи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девятьсот сорок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4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788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четыре тысячи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семьсот восемьдесят восемь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71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семьсот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восемнадцать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) рублей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20 копеек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30"/>
        </w:rPr>
        <w:t>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4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54-2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Максимально и (или) минимально допустимые параметры разрешенного строительства объекта капитального строительства: В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Style w:val="Style13"/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color w:val="C9211E"/>
        </w:rPr>
        <w:t>21.05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  <w:color w:val="C9211E"/>
        </w:rPr>
        <w:t>03.06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.1. Представлены не все документы в соответствии с перечнем, указанным в информационном   сообщении   (за  исключением  предложений  о  цене  государственного</w:t>
      </w:r>
    </w:p>
    <w:p>
      <w:pPr>
        <w:pStyle w:val="NormalWeb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 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21.05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времени)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03.06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jc w:val="center"/>
        <w:rPr>
          <w:rFonts w:ascii="Liberation Serif" w:hAnsi="Liberation Serif" w:cs="Arial"/>
          <w:i/>
          <w:i/>
          <w:iCs/>
          <w:color w:val="333333"/>
          <w:lang w:eastAsia="ru-RU"/>
        </w:rPr>
      </w:pPr>
      <w:r>
        <w:rPr>
          <w:rFonts w:cs="Arial" w:ascii="Liberation Serif" w:hAnsi="Liberation Serif"/>
          <w:i/>
          <w:iCs/>
          <w:color w:val="333333"/>
          <w:lang w:eastAsia="ru-RU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размещается: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12-00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и с 13-00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16-00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по заявке претендента, по адресу продавца аукциона: Курганская обл., р.п. Юргамыш, ул. Ленина, 43, телефоны для справок: 8 (35248) 9-22-08, 9-22-53.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ind w:left="0" w:right="0" w:firstLine="709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Условия допуска и отказа в допуске к участию в аукционе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в аукционе допускаются претенденты, признанные продавцом в соответствии с Федеральным законом участниками.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п</w:t>
      </w:r>
      <w:r>
        <w:rPr>
          <w:bCs/>
          <w:sz w:val="25"/>
          <w:szCs w:val="25"/>
        </w:rPr>
        <w:t>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з</w:t>
      </w:r>
      <w:r>
        <w:rPr>
          <w:bCs/>
          <w:sz w:val="25"/>
          <w:szCs w:val="25"/>
        </w:rPr>
        <w:t>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н</w:t>
      </w:r>
      <w:r>
        <w:rPr>
          <w:bCs/>
          <w:sz w:val="25"/>
          <w:szCs w:val="25"/>
        </w:rPr>
        <w:t>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, на официальном сайте</w:t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 и на официальном сайте продавца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 xml:space="preserve">Порядок проведения аукциона, определения его победителя и место подведения итогов продажи права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заключения договора аренды земельного участка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</w:t>
      </w:r>
      <w:r>
        <w:rPr>
          <w:rFonts w:cs="Liberation Serif" w:ascii="Liberation Serif" w:hAnsi="Liberation Serif"/>
        </w:rPr>
        <w:t>право на заключения договора аренды земельного участка,</w:t>
      </w:r>
      <w:r>
        <w:rPr>
          <w:rFonts w:cs="Liberation Serif" w:ascii="Liberation Serif" w:hAnsi="Liberation Serif"/>
        </w:rPr>
        <w:t xml:space="preserve"> на величину, равную либо кратную величине «шага аукциона».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«Шаг аукциона» составляет 3 % (процент</w:t>
      </w:r>
      <w:r>
        <w:rPr>
          <w:rFonts w:cs="Liberation Serif" w:ascii="Liberation Serif" w:hAnsi="Liberation Serif"/>
        </w:rPr>
        <w:t>а</w:t>
      </w:r>
      <w:r>
        <w:rPr>
          <w:rFonts w:cs="Liberation Serif" w:ascii="Liberation Serif" w:hAnsi="Liberation Serif"/>
        </w:rPr>
        <w:t>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Во время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Со времени начала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размещается: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начальной цены и текущего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время их поступления, величина повышения начальной цены ("шаг аукциона"), время, оставшееся до окончания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cs="Liberation Serif" w:ascii="Liberation Serif" w:hAnsi="Liberation Serif"/>
        </w:rPr>
        <w:t>предмета аукц</w:t>
      </w:r>
      <w:r>
        <w:rPr>
          <w:rFonts w:cs="Liberation Serif" w:ascii="Liberation Serif" w:hAnsi="Liberation Serif"/>
        </w:rPr>
        <w:t>и</w:t>
      </w:r>
      <w:r>
        <w:rPr>
          <w:rFonts w:cs="Liberation Serif" w:ascii="Liberation Serif" w:hAnsi="Liberation Serif"/>
        </w:rPr>
        <w:t>она</w:t>
      </w:r>
      <w:r>
        <w:rPr>
          <w:rFonts w:cs="Liberation Serif" w:ascii="Liberation Serif" w:hAnsi="Liberation Serif"/>
        </w:rPr>
        <w:t xml:space="preserve"> по начальной цене. В случае, если в течение указанного времени: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поступило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не поступило ни одного предложения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является время завершения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Во время проведения процедуры аукциона программными средствами электронной площадки обеспечивается: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исключение возможности подачи участником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не соответствующего увеличению текущей цены на величину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уведомление участника в случае, если предложение этого участника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не может быть принято в связи с подачей аналогичного предложения ранее другим участником.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Победителем аукциона признается участник, предложивший наибольшую цену.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для подведения итогов аукциона путем оформления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Аукцион признается несостоявшимся в следующих случаях: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не было подано ни одной заявки на участие либо ни один из претендентов не признан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принято решение о признании только одного претендента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ни один из участников не сделал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Решение о признании аукциона несостоявшимся оформляется протоколом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наименование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иные позволяющие его индивидуализировать сведения;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цена сделки;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фамилия, имя, отчество физического лица или наименование юридического лица – победителя.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Срок заключения договора аренды,</w:t>
      </w:r>
      <w:r>
        <w:rPr>
          <w:rStyle w:val="Style10"/>
          <w:rFonts w:cs="Liberation Serif" w:ascii="Liberation Serif" w:hAnsi="Liberation Serif"/>
          <w:b/>
          <w:bCs/>
          <w:i/>
          <w:i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оплата стоимости аренды приобретенного земельного участка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Договор аренды земельного участка (Приложение к информационному сообщению о проведении аукциона), заключается между продавцом и победителем аукциона на выбор, как в форме электронного документа так и на бумажном носителе, в соответствии с действующим законодательством РФ.</w:t>
      </w:r>
    </w:p>
    <w:p>
      <w:pPr>
        <w:pStyle w:val="Style27"/>
        <w:tabs>
          <w:tab w:val="clear" w:pos="709"/>
          <w:tab w:val="left" w:pos="795" w:leader="none"/>
        </w:tabs>
        <w:spacing w:before="0" w:after="0"/>
        <w:ind w:left="0" w:right="0" w:firstLine="737"/>
        <w:jc w:val="both"/>
        <w:rPr/>
      </w:pPr>
      <w:r>
        <w:rPr>
          <w:rStyle w:val="Style13"/>
          <w:rFonts w:cs="Liberation Serif" w:ascii="Liberation Serif" w:hAnsi="Liberation Serif"/>
          <w:b w:val="false"/>
          <w:bCs w:val="false"/>
          <w:color w:val="333333"/>
        </w:rPr>
        <w:t xml:space="preserve">Договор аренды земельного участка заключается в установленном законодательством порядке, но не ранее чем через 10 дней со дня размещения информации о результатах аукциона на сайте </w:t>
      </w:r>
      <w:r>
        <w:rPr>
          <w:rStyle w:val="Style11"/>
          <w:rFonts w:cs="Liberation Serif" w:ascii="Liberation Serif" w:hAnsi="Liberation Serif"/>
          <w:u w:val="none"/>
        </w:rPr>
        <w:t xml:space="preserve">www.torgi.gov.ru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u w:val="none"/>
        </w:rPr>
        <w:t xml:space="preserve"> https://178fz.roseltorg.ru.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Арендная плата за первый год использования земельного участка по договору аренды, заключенному по результатам аукциона, перечисляется единовременным платежом в течение 10 дней с даты подписания договора аренды на указанные в нем реквизиты (не подлежит возврату при досрочном расторжении договора аренды),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путем перечисления денежных средств на счет продавца, указанный в договоре: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>За второй и последующие годы использования земельного участка арендная плата вносится арендатором не позднее 15 ноября каждого года.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Cs/>
        </w:rPr>
        <w:t>Задаток, перечисленный покупателем для участия в электронном аукционе, засчитывается в счет арендной платы</w:t>
      </w:r>
      <w:r>
        <w:rPr>
          <w:rStyle w:val="Style10"/>
          <w:rFonts w:cs="Liberation Serif" w:ascii="Liberation Serif" w:hAnsi="Liberation Serif"/>
          <w:b/>
          <w:bCs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</TotalTime>
  <Application>LibreOffice/7.4.0.3$Windows_X86_64 LibreOffice_project/f85e47c08ddd19c015c0114a68350214f7066f5a</Application>
  <AppVersion>15.0000</AppVersion>
  <Pages>8</Pages>
  <Words>2945</Words>
  <Characters>20634</Characters>
  <CharactersWithSpaces>23554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2025-05-19T14:40:50Z</dcterms:modified>
  <cp:revision>43</cp:revision>
  <dc:subject/>
  <dc:title/>
</cp:coreProperties>
</file>